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35A6EC">
      <w:pPr>
        <w:pStyle w:val="40"/>
        <w:jc w:val="both"/>
        <w:rPr>
          <w:rFonts w:hint="eastAsia"/>
          <w:sz w:val="21"/>
          <w:szCs w:val="21"/>
        </w:rPr>
      </w:pPr>
      <w:bookmarkStart w:id="0" w:name="_Toc19821"/>
      <w:bookmarkStart w:id="1" w:name="_Toc9340"/>
      <w:r>
        <w:rPr>
          <w:rFonts w:hint="eastAsia"/>
          <w:sz w:val="21"/>
          <w:szCs w:val="21"/>
        </w:rPr>
        <w:t>ICS XX.XX</w:t>
      </w:r>
      <w:bookmarkEnd w:id="0"/>
      <w:bookmarkEnd w:id="1"/>
    </w:p>
    <w:p w14:paraId="4F41A7D3">
      <w:pPr>
        <w:pStyle w:val="39"/>
        <w:ind w:firstLine="0" w:firstLineChars="0"/>
        <w:rPr>
          <w:rFonts w:hint="eastAsia"/>
        </w:rPr>
      </w:pPr>
      <w:r>
        <w:rPr>
          <w:rFonts w:hint="eastAsia"/>
        </w:rPr>
        <w:t>XXX</w:t>
      </w:r>
    </w:p>
    <w:p w14:paraId="0B00ED19">
      <w:pPr>
        <w:pStyle w:val="39"/>
        <w:ind w:firstLine="0" w:firstLineChars="0"/>
        <w:jc w:val="distribute"/>
        <w:rPr>
          <w:rFonts w:hint="eastAsia" w:ascii="黑体" w:hAnsi="黑体" w:eastAsia="黑体"/>
          <w:sz w:val="48"/>
          <w:szCs w:val="48"/>
        </w:rPr>
      </w:pPr>
      <w:r>
        <w:rPr>
          <w:rFonts w:hint="eastAsia" w:ascii="黑体" w:hAnsi="黑体" w:eastAsia="黑体"/>
          <w:sz w:val="48"/>
          <w:szCs w:val="48"/>
        </w:rPr>
        <w:t>团体标准</w:t>
      </w:r>
    </w:p>
    <w:p w14:paraId="1106EF9E">
      <w:pPr>
        <w:pStyle w:val="39"/>
        <w:wordWrap w:val="0"/>
        <w:ind w:firstLine="0" w:firstLineChars="0"/>
        <w:jc w:val="right"/>
        <w:rPr>
          <w:rFonts w:hint="eastAsia" w:hAnsi="宋体"/>
          <w:color w:val="000000" w:themeColor="text1"/>
          <w:sz w:val="28"/>
          <w:szCs w:val="28"/>
          <w14:textFill>
            <w14:solidFill>
              <w14:schemeClr w14:val="tx1"/>
            </w14:solidFill>
          </w14:textFill>
        </w:rPr>
      </w:pPr>
      <w:r>
        <w:rPr>
          <w:rFonts w:ascii="Times New Roman"/>
          <w:color w:val="000000" w:themeColor="text1"/>
          <w:sz w:val="28"/>
          <w:szCs w:val="28"/>
          <w14:textFill>
            <w14:solidFill>
              <w14:schemeClr w14:val="tx1"/>
            </w14:solidFill>
          </w14:textFill>
        </w:rPr>
        <w:t>T/</w:t>
      </w:r>
      <w:r>
        <w:rPr>
          <w:rFonts w:hint="eastAsia" w:ascii="Times New Roman"/>
          <w:color w:val="000000" w:themeColor="text1"/>
          <w:sz w:val="28"/>
          <w:szCs w:val="28"/>
          <w14:textFill>
            <w14:solidFill>
              <w14:schemeClr w14:val="tx1"/>
            </w14:solidFill>
          </w14:textFill>
        </w:rPr>
        <w:t xml:space="preserve">CAGHP </w:t>
      </w:r>
      <w:r>
        <w:rPr>
          <w:rFonts w:hint="eastAsia" w:hAnsi="宋体"/>
          <w:color w:val="000000" w:themeColor="text1"/>
          <w:sz w:val="28"/>
          <w:szCs w:val="28"/>
          <w14:textFill>
            <w14:solidFill>
              <w14:schemeClr w14:val="tx1"/>
            </w14:solidFill>
          </w14:textFill>
        </w:rPr>
        <w:t>XXX—XXXX</w:t>
      </w:r>
    </w:p>
    <w:p w14:paraId="1279E586">
      <w:pPr>
        <w:pStyle w:val="39"/>
        <w:ind w:firstLine="0" w:firstLineChars="0"/>
        <w:jc w:val="right"/>
        <w:rPr>
          <w:rFonts w:ascii="Times New Roman"/>
          <w:szCs w:val="21"/>
        </w:rPr>
      </w:pPr>
    </w:p>
    <w:tbl>
      <w:tblPr>
        <w:tblStyle w:val="13"/>
        <w:tblW w:w="0" w:type="auto"/>
        <w:tblInd w:w="0" w:type="dxa"/>
        <w:tblBorders>
          <w:top w:val="single" w:color="000000" w:sz="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571"/>
      </w:tblGrid>
      <w:tr w14:paraId="77E2A3E4">
        <w:tblPrEx>
          <w:tblBorders>
            <w:top w:val="single" w:color="000000"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1" w:type="dxa"/>
            <w:noWrap w:val="0"/>
            <w:vAlign w:val="top"/>
          </w:tcPr>
          <w:p w14:paraId="685F9DDA">
            <w:pPr>
              <w:pStyle w:val="39"/>
              <w:ind w:firstLine="0" w:firstLineChars="0"/>
              <w:rPr>
                <w:rFonts w:hint="eastAsia" w:ascii="黑体" w:hAnsi="黑体" w:eastAsia="黑体"/>
                <w:sz w:val="48"/>
                <w:szCs w:val="48"/>
              </w:rPr>
            </w:pPr>
          </w:p>
        </w:tc>
      </w:tr>
    </w:tbl>
    <w:p w14:paraId="1C60F398">
      <w:pPr>
        <w:pStyle w:val="39"/>
        <w:ind w:firstLine="0" w:firstLineChars="0"/>
        <w:rPr>
          <w:rFonts w:hint="eastAsia" w:ascii="黑体" w:hAnsi="黑体" w:eastAsia="黑体"/>
          <w:sz w:val="48"/>
          <w:szCs w:val="48"/>
        </w:rPr>
      </w:pPr>
    </w:p>
    <w:p w14:paraId="3B36C957">
      <w:pPr>
        <w:pStyle w:val="39"/>
        <w:ind w:firstLine="0" w:firstLineChars="0"/>
        <w:jc w:val="distribute"/>
        <w:rPr>
          <w:rFonts w:hint="eastAsia" w:ascii="黑体" w:hAnsi="黑体" w:eastAsia="黑体"/>
          <w:sz w:val="48"/>
          <w:szCs w:val="48"/>
        </w:rPr>
      </w:pPr>
    </w:p>
    <w:p w14:paraId="562D8BE9">
      <w:pPr>
        <w:pStyle w:val="39"/>
        <w:ind w:firstLine="0" w:firstLineChars="0"/>
        <w:jc w:val="distribute"/>
        <w:rPr>
          <w:rFonts w:hint="eastAsia" w:ascii="黑体" w:hAnsi="黑体" w:eastAsia="黑体"/>
          <w:sz w:val="48"/>
          <w:szCs w:val="48"/>
        </w:rPr>
      </w:pPr>
    </w:p>
    <w:p w14:paraId="74691278">
      <w:pPr>
        <w:pStyle w:val="29"/>
        <w:spacing w:before="0" w:line="560" w:lineRule="exact"/>
        <w:jc w:val="center"/>
        <w:rPr>
          <w:rFonts w:hint="default" w:ascii="黑体" w:eastAsia="黑体"/>
          <w:w w:val="90"/>
          <w:sz w:val="52"/>
          <w:lang w:val="en-US"/>
        </w:rPr>
      </w:pPr>
      <w:r>
        <w:rPr>
          <w:rFonts w:hint="eastAsia" w:ascii="黑体" w:eastAsia="黑体"/>
          <w:w w:val="90"/>
          <w:sz w:val="52"/>
        </w:rPr>
        <w:t>地质灾害应急</w:t>
      </w:r>
      <w:r>
        <w:rPr>
          <w:rFonts w:hint="eastAsia" w:ascii="黑体" w:eastAsia="黑体"/>
          <w:w w:val="90"/>
          <w:sz w:val="52"/>
          <w:lang w:val="en-US" w:eastAsia="zh-CN"/>
        </w:rPr>
        <w:t>救援技术支撑队伍建设标准</w:t>
      </w:r>
    </w:p>
    <w:p w14:paraId="02B656FB">
      <w:pPr>
        <w:ind w:left="0" w:leftChars="0" w:firstLine="0" w:firstLineChars="0"/>
        <w:jc w:val="center"/>
        <w:rPr>
          <w:rFonts w:hint="eastAsia" w:ascii="黑体" w:hAnsi="黑体" w:eastAsia="黑体" w:cs="黑体"/>
          <w:sz w:val="28"/>
          <w:szCs w:val="28"/>
        </w:rPr>
      </w:pPr>
      <w:r>
        <w:rPr>
          <w:rFonts w:hint="eastAsia" w:ascii="黑体" w:hAnsi="黑体" w:eastAsia="黑体" w:cs="黑体"/>
          <w:sz w:val="28"/>
          <w:szCs w:val="28"/>
        </w:rPr>
        <w:t>Construction standards for emergency technical support teams for geological disasters</w:t>
      </w:r>
    </w:p>
    <w:p w14:paraId="595CF74C">
      <w:pPr>
        <w:pStyle w:val="39"/>
        <w:ind w:firstLine="0" w:firstLineChars="0"/>
        <w:jc w:val="center"/>
        <w:rPr>
          <w:rFonts w:hint="eastAsia" w:ascii="Times New Roman"/>
          <w:sz w:val="28"/>
          <w:szCs w:val="28"/>
        </w:rPr>
      </w:pPr>
    </w:p>
    <w:p w14:paraId="30C20075">
      <w:pPr>
        <w:pStyle w:val="39"/>
        <w:ind w:firstLine="0" w:firstLineChars="0"/>
        <w:jc w:val="center"/>
        <w:rPr>
          <w:rFonts w:hint="eastAsia" w:hAnsi="宋体"/>
          <w:szCs w:val="21"/>
        </w:rPr>
      </w:pPr>
      <w:r>
        <w:rPr>
          <w:rFonts w:hint="eastAsia" w:hAnsi="宋体"/>
          <w:szCs w:val="21"/>
        </w:rPr>
        <w:t>（</w:t>
      </w:r>
      <w:r>
        <w:rPr>
          <w:rFonts w:hint="eastAsia" w:hAnsi="宋体"/>
          <w:szCs w:val="21"/>
          <w:lang w:val="en-US" w:eastAsia="zh-CN"/>
        </w:rPr>
        <w:t>送审</w:t>
      </w:r>
      <w:r>
        <w:rPr>
          <w:rFonts w:hint="eastAsia" w:hAnsi="宋体"/>
          <w:szCs w:val="21"/>
        </w:rPr>
        <w:t>稿）</w:t>
      </w:r>
    </w:p>
    <w:p w14:paraId="65EECC7F">
      <w:pPr>
        <w:pStyle w:val="39"/>
        <w:ind w:firstLine="0" w:firstLineChars="0"/>
        <w:jc w:val="center"/>
        <w:rPr>
          <w:rFonts w:hint="eastAsia" w:ascii="Times New Roman" w:eastAsia="黑体"/>
          <w:sz w:val="28"/>
          <w:szCs w:val="28"/>
        </w:rPr>
      </w:pPr>
    </w:p>
    <w:p w14:paraId="2756321F">
      <w:pPr>
        <w:pStyle w:val="39"/>
        <w:ind w:firstLine="0" w:firstLineChars="0"/>
        <w:jc w:val="center"/>
        <w:rPr>
          <w:rFonts w:hint="eastAsia" w:ascii="Times New Roman" w:eastAsia="黑体"/>
          <w:sz w:val="28"/>
          <w:szCs w:val="28"/>
        </w:rPr>
      </w:pPr>
    </w:p>
    <w:p w14:paraId="1D85C9DA">
      <w:pPr>
        <w:pStyle w:val="39"/>
        <w:ind w:firstLine="0" w:firstLineChars="0"/>
        <w:jc w:val="center"/>
        <w:rPr>
          <w:rFonts w:hint="eastAsia" w:ascii="Times New Roman" w:eastAsia="黑体"/>
          <w:sz w:val="28"/>
          <w:szCs w:val="28"/>
        </w:rPr>
      </w:pPr>
    </w:p>
    <w:p w14:paraId="23F2D928">
      <w:pPr>
        <w:pStyle w:val="39"/>
        <w:ind w:firstLine="0" w:firstLineChars="0"/>
        <w:jc w:val="center"/>
        <w:rPr>
          <w:rFonts w:hint="eastAsia" w:ascii="Times New Roman" w:eastAsia="黑体"/>
          <w:sz w:val="28"/>
          <w:szCs w:val="28"/>
        </w:rPr>
      </w:pPr>
    </w:p>
    <w:p w14:paraId="39AB28C6">
      <w:pPr>
        <w:pStyle w:val="39"/>
        <w:ind w:firstLine="0" w:firstLineChars="0"/>
        <w:jc w:val="center"/>
        <w:rPr>
          <w:rFonts w:hint="eastAsia" w:ascii="Times New Roman" w:eastAsia="黑体"/>
          <w:sz w:val="28"/>
          <w:szCs w:val="28"/>
        </w:rPr>
      </w:pPr>
    </w:p>
    <w:p w14:paraId="64A1D5FB">
      <w:pPr>
        <w:pStyle w:val="39"/>
        <w:ind w:firstLine="0" w:firstLineChars="0"/>
        <w:rPr>
          <w:rFonts w:hint="eastAsia" w:ascii="Times New Roman" w:eastAsia="黑体"/>
          <w:sz w:val="28"/>
          <w:szCs w:val="28"/>
        </w:rPr>
      </w:pPr>
    </w:p>
    <w:tbl>
      <w:tblPr>
        <w:tblStyle w:val="13"/>
        <w:tblW w:w="0" w:type="auto"/>
        <w:tblInd w:w="0" w:type="dxa"/>
        <w:tblBorders>
          <w:top w:val="none" w:color="auto" w:sz="0" w:space="0"/>
          <w:left w:val="none" w:color="auto" w:sz="0" w:space="0"/>
          <w:bottom w:val="single" w:color="000000"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571"/>
      </w:tblGrid>
      <w:tr w14:paraId="124138D8">
        <w:tblPrEx>
          <w:tblBorders>
            <w:top w:val="none" w:color="auto" w:sz="0"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1" w:type="dxa"/>
            <w:noWrap w:val="0"/>
            <w:vAlign w:val="top"/>
          </w:tcPr>
          <w:p w14:paraId="011D34AF">
            <w:pPr>
              <w:pStyle w:val="39"/>
              <w:ind w:firstLine="0" w:firstLineChars="0"/>
              <w:rPr>
                <w:rFonts w:ascii="黑体" w:hAnsi="黑体" w:eastAsia="黑体"/>
                <w:sz w:val="28"/>
                <w:szCs w:val="28"/>
              </w:rPr>
            </w:pPr>
            <w:r>
              <w:rPr>
                <w:rFonts w:hint="eastAsia" w:ascii="黑体" w:hAnsi="黑体" w:eastAsia="黑体"/>
                <w:sz w:val="28"/>
                <w:szCs w:val="28"/>
              </w:rPr>
              <w:t>XXXX-XX-XX发布</w:t>
            </w:r>
            <w:r>
              <w:rPr>
                <w:rFonts w:hint="eastAsia" w:ascii="黑体" w:hAnsi="黑体" w:eastAsia="黑体"/>
                <w:sz w:val="28"/>
                <w:szCs w:val="28"/>
                <w:lang w:val="en-US" w:eastAsia="zh-CN"/>
              </w:rPr>
              <w:t xml:space="preserve">       </w:t>
            </w:r>
            <w:r>
              <w:rPr>
                <w:rFonts w:hint="eastAsia" w:ascii="黑体" w:hAnsi="黑体" w:eastAsia="黑体"/>
                <w:sz w:val="28"/>
                <w:szCs w:val="28"/>
              </w:rPr>
              <w:t xml:space="preserve">                           XXXX-XX-XX实施</w:t>
            </w:r>
          </w:p>
        </w:tc>
      </w:tr>
    </w:tbl>
    <w:p w14:paraId="00C68504">
      <w:pPr>
        <w:pStyle w:val="39"/>
        <w:ind w:firstLine="560"/>
        <w:jc w:val="center"/>
        <w:rPr>
          <w:rFonts w:hint="eastAsia" w:ascii="Times New Roman" w:eastAsia="黑体"/>
          <w:sz w:val="28"/>
          <w:szCs w:val="28"/>
        </w:rPr>
      </w:pPr>
    </w:p>
    <w:p w14:paraId="09ADDBC7">
      <w:pPr>
        <w:pStyle w:val="39"/>
        <w:ind w:firstLine="560"/>
        <w:jc w:val="center"/>
        <w:rPr>
          <w:rFonts w:hint="eastAsia" w:ascii="Times New Roman" w:eastAsia="黑体"/>
          <w:sz w:val="28"/>
          <w:szCs w:val="28"/>
        </w:rPr>
      </w:pPr>
      <w:r>
        <w:rPr>
          <w:rFonts w:hint="eastAsia" w:ascii="Times New Roman" w:eastAsia="黑体"/>
          <w:sz w:val="28"/>
          <w:szCs w:val="28"/>
        </w:rPr>
        <w:t>中国地质灾害防治与生态修复协会  发布</w:t>
      </w:r>
    </w:p>
    <w:p w14:paraId="4F8AF5D5">
      <w:pPr>
        <w:pStyle w:val="40"/>
        <w:shd w:val="clear" w:color="FFFFFF" w:fill="FFFFFF"/>
        <w:ind w:firstLine="0" w:firstLineChars="0"/>
        <w:rPr>
          <w:rFonts w:hint="eastAsia" w:hAnsi="Times New Roman" w:cs="Times New Roman"/>
          <w:lang w:val="en-US" w:eastAsia="zh-CN"/>
        </w:rPr>
        <w:sectPr>
          <w:headerReference r:id="rId5" w:type="default"/>
          <w:footerReference r:id="rId7" w:type="default"/>
          <w:headerReference r:id="rId6" w:type="even"/>
          <w:footerReference r:id="rId8" w:type="even"/>
          <w:pgSz w:w="11906" w:h="16838"/>
          <w:pgMar w:top="1418" w:right="1134" w:bottom="1134" w:left="1418" w:header="1418" w:footer="850" w:gutter="0"/>
          <w:pgNumType w:fmt="upperRoman" w:start="1"/>
          <w:cols w:space="0" w:num="1"/>
          <w:rtlGutter w:val="0"/>
          <w:docGrid w:type="lines" w:linePitch="312" w:charSpace="0"/>
        </w:sectPr>
      </w:pPr>
    </w:p>
    <w:p w14:paraId="11DFB1A5">
      <w:pPr>
        <w:pStyle w:val="40"/>
        <w:shd w:val="clear" w:color="FFFFFF" w:fill="FFFFFF"/>
        <w:ind w:firstLine="0" w:firstLineChars="0"/>
        <w:rPr>
          <w:rFonts w:hint="eastAsia" w:hAnsi="Times New Roman" w:cs="Times New Roman"/>
          <w:lang w:val="en-US" w:eastAsia="zh-CN"/>
        </w:rPr>
      </w:pPr>
      <w:bookmarkStart w:id="2" w:name="_Toc9366"/>
      <w:r>
        <w:rPr>
          <w:rFonts w:hint="eastAsia" w:hAnsi="Times New Roman" w:cs="Times New Roman"/>
          <w:lang w:val="en-US" w:eastAsia="zh-CN"/>
        </w:rPr>
        <w:t>目    次</w:t>
      </w:r>
      <w:bookmarkEnd w:id="2"/>
    </w:p>
    <w:p w14:paraId="0C916F59">
      <w:pPr>
        <w:pStyle w:val="9"/>
        <w:keepNext w:val="0"/>
        <w:keepLines w:val="0"/>
        <w:pageBreakBefore w:val="0"/>
        <w:widowControl w:val="0"/>
        <w:tabs>
          <w:tab w:val="right" w:leader="dot" w:pos="9354"/>
        </w:tabs>
        <w:kinsoku/>
        <w:wordWrap/>
        <w:overflowPunct/>
        <w:topLinePunct w:val="0"/>
        <w:autoSpaceDE/>
        <w:autoSpaceDN/>
        <w:bidi w:val="0"/>
        <w:adjustRightInd/>
        <w:snapToGrid/>
        <w:spacing w:before="79" w:beforeLines="25" w:after="79" w:afterLines="25" w:line="240" w:lineRule="auto"/>
        <w:textAlignment w:val="auto"/>
        <w:rPr>
          <w:rFonts w:hint="eastAsia" w:ascii="宋体" w:hAnsi="宋体" w:eastAsia="宋体" w:cs="宋体"/>
        </w:rPr>
      </w:pPr>
      <w:r>
        <w:rPr>
          <w:rFonts w:hint="eastAsia" w:ascii="宋体" w:hAnsi="宋体" w:eastAsia="宋体" w:cs="宋体"/>
          <w:bCs/>
          <w:color w:val="000000"/>
          <w:kern w:val="2"/>
          <w:sz w:val="21"/>
          <w:szCs w:val="32"/>
          <w:lang w:val="en-US" w:eastAsia="zh-CN" w:bidi="ar-SA"/>
        </w:rPr>
        <w:fldChar w:fldCharType="begin"/>
      </w:r>
      <w:r>
        <w:rPr>
          <w:rFonts w:hint="eastAsia" w:ascii="宋体" w:hAnsi="宋体" w:eastAsia="宋体" w:cs="宋体"/>
          <w:bCs/>
          <w:color w:val="000000"/>
          <w:kern w:val="2"/>
          <w:sz w:val="21"/>
          <w:szCs w:val="32"/>
          <w:lang w:val="en-US" w:eastAsia="zh-CN" w:bidi="ar-SA"/>
        </w:rPr>
        <w:instrText xml:space="preserve"> TOC \o "1-2" \h \z \u </w:instrText>
      </w:r>
      <w:r>
        <w:rPr>
          <w:rFonts w:hint="eastAsia" w:ascii="宋体" w:hAnsi="宋体" w:eastAsia="宋体" w:cs="宋体"/>
          <w:bCs/>
          <w:color w:val="000000"/>
          <w:kern w:val="2"/>
          <w:sz w:val="21"/>
          <w:szCs w:val="32"/>
          <w:lang w:val="en-US" w:eastAsia="zh-CN" w:bidi="ar-SA"/>
        </w:rPr>
        <w:fldChar w:fldCharType="separate"/>
      </w:r>
      <w:r>
        <w:rPr>
          <w:rFonts w:hint="eastAsia" w:ascii="宋体" w:hAnsi="宋体" w:eastAsia="宋体" w:cs="宋体"/>
          <w:bCs/>
          <w:color w:val="000000"/>
          <w:kern w:val="2"/>
          <w:szCs w:val="32"/>
          <w:lang w:val="en-US" w:eastAsia="zh-CN" w:bidi="ar-SA"/>
        </w:rPr>
        <w:fldChar w:fldCharType="begin"/>
      </w:r>
      <w:r>
        <w:rPr>
          <w:rFonts w:hint="eastAsia" w:ascii="宋体" w:hAnsi="宋体" w:eastAsia="宋体" w:cs="宋体"/>
          <w:bCs/>
          <w:kern w:val="2"/>
          <w:szCs w:val="32"/>
          <w:lang w:val="en-US" w:eastAsia="zh-CN" w:bidi="ar-SA"/>
        </w:rPr>
        <w:instrText xml:space="preserve"> HYPERLINK \l _Toc12893 </w:instrText>
      </w:r>
      <w:r>
        <w:rPr>
          <w:rFonts w:hint="eastAsia" w:ascii="宋体" w:hAnsi="宋体" w:eastAsia="宋体" w:cs="宋体"/>
          <w:bCs/>
          <w:kern w:val="2"/>
          <w:szCs w:val="32"/>
          <w:lang w:val="en-US" w:eastAsia="zh-CN" w:bidi="ar-SA"/>
        </w:rPr>
        <w:fldChar w:fldCharType="separate"/>
      </w:r>
      <w:r>
        <w:rPr>
          <w:rFonts w:hint="eastAsia" w:ascii="宋体" w:hAnsi="宋体" w:eastAsia="宋体" w:cs="宋体"/>
          <w:lang w:val="en-US" w:eastAsia="zh-CN"/>
        </w:rPr>
        <w:t>前    言</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_Toc12893 \h </w:instrText>
      </w:r>
      <w:r>
        <w:rPr>
          <w:rFonts w:hint="eastAsia" w:ascii="宋体" w:hAnsi="宋体" w:eastAsia="宋体" w:cs="宋体"/>
        </w:rPr>
        <w:fldChar w:fldCharType="separate"/>
      </w:r>
      <w:r>
        <w:rPr>
          <w:rFonts w:hint="eastAsia" w:ascii="宋体" w:hAnsi="宋体" w:eastAsia="宋体" w:cs="宋体"/>
        </w:rPr>
        <w:t>III</w:t>
      </w:r>
      <w:r>
        <w:rPr>
          <w:rFonts w:hint="eastAsia" w:ascii="宋体" w:hAnsi="宋体" w:eastAsia="宋体" w:cs="宋体"/>
        </w:rPr>
        <w:fldChar w:fldCharType="end"/>
      </w:r>
      <w:r>
        <w:rPr>
          <w:rFonts w:hint="eastAsia" w:ascii="宋体" w:hAnsi="宋体" w:eastAsia="宋体" w:cs="宋体"/>
          <w:bCs/>
          <w:color w:val="000000"/>
          <w:kern w:val="2"/>
          <w:szCs w:val="32"/>
          <w:lang w:val="en-US" w:eastAsia="zh-CN" w:bidi="ar-SA"/>
        </w:rPr>
        <w:fldChar w:fldCharType="end"/>
      </w:r>
    </w:p>
    <w:p w14:paraId="26A96779">
      <w:pPr>
        <w:pStyle w:val="9"/>
        <w:keepNext w:val="0"/>
        <w:keepLines w:val="0"/>
        <w:pageBreakBefore w:val="0"/>
        <w:widowControl w:val="0"/>
        <w:tabs>
          <w:tab w:val="right" w:leader="dot" w:pos="9354"/>
        </w:tabs>
        <w:kinsoku/>
        <w:wordWrap/>
        <w:overflowPunct/>
        <w:topLinePunct w:val="0"/>
        <w:autoSpaceDE/>
        <w:autoSpaceDN/>
        <w:bidi w:val="0"/>
        <w:adjustRightInd/>
        <w:snapToGrid/>
        <w:spacing w:before="79" w:beforeLines="25" w:after="79" w:afterLines="25" w:line="240" w:lineRule="auto"/>
        <w:textAlignment w:val="auto"/>
        <w:rPr>
          <w:rFonts w:hint="eastAsia" w:ascii="宋体" w:hAnsi="宋体" w:eastAsia="宋体" w:cs="宋体"/>
        </w:rPr>
      </w:pPr>
      <w:r>
        <w:rPr>
          <w:rFonts w:hint="eastAsia" w:ascii="宋体" w:hAnsi="宋体" w:eastAsia="宋体" w:cs="宋体"/>
          <w:bCs/>
          <w:color w:val="000000"/>
          <w:kern w:val="2"/>
          <w:szCs w:val="32"/>
          <w:lang w:val="en-US" w:eastAsia="zh-CN" w:bidi="ar-SA"/>
        </w:rPr>
        <w:fldChar w:fldCharType="begin"/>
      </w:r>
      <w:r>
        <w:rPr>
          <w:rFonts w:hint="eastAsia" w:ascii="宋体" w:hAnsi="宋体" w:eastAsia="宋体" w:cs="宋体"/>
          <w:bCs/>
          <w:kern w:val="2"/>
          <w:szCs w:val="32"/>
          <w:lang w:val="en-US" w:eastAsia="zh-CN" w:bidi="ar-SA"/>
        </w:rPr>
        <w:instrText xml:space="preserve"> HYPERLINK \l _Toc11322 </w:instrText>
      </w:r>
      <w:r>
        <w:rPr>
          <w:rFonts w:hint="eastAsia" w:ascii="宋体" w:hAnsi="宋体" w:eastAsia="宋体" w:cs="宋体"/>
          <w:bCs/>
          <w:kern w:val="2"/>
          <w:szCs w:val="32"/>
          <w:lang w:val="en-US" w:eastAsia="zh-CN" w:bidi="ar-SA"/>
        </w:rPr>
        <w:fldChar w:fldCharType="separate"/>
      </w:r>
      <w:r>
        <w:rPr>
          <w:rFonts w:hint="eastAsia" w:ascii="宋体" w:hAnsi="宋体" w:eastAsia="宋体" w:cs="宋体"/>
          <w:lang w:val="en-US" w:eastAsia="zh-CN"/>
        </w:rPr>
        <w:t>引    言</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_Toc11322 \h </w:instrText>
      </w:r>
      <w:r>
        <w:rPr>
          <w:rFonts w:hint="eastAsia" w:ascii="宋体" w:hAnsi="宋体" w:eastAsia="宋体" w:cs="宋体"/>
        </w:rPr>
        <w:fldChar w:fldCharType="separate"/>
      </w:r>
      <w:r>
        <w:rPr>
          <w:rFonts w:hint="eastAsia" w:ascii="宋体" w:hAnsi="宋体" w:eastAsia="宋体" w:cs="宋体"/>
        </w:rPr>
        <w:t>IV</w:t>
      </w:r>
      <w:r>
        <w:rPr>
          <w:rFonts w:hint="eastAsia" w:ascii="宋体" w:hAnsi="宋体" w:eastAsia="宋体" w:cs="宋体"/>
        </w:rPr>
        <w:fldChar w:fldCharType="end"/>
      </w:r>
      <w:r>
        <w:rPr>
          <w:rFonts w:hint="eastAsia" w:ascii="宋体" w:hAnsi="宋体" w:eastAsia="宋体" w:cs="宋体"/>
          <w:bCs/>
          <w:color w:val="000000"/>
          <w:kern w:val="2"/>
          <w:szCs w:val="32"/>
          <w:lang w:val="en-US" w:eastAsia="zh-CN" w:bidi="ar-SA"/>
        </w:rPr>
        <w:fldChar w:fldCharType="end"/>
      </w:r>
    </w:p>
    <w:p w14:paraId="3DCAC684">
      <w:pPr>
        <w:pStyle w:val="9"/>
        <w:keepNext w:val="0"/>
        <w:keepLines w:val="0"/>
        <w:pageBreakBefore w:val="0"/>
        <w:widowControl w:val="0"/>
        <w:tabs>
          <w:tab w:val="right" w:leader="dot" w:pos="9354"/>
        </w:tabs>
        <w:kinsoku/>
        <w:wordWrap/>
        <w:overflowPunct/>
        <w:topLinePunct w:val="0"/>
        <w:autoSpaceDE/>
        <w:autoSpaceDN/>
        <w:bidi w:val="0"/>
        <w:adjustRightInd/>
        <w:snapToGrid/>
        <w:spacing w:before="79" w:beforeLines="25" w:after="79" w:afterLines="25" w:line="240" w:lineRule="auto"/>
        <w:textAlignment w:val="auto"/>
        <w:rPr>
          <w:rFonts w:hint="eastAsia" w:ascii="宋体" w:hAnsi="宋体" w:eastAsia="宋体" w:cs="宋体"/>
        </w:rPr>
      </w:pPr>
      <w:r>
        <w:rPr>
          <w:rFonts w:hint="eastAsia" w:ascii="宋体" w:hAnsi="宋体" w:eastAsia="宋体" w:cs="宋体"/>
          <w:bCs/>
          <w:color w:val="000000"/>
          <w:kern w:val="2"/>
          <w:szCs w:val="32"/>
          <w:lang w:val="en-US" w:eastAsia="zh-CN" w:bidi="ar-SA"/>
        </w:rPr>
        <w:fldChar w:fldCharType="begin"/>
      </w:r>
      <w:r>
        <w:rPr>
          <w:rFonts w:hint="eastAsia" w:ascii="宋体" w:hAnsi="宋体" w:eastAsia="宋体" w:cs="宋体"/>
          <w:bCs/>
          <w:kern w:val="2"/>
          <w:szCs w:val="32"/>
          <w:lang w:val="en-US" w:eastAsia="zh-CN" w:bidi="ar-SA"/>
        </w:rPr>
        <w:instrText xml:space="preserve"> HYPERLINK \l _Toc11451 </w:instrText>
      </w:r>
      <w:r>
        <w:rPr>
          <w:rFonts w:hint="eastAsia" w:ascii="宋体" w:hAnsi="宋体" w:eastAsia="宋体" w:cs="宋体"/>
          <w:bCs/>
          <w:kern w:val="2"/>
          <w:szCs w:val="32"/>
          <w:lang w:val="en-US" w:eastAsia="zh-CN" w:bidi="ar-SA"/>
        </w:rPr>
        <w:fldChar w:fldCharType="separate"/>
      </w:r>
      <w:r>
        <w:rPr>
          <w:rFonts w:hint="eastAsia" w:ascii="宋体" w:hAnsi="宋体" w:eastAsia="宋体" w:cs="宋体"/>
          <w:bCs/>
          <w:i w:val="0"/>
          <w:kern w:val="2"/>
          <w:szCs w:val="32"/>
          <w:lang w:val="en-US" w:eastAsia="zh-CN" w:bidi="ar-SA"/>
        </w:rPr>
        <w:t xml:space="preserve">1 </w:t>
      </w:r>
      <w:r>
        <w:rPr>
          <w:rFonts w:hint="eastAsia" w:ascii="宋体" w:hAnsi="宋体" w:eastAsia="宋体" w:cs="宋体"/>
          <w:bCs/>
          <w:kern w:val="2"/>
          <w:szCs w:val="32"/>
          <w:lang w:val="en-US" w:eastAsia="zh-CN" w:bidi="ar-SA"/>
        </w:rPr>
        <w:t>范围</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_Toc11451 \h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r>
        <w:rPr>
          <w:rFonts w:hint="eastAsia" w:ascii="宋体" w:hAnsi="宋体" w:eastAsia="宋体" w:cs="宋体"/>
          <w:bCs/>
          <w:color w:val="000000"/>
          <w:kern w:val="2"/>
          <w:szCs w:val="32"/>
          <w:lang w:val="en-US" w:eastAsia="zh-CN" w:bidi="ar-SA"/>
        </w:rPr>
        <w:fldChar w:fldCharType="end"/>
      </w:r>
    </w:p>
    <w:p w14:paraId="324A93CD">
      <w:pPr>
        <w:pStyle w:val="9"/>
        <w:keepNext w:val="0"/>
        <w:keepLines w:val="0"/>
        <w:pageBreakBefore w:val="0"/>
        <w:widowControl w:val="0"/>
        <w:tabs>
          <w:tab w:val="right" w:leader="dot" w:pos="9354"/>
        </w:tabs>
        <w:kinsoku/>
        <w:wordWrap/>
        <w:overflowPunct/>
        <w:topLinePunct w:val="0"/>
        <w:autoSpaceDE/>
        <w:autoSpaceDN/>
        <w:bidi w:val="0"/>
        <w:adjustRightInd/>
        <w:snapToGrid/>
        <w:spacing w:before="79" w:beforeLines="25" w:after="79" w:afterLines="25" w:line="240" w:lineRule="auto"/>
        <w:textAlignment w:val="auto"/>
        <w:rPr>
          <w:rFonts w:hint="eastAsia" w:ascii="宋体" w:hAnsi="宋体" w:eastAsia="宋体" w:cs="宋体"/>
        </w:rPr>
      </w:pPr>
      <w:r>
        <w:rPr>
          <w:rFonts w:hint="eastAsia" w:ascii="宋体" w:hAnsi="宋体" w:eastAsia="宋体" w:cs="宋体"/>
          <w:bCs/>
          <w:color w:val="000000"/>
          <w:kern w:val="2"/>
          <w:szCs w:val="32"/>
          <w:lang w:val="en-US" w:eastAsia="zh-CN" w:bidi="ar-SA"/>
        </w:rPr>
        <w:fldChar w:fldCharType="begin"/>
      </w:r>
      <w:r>
        <w:rPr>
          <w:rFonts w:hint="eastAsia" w:ascii="宋体" w:hAnsi="宋体" w:eastAsia="宋体" w:cs="宋体"/>
          <w:bCs/>
          <w:kern w:val="2"/>
          <w:szCs w:val="32"/>
          <w:lang w:val="en-US" w:eastAsia="zh-CN" w:bidi="ar-SA"/>
        </w:rPr>
        <w:instrText xml:space="preserve"> HYPERLINK \l _Toc6619 </w:instrText>
      </w:r>
      <w:r>
        <w:rPr>
          <w:rFonts w:hint="eastAsia" w:ascii="宋体" w:hAnsi="宋体" w:eastAsia="宋体" w:cs="宋体"/>
          <w:bCs/>
          <w:kern w:val="2"/>
          <w:szCs w:val="32"/>
          <w:lang w:val="en-US" w:eastAsia="zh-CN" w:bidi="ar-SA"/>
        </w:rPr>
        <w:fldChar w:fldCharType="separate"/>
      </w:r>
      <w:r>
        <w:rPr>
          <w:rFonts w:hint="eastAsia" w:ascii="宋体" w:hAnsi="宋体" w:eastAsia="宋体" w:cs="宋体"/>
          <w:bCs/>
          <w:i w:val="0"/>
          <w:kern w:val="2"/>
          <w:szCs w:val="32"/>
          <w:lang w:val="en-US" w:eastAsia="zh-CN" w:bidi="ar-SA"/>
        </w:rPr>
        <w:t xml:space="preserve">2 </w:t>
      </w:r>
      <w:r>
        <w:rPr>
          <w:rFonts w:hint="eastAsia" w:ascii="宋体" w:hAnsi="宋体" w:eastAsia="宋体" w:cs="宋体"/>
          <w:bCs/>
          <w:kern w:val="2"/>
          <w:szCs w:val="32"/>
          <w:lang w:val="en-US" w:eastAsia="zh-CN" w:bidi="ar-SA"/>
        </w:rPr>
        <w:t>规范性引用文件</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_Toc6619 \h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r>
        <w:rPr>
          <w:rFonts w:hint="eastAsia" w:ascii="宋体" w:hAnsi="宋体" w:eastAsia="宋体" w:cs="宋体"/>
          <w:bCs/>
          <w:color w:val="000000"/>
          <w:kern w:val="2"/>
          <w:szCs w:val="32"/>
          <w:lang w:val="en-US" w:eastAsia="zh-CN" w:bidi="ar-SA"/>
        </w:rPr>
        <w:fldChar w:fldCharType="end"/>
      </w:r>
    </w:p>
    <w:p w14:paraId="77F446E7">
      <w:pPr>
        <w:pStyle w:val="9"/>
        <w:keepNext w:val="0"/>
        <w:keepLines w:val="0"/>
        <w:pageBreakBefore w:val="0"/>
        <w:widowControl w:val="0"/>
        <w:tabs>
          <w:tab w:val="right" w:leader="dot" w:pos="9354"/>
        </w:tabs>
        <w:kinsoku/>
        <w:wordWrap/>
        <w:overflowPunct/>
        <w:topLinePunct w:val="0"/>
        <w:autoSpaceDE/>
        <w:autoSpaceDN/>
        <w:bidi w:val="0"/>
        <w:adjustRightInd/>
        <w:snapToGrid/>
        <w:spacing w:before="79" w:beforeLines="25" w:after="79" w:afterLines="25" w:line="240" w:lineRule="auto"/>
        <w:textAlignment w:val="auto"/>
        <w:rPr>
          <w:rFonts w:hint="eastAsia" w:ascii="宋体" w:hAnsi="宋体" w:eastAsia="宋体" w:cs="宋体"/>
        </w:rPr>
      </w:pPr>
      <w:r>
        <w:rPr>
          <w:rFonts w:hint="eastAsia" w:ascii="宋体" w:hAnsi="宋体" w:eastAsia="宋体" w:cs="宋体"/>
          <w:bCs/>
          <w:color w:val="000000"/>
          <w:kern w:val="2"/>
          <w:szCs w:val="32"/>
          <w:lang w:val="en-US" w:eastAsia="zh-CN" w:bidi="ar-SA"/>
        </w:rPr>
        <w:fldChar w:fldCharType="begin"/>
      </w:r>
      <w:r>
        <w:rPr>
          <w:rFonts w:hint="eastAsia" w:ascii="宋体" w:hAnsi="宋体" w:eastAsia="宋体" w:cs="宋体"/>
          <w:bCs/>
          <w:kern w:val="2"/>
          <w:szCs w:val="32"/>
          <w:lang w:val="en-US" w:eastAsia="zh-CN" w:bidi="ar-SA"/>
        </w:rPr>
        <w:instrText xml:space="preserve"> HYPERLINK \l _Toc7106 </w:instrText>
      </w:r>
      <w:r>
        <w:rPr>
          <w:rFonts w:hint="eastAsia" w:ascii="宋体" w:hAnsi="宋体" w:eastAsia="宋体" w:cs="宋体"/>
          <w:bCs/>
          <w:kern w:val="2"/>
          <w:szCs w:val="32"/>
          <w:lang w:val="en-US" w:eastAsia="zh-CN" w:bidi="ar-SA"/>
        </w:rPr>
        <w:fldChar w:fldCharType="separate"/>
      </w:r>
      <w:r>
        <w:rPr>
          <w:rFonts w:hint="eastAsia" w:ascii="宋体" w:hAnsi="宋体" w:eastAsia="宋体" w:cs="宋体"/>
          <w:bCs/>
          <w:i w:val="0"/>
          <w:kern w:val="2"/>
          <w:szCs w:val="32"/>
          <w:lang w:val="en-US" w:eastAsia="zh-CN" w:bidi="ar-SA"/>
        </w:rPr>
        <w:t xml:space="preserve">3 </w:t>
      </w:r>
      <w:r>
        <w:rPr>
          <w:rFonts w:hint="eastAsia" w:ascii="宋体" w:hAnsi="宋体" w:eastAsia="宋体" w:cs="宋体"/>
          <w:bCs/>
          <w:kern w:val="2"/>
          <w:szCs w:val="32"/>
          <w:lang w:val="en-US" w:eastAsia="zh-CN" w:bidi="ar-SA"/>
        </w:rPr>
        <w:t>术语和定义</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_Toc7106 \h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r>
        <w:rPr>
          <w:rFonts w:hint="eastAsia" w:ascii="宋体" w:hAnsi="宋体" w:eastAsia="宋体" w:cs="宋体"/>
          <w:bCs/>
          <w:color w:val="000000"/>
          <w:kern w:val="2"/>
          <w:szCs w:val="32"/>
          <w:lang w:val="en-US" w:eastAsia="zh-CN" w:bidi="ar-SA"/>
        </w:rPr>
        <w:fldChar w:fldCharType="end"/>
      </w:r>
    </w:p>
    <w:p w14:paraId="372F74A7">
      <w:pPr>
        <w:pStyle w:val="9"/>
        <w:keepNext w:val="0"/>
        <w:keepLines w:val="0"/>
        <w:pageBreakBefore w:val="0"/>
        <w:widowControl w:val="0"/>
        <w:tabs>
          <w:tab w:val="right" w:leader="dot" w:pos="9354"/>
        </w:tabs>
        <w:kinsoku/>
        <w:wordWrap/>
        <w:overflowPunct/>
        <w:topLinePunct w:val="0"/>
        <w:autoSpaceDE/>
        <w:autoSpaceDN/>
        <w:bidi w:val="0"/>
        <w:adjustRightInd/>
        <w:snapToGrid/>
        <w:spacing w:before="79" w:beforeLines="25" w:after="79" w:afterLines="25" w:line="240" w:lineRule="auto"/>
        <w:textAlignment w:val="auto"/>
        <w:rPr>
          <w:rFonts w:hint="eastAsia" w:ascii="宋体" w:hAnsi="宋体" w:eastAsia="宋体" w:cs="宋体"/>
        </w:rPr>
      </w:pPr>
      <w:r>
        <w:rPr>
          <w:rFonts w:hint="eastAsia" w:ascii="宋体" w:hAnsi="宋体" w:eastAsia="宋体" w:cs="宋体"/>
          <w:bCs/>
          <w:color w:val="000000"/>
          <w:kern w:val="2"/>
          <w:szCs w:val="32"/>
          <w:lang w:val="en-US" w:eastAsia="zh-CN" w:bidi="ar-SA"/>
        </w:rPr>
        <w:fldChar w:fldCharType="begin"/>
      </w:r>
      <w:r>
        <w:rPr>
          <w:rFonts w:hint="eastAsia" w:ascii="宋体" w:hAnsi="宋体" w:eastAsia="宋体" w:cs="宋体"/>
          <w:bCs/>
          <w:kern w:val="2"/>
          <w:szCs w:val="32"/>
          <w:lang w:val="en-US" w:eastAsia="zh-CN" w:bidi="ar-SA"/>
        </w:rPr>
        <w:instrText xml:space="preserve"> HYPERLINK \l _Toc25614 </w:instrText>
      </w:r>
      <w:r>
        <w:rPr>
          <w:rFonts w:hint="eastAsia" w:ascii="宋体" w:hAnsi="宋体" w:eastAsia="宋体" w:cs="宋体"/>
          <w:bCs/>
          <w:kern w:val="2"/>
          <w:szCs w:val="32"/>
          <w:lang w:val="en-US" w:eastAsia="zh-CN" w:bidi="ar-SA"/>
        </w:rPr>
        <w:fldChar w:fldCharType="separate"/>
      </w:r>
      <w:r>
        <w:rPr>
          <w:rFonts w:hint="eastAsia" w:ascii="宋体" w:hAnsi="宋体" w:eastAsia="宋体" w:cs="宋体"/>
          <w:bCs/>
          <w:i w:val="0"/>
          <w:kern w:val="2"/>
          <w:szCs w:val="32"/>
          <w:lang w:val="en-US" w:eastAsia="zh-CN" w:bidi="ar-SA"/>
        </w:rPr>
        <w:t xml:space="preserve">4 </w:t>
      </w:r>
      <w:r>
        <w:rPr>
          <w:rFonts w:hint="eastAsia" w:ascii="宋体" w:hAnsi="宋体" w:eastAsia="宋体" w:cs="宋体"/>
          <w:bCs/>
          <w:kern w:val="2"/>
          <w:szCs w:val="32"/>
          <w:lang w:val="en-US" w:eastAsia="zh-CN" w:bidi="ar-SA"/>
        </w:rPr>
        <w:t>建设原则</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_Toc25614 \h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r>
        <w:rPr>
          <w:rFonts w:hint="eastAsia" w:ascii="宋体" w:hAnsi="宋体" w:eastAsia="宋体" w:cs="宋体"/>
          <w:bCs/>
          <w:color w:val="000000"/>
          <w:kern w:val="2"/>
          <w:szCs w:val="32"/>
          <w:lang w:val="en-US" w:eastAsia="zh-CN" w:bidi="ar-SA"/>
        </w:rPr>
        <w:fldChar w:fldCharType="end"/>
      </w:r>
    </w:p>
    <w:p w14:paraId="212D0406">
      <w:pPr>
        <w:pStyle w:val="9"/>
        <w:keepNext w:val="0"/>
        <w:keepLines w:val="0"/>
        <w:pageBreakBefore w:val="0"/>
        <w:widowControl w:val="0"/>
        <w:tabs>
          <w:tab w:val="right" w:leader="dot" w:pos="9354"/>
        </w:tabs>
        <w:kinsoku/>
        <w:wordWrap/>
        <w:overflowPunct/>
        <w:topLinePunct w:val="0"/>
        <w:autoSpaceDE/>
        <w:autoSpaceDN/>
        <w:bidi w:val="0"/>
        <w:adjustRightInd/>
        <w:snapToGrid/>
        <w:spacing w:before="79" w:beforeLines="25" w:after="79" w:afterLines="25" w:line="240" w:lineRule="auto"/>
        <w:textAlignment w:val="auto"/>
        <w:rPr>
          <w:rFonts w:hint="eastAsia" w:ascii="宋体" w:hAnsi="宋体" w:eastAsia="宋体" w:cs="宋体"/>
        </w:rPr>
      </w:pPr>
      <w:r>
        <w:rPr>
          <w:rFonts w:hint="eastAsia" w:ascii="宋体" w:hAnsi="宋体" w:eastAsia="宋体" w:cs="宋体"/>
          <w:bCs/>
          <w:color w:val="000000"/>
          <w:kern w:val="2"/>
          <w:szCs w:val="32"/>
          <w:lang w:val="en-US" w:eastAsia="zh-CN" w:bidi="ar-SA"/>
        </w:rPr>
        <w:fldChar w:fldCharType="begin"/>
      </w:r>
      <w:r>
        <w:rPr>
          <w:rFonts w:hint="eastAsia" w:ascii="宋体" w:hAnsi="宋体" w:eastAsia="宋体" w:cs="宋体"/>
          <w:bCs/>
          <w:kern w:val="2"/>
          <w:szCs w:val="32"/>
          <w:lang w:val="en-US" w:eastAsia="zh-CN" w:bidi="ar-SA"/>
        </w:rPr>
        <w:instrText xml:space="preserve"> HYPERLINK \l _Toc7098 </w:instrText>
      </w:r>
      <w:r>
        <w:rPr>
          <w:rFonts w:hint="eastAsia" w:ascii="宋体" w:hAnsi="宋体" w:eastAsia="宋体" w:cs="宋体"/>
          <w:bCs/>
          <w:kern w:val="2"/>
          <w:szCs w:val="32"/>
          <w:lang w:val="en-US" w:eastAsia="zh-CN" w:bidi="ar-SA"/>
        </w:rPr>
        <w:fldChar w:fldCharType="separate"/>
      </w:r>
      <w:r>
        <w:rPr>
          <w:rFonts w:hint="eastAsia" w:ascii="宋体" w:hAnsi="宋体" w:eastAsia="宋体" w:cs="宋体"/>
          <w:bCs/>
          <w:i w:val="0"/>
          <w:kern w:val="2"/>
          <w:szCs w:val="32"/>
          <w:lang w:val="en-US" w:eastAsia="zh-CN" w:bidi="ar-SA"/>
        </w:rPr>
        <w:t xml:space="preserve">5 </w:t>
      </w:r>
      <w:r>
        <w:rPr>
          <w:rFonts w:hint="eastAsia" w:ascii="宋体" w:hAnsi="宋体" w:eastAsia="宋体" w:cs="宋体"/>
          <w:bCs/>
          <w:kern w:val="2"/>
          <w:szCs w:val="32"/>
          <w:lang w:val="en-US" w:eastAsia="zh-CN" w:bidi="ar-SA"/>
        </w:rPr>
        <w:t>专业技术支撑能力要求</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_Toc7098 \h </w:instrText>
      </w:r>
      <w:r>
        <w:rPr>
          <w:rFonts w:hint="eastAsia" w:ascii="宋体" w:hAnsi="宋体" w:eastAsia="宋体" w:cs="宋体"/>
        </w:rPr>
        <w:fldChar w:fldCharType="separate"/>
      </w:r>
      <w:r>
        <w:rPr>
          <w:rFonts w:hint="eastAsia" w:ascii="宋体" w:hAnsi="宋体" w:eastAsia="宋体" w:cs="宋体"/>
        </w:rPr>
        <w:t>2</w:t>
      </w:r>
      <w:r>
        <w:rPr>
          <w:rFonts w:hint="eastAsia" w:ascii="宋体" w:hAnsi="宋体" w:eastAsia="宋体" w:cs="宋体"/>
        </w:rPr>
        <w:fldChar w:fldCharType="end"/>
      </w:r>
      <w:r>
        <w:rPr>
          <w:rFonts w:hint="eastAsia" w:ascii="宋体" w:hAnsi="宋体" w:eastAsia="宋体" w:cs="宋体"/>
          <w:bCs/>
          <w:color w:val="000000"/>
          <w:kern w:val="2"/>
          <w:szCs w:val="32"/>
          <w:lang w:val="en-US" w:eastAsia="zh-CN" w:bidi="ar-SA"/>
        </w:rPr>
        <w:fldChar w:fldCharType="end"/>
      </w:r>
    </w:p>
    <w:p w14:paraId="3B9554E3">
      <w:pPr>
        <w:pStyle w:val="10"/>
        <w:keepNext w:val="0"/>
        <w:keepLines w:val="0"/>
        <w:pageBreakBefore w:val="0"/>
        <w:widowControl w:val="0"/>
        <w:tabs>
          <w:tab w:val="right" w:leader="dot" w:pos="9354"/>
        </w:tabs>
        <w:kinsoku/>
        <w:wordWrap/>
        <w:overflowPunct/>
        <w:topLinePunct w:val="0"/>
        <w:autoSpaceDE/>
        <w:autoSpaceDN/>
        <w:bidi w:val="0"/>
        <w:adjustRightInd/>
        <w:snapToGrid/>
        <w:spacing w:line="240" w:lineRule="auto"/>
        <w:textAlignment w:val="auto"/>
        <w:rPr>
          <w:rFonts w:hint="eastAsia" w:ascii="宋体" w:hAnsi="宋体" w:eastAsia="宋体" w:cs="宋体"/>
        </w:rPr>
      </w:pPr>
      <w:r>
        <w:rPr>
          <w:rFonts w:hint="eastAsia" w:ascii="宋体" w:hAnsi="宋体" w:eastAsia="宋体" w:cs="宋体"/>
          <w:bCs/>
          <w:color w:val="000000"/>
          <w:kern w:val="2"/>
          <w:szCs w:val="32"/>
          <w:lang w:val="en-US" w:eastAsia="zh-CN" w:bidi="ar-SA"/>
        </w:rPr>
        <w:fldChar w:fldCharType="begin"/>
      </w:r>
      <w:r>
        <w:rPr>
          <w:rFonts w:hint="eastAsia" w:ascii="宋体" w:hAnsi="宋体" w:eastAsia="宋体" w:cs="宋体"/>
          <w:bCs/>
          <w:kern w:val="2"/>
          <w:szCs w:val="32"/>
          <w:lang w:val="en-US" w:eastAsia="zh-CN" w:bidi="ar-SA"/>
        </w:rPr>
        <w:instrText xml:space="preserve"> HYPERLINK \l _Toc8933 </w:instrText>
      </w:r>
      <w:r>
        <w:rPr>
          <w:rFonts w:hint="eastAsia" w:ascii="宋体" w:hAnsi="宋体" w:eastAsia="宋体" w:cs="宋体"/>
          <w:bCs/>
          <w:kern w:val="2"/>
          <w:szCs w:val="32"/>
          <w:lang w:val="en-US" w:eastAsia="zh-CN" w:bidi="ar-SA"/>
        </w:rPr>
        <w:fldChar w:fldCharType="separate"/>
      </w:r>
      <w:r>
        <w:rPr>
          <w:rFonts w:hint="eastAsia" w:ascii="宋体" w:hAnsi="宋体" w:eastAsia="宋体" w:cs="宋体"/>
          <w:bCs/>
          <w:i w:val="0"/>
          <w:kern w:val="2"/>
          <w:szCs w:val="32"/>
          <w:lang w:val="en-US" w:eastAsia="zh-CN" w:bidi="ar-SA"/>
        </w:rPr>
        <w:t xml:space="preserve">5.1 </w:t>
      </w:r>
      <w:r>
        <w:rPr>
          <w:rFonts w:hint="eastAsia" w:ascii="宋体" w:hAnsi="宋体" w:eastAsia="宋体" w:cs="宋体"/>
          <w:bCs/>
          <w:kern w:val="2"/>
          <w:szCs w:val="32"/>
          <w:lang w:val="en-US" w:eastAsia="zh-CN" w:bidi="ar-SA"/>
        </w:rPr>
        <w:t>人员能力</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_Toc8933 \h </w:instrText>
      </w:r>
      <w:r>
        <w:rPr>
          <w:rFonts w:hint="eastAsia" w:ascii="宋体" w:hAnsi="宋体" w:eastAsia="宋体" w:cs="宋体"/>
        </w:rPr>
        <w:fldChar w:fldCharType="separate"/>
      </w:r>
      <w:r>
        <w:rPr>
          <w:rFonts w:hint="eastAsia" w:ascii="宋体" w:hAnsi="宋体" w:eastAsia="宋体" w:cs="宋体"/>
        </w:rPr>
        <w:t>2</w:t>
      </w:r>
      <w:r>
        <w:rPr>
          <w:rFonts w:hint="eastAsia" w:ascii="宋体" w:hAnsi="宋体" w:eastAsia="宋体" w:cs="宋体"/>
        </w:rPr>
        <w:fldChar w:fldCharType="end"/>
      </w:r>
      <w:r>
        <w:rPr>
          <w:rFonts w:hint="eastAsia" w:ascii="宋体" w:hAnsi="宋体" w:eastAsia="宋体" w:cs="宋体"/>
          <w:bCs/>
          <w:color w:val="000000"/>
          <w:kern w:val="2"/>
          <w:szCs w:val="32"/>
          <w:lang w:val="en-US" w:eastAsia="zh-CN" w:bidi="ar-SA"/>
        </w:rPr>
        <w:fldChar w:fldCharType="end"/>
      </w:r>
    </w:p>
    <w:p w14:paraId="7F4650B5">
      <w:pPr>
        <w:pStyle w:val="10"/>
        <w:keepNext w:val="0"/>
        <w:keepLines w:val="0"/>
        <w:pageBreakBefore w:val="0"/>
        <w:widowControl w:val="0"/>
        <w:tabs>
          <w:tab w:val="right" w:leader="dot" w:pos="9354"/>
        </w:tabs>
        <w:kinsoku/>
        <w:wordWrap/>
        <w:overflowPunct/>
        <w:topLinePunct w:val="0"/>
        <w:autoSpaceDE/>
        <w:autoSpaceDN/>
        <w:bidi w:val="0"/>
        <w:adjustRightInd/>
        <w:snapToGrid/>
        <w:spacing w:line="240" w:lineRule="auto"/>
        <w:textAlignment w:val="auto"/>
        <w:rPr>
          <w:rFonts w:hint="eastAsia" w:ascii="宋体" w:hAnsi="宋体" w:eastAsia="宋体" w:cs="宋体"/>
        </w:rPr>
      </w:pPr>
      <w:r>
        <w:rPr>
          <w:rFonts w:hint="eastAsia" w:ascii="宋体" w:hAnsi="宋体" w:eastAsia="宋体" w:cs="宋体"/>
          <w:bCs/>
          <w:color w:val="000000"/>
          <w:kern w:val="2"/>
          <w:szCs w:val="32"/>
          <w:lang w:val="en-US" w:eastAsia="zh-CN" w:bidi="ar-SA"/>
        </w:rPr>
        <w:fldChar w:fldCharType="begin"/>
      </w:r>
      <w:r>
        <w:rPr>
          <w:rFonts w:hint="eastAsia" w:ascii="宋体" w:hAnsi="宋体" w:eastAsia="宋体" w:cs="宋体"/>
          <w:bCs/>
          <w:kern w:val="2"/>
          <w:szCs w:val="32"/>
          <w:lang w:val="en-US" w:eastAsia="zh-CN" w:bidi="ar-SA"/>
        </w:rPr>
        <w:instrText xml:space="preserve"> HYPERLINK \l _Toc26499 </w:instrText>
      </w:r>
      <w:r>
        <w:rPr>
          <w:rFonts w:hint="eastAsia" w:ascii="宋体" w:hAnsi="宋体" w:eastAsia="宋体" w:cs="宋体"/>
          <w:bCs/>
          <w:kern w:val="2"/>
          <w:szCs w:val="32"/>
          <w:lang w:val="en-US" w:eastAsia="zh-CN" w:bidi="ar-SA"/>
        </w:rPr>
        <w:fldChar w:fldCharType="separate"/>
      </w:r>
      <w:r>
        <w:rPr>
          <w:rFonts w:hint="eastAsia" w:ascii="宋体" w:hAnsi="宋体" w:eastAsia="宋体" w:cs="宋体"/>
          <w:bCs/>
          <w:i w:val="0"/>
          <w:kern w:val="2"/>
          <w:szCs w:val="32"/>
          <w:lang w:val="en-US" w:eastAsia="zh-CN" w:bidi="ar-SA"/>
        </w:rPr>
        <w:t xml:space="preserve">5.2 </w:t>
      </w:r>
      <w:r>
        <w:rPr>
          <w:rFonts w:hint="eastAsia" w:ascii="宋体" w:hAnsi="宋体" w:eastAsia="宋体" w:cs="宋体"/>
          <w:bCs/>
          <w:kern w:val="2"/>
          <w:szCs w:val="32"/>
          <w:lang w:val="en-US" w:eastAsia="zh-CN" w:bidi="ar-SA"/>
        </w:rPr>
        <w:t>基础能力</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_Toc26499 \h </w:instrText>
      </w:r>
      <w:r>
        <w:rPr>
          <w:rFonts w:hint="eastAsia" w:ascii="宋体" w:hAnsi="宋体" w:eastAsia="宋体" w:cs="宋体"/>
        </w:rPr>
        <w:fldChar w:fldCharType="separate"/>
      </w:r>
      <w:r>
        <w:rPr>
          <w:rFonts w:hint="eastAsia" w:ascii="宋体" w:hAnsi="宋体" w:eastAsia="宋体" w:cs="宋体"/>
        </w:rPr>
        <w:t>2</w:t>
      </w:r>
      <w:r>
        <w:rPr>
          <w:rFonts w:hint="eastAsia" w:ascii="宋体" w:hAnsi="宋体" w:eastAsia="宋体" w:cs="宋体"/>
        </w:rPr>
        <w:fldChar w:fldCharType="end"/>
      </w:r>
      <w:r>
        <w:rPr>
          <w:rFonts w:hint="eastAsia" w:ascii="宋体" w:hAnsi="宋体" w:eastAsia="宋体" w:cs="宋体"/>
          <w:bCs/>
          <w:color w:val="000000"/>
          <w:kern w:val="2"/>
          <w:szCs w:val="32"/>
          <w:lang w:val="en-US" w:eastAsia="zh-CN" w:bidi="ar-SA"/>
        </w:rPr>
        <w:fldChar w:fldCharType="end"/>
      </w:r>
    </w:p>
    <w:p w14:paraId="7319E2A9">
      <w:pPr>
        <w:pStyle w:val="10"/>
        <w:keepNext w:val="0"/>
        <w:keepLines w:val="0"/>
        <w:pageBreakBefore w:val="0"/>
        <w:widowControl w:val="0"/>
        <w:tabs>
          <w:tab w:val="right" w:leader="dot" w:pos="9354"/>
        </w:tabs>
        <w:kinsoku/>
        <w:wordWrap/>
        <w:overflowPunct/>
        <w:topLinePunct w:val="0"/>
        <w:autoSpaceDE/>
        <w:autoSpaceDN/>
        <w:bidi w:val="0"/>
        <w:adjustRightInd/>
        <w:snapToGrid/>
        <w:spacing w:line="240" w:lineRule="auto"/>
        <w:textAlignment w:val="auto"/>
        <w:rPr>
          <w:rFonts w:hint="eastAsia" w:ascii="宋体" w:hAnsi="宋体" w:eastAsia="宋体" w:cs="宋体"/>
        </w:rPr>
      </w:pPr>
      <w:r>
        <w:rPr>
          <w:rFonts w:hint="eastAsia" w:ascii="宋体" w:hAnsi="宋体" w:eastAsia="宋体" w:cs="宋体"/>
          <w:bCs/>
          <w:color w:val="000000"/>
          <w:kern w:val="2"/>
          <w:szCs w:val="32"/>
          <w:lang w:val="en-US" w:eastAsia="zh-CN" w:bidi="ar-SA"/>
        </w:rPr>
        <w:fldChar w:fldCharType="begin"/>
      </w:r>
      <w:r>
        <w:rPr>
          <w:rFonts w:hint="eastAsia" w:ascii="宋体" w:hAnsi="宋体" w:eastAsia="宋体" w:cs="宋体"/>
          <w:bCs/>
          <w:kern w:val="2"/>
          <w:szCs w:val="32"/>
          <w:lang w:val="en-US" w:eastAsia="zh-CN" w:bidi="ar-SA"/>
        </w:rPr>
        <w:instrText xml:space="preserve"> HYPERLINK \l _Toc10236 </w:instrText>
      </w:r>
      <w:r>
        <w:rPr>
          <w:rFonts w:hint="eastAsia" w:ascii="宋体" w:hAnsi="宋体" w:eastAsia="宋体" w:cs="宋体"/>
          <w:bCs/>
          <w:kern w:val="2"/>
          <w:szCs w:val="32"/>
          <w:lang w:val="en-US" w:eastAsia="zh-CN" w:bidi="ar-SA"/>
        </w:rPr>
        <w:fldChar w:fldCharType="separate"/>
      </w:r>
      <w:r>
        <w:rPr>
          <w:rFonts w:hint="eastAsia" w:ascii="宋体" w:hAnsi="宋体" w:eastAsia="宋体" w:cs="宋体"/>
          <w:bCs/>
          <w:i w:val="0"/>
          <w:kern w:val="2"/>
          <w:szCs w:val="32"/>
          <w:lang w:val="en-US" w:eastAsia="zh-CN" w:bidi="ar-SA"/>
        </w:rPr>
        <w:t xml:space="preserve">5.3 </w:t>
      </w:r>
      <w:r>
        <w:rPr>
          <w:rFonts w:hint="eastAsia" w:ascii="宋体" w:hAnsi="宋体" w:eastAsia="宋体" w:cs="宋体"/>
          <w:bCs/>
          <w:kern w:val="2"/>
          <w:szCs w:val="32"/>
          <w:lang w:val="en-US" w:eastAsia="zh-CN" w:bidi="ar-SA"/>
        </w:rPr>
        <w:t>技术能力</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_Toc10236 \h </w:instrText>
      </w:r>
      <w:r>
        <w:rPr>
          <w:rFonts w:hint="eastAsia" w:ascii="宋体" w:hAnsi="宋体" w:eastAsia="宋体" w:cs="宋体"/>
        </w:rPr>
        <w:fldChar w:fldCharType="separate"/>
      </w:r>
      <w:r>
        <w:rPr>
          <w:rFonts w:hint="eastAsia" w:ascii="宋体" w:hAnsi="宋体" w:eastAsia="宋体" w:cs="宋体"/>
        </w:rPr>
        <w:t>2</w:t>
      </w:r>
      <w:r>
        <w:rPr>
          <w:rFonts w:hint="eastAsia" w:ascii="宋体" w:hAnsi="宋体" w:eastAsia="宋体" w:cs="宋体"/>
        </w:rPr>
        <w:fldChar w:fldCharType="end"/>
      </w:r>
      <w:r>
        <w:rPr>
          <w:rFonts w:hint="eastAsia" w:ascii="宋体" w:hAnsi="宋体" w:eastAsia="宋体" w:cs="宋体"/>
          <w:bCs/>
          <w:color w:val="000000"/>
          <w:kern w:val="2"/>
          <w:szCs w:val="32"/>
          <w:lang w:val="en-US" w:eastAsia="zh-CN" w:bidi="ar-SA"/>
        </w:rPr>
        <w:fldChar w:fldCharType="end"/>
      </w:r>
    </w:p>
    <w:p w14:paraId="158992D0">
      <w:pPr>
        <w:pStyle w:val="9"/>
        <w:keepNext w:val="0"/>
        <w:keepLines w:val="0"/>
        <w:pageBreakBefore w:val="0"/>
        <w:widowControl w:val="0"/>
        <w:tabs>
          <w:tab w:val="right" w:leader="dot" w:pos="9354"/>
        </w:tabs>
        <w:kinsoku/>
        <w:wordWrap/>
        <w:overflowPunct/>
        <w:topLinePunct w:val="0"/>
        <w:autoSpaceDE/>
        <w:autoSpaceDN/>
        <w:bidi w:val="0"/>
        <w:adjustRightInd/>
        <w:snapToGrid/>
        <w:spacing w:before="79" w:beforeLines="25" w:after="79" w:afterLines="25" w:line="240" w:lineRule="auto"/>
        <w:textAlignment w:val="auto"/>
        <w:rPr>
          <w:rFonts w:hint="eastAsia" w:ascii="宋体" w:hAnsi="宋体" w:eastAsia="宋体" w:cs="宋体"/>
        </w:rPr>
      </w:pPr>
      <w:r>
        <w:rPr>
          <w:rFonts w:hint="eastAsia" w:ascii="宋体" w:hAnsi="宋体" w:eastAsia="宋体" w:cs="宋体"/>
          <w:bCs/>
          <w:color w:val="000000"/>
          <w:kern w:val="2"/>
          <w:szCs w:val="32"/>
          <w:lang w:val="en-US" w:eastAsia="zh-CN" w:bidi="ar-SA"/>
        </w:rPr>
        <w:fldChar w:fldCharType="begin"/>
      </w:r>
      <w:r>
        <w:rPr>
          <w:rFonts w:hint="eastAsia" w:ascii="宋体" w:hAnsi="宋体" w:eastAsia="宋体" w:cs="宋体"/>
          <w:bCs/>
          <w:kern w:val="2"/>
          <w:szCs w:val="32"/>
          <w:lang w:val="en-US" w:eastAsia="zh-CN" w:bidi="ar-SA"/>
        </w:rPr>
        <w:instrText xml:space="preserve"> HYPERLINK \l _Toc9611 </w:instrText>
      </w:r>
      <w:r>
        <w:rPr>
          <w:rFonts w:hint="eastAsia" w:ascii="宋体" w:hAnsi="宋体" w:eastAsia="宋体" w:cs="宋体"/>
          <w:bCs/>
          <w:kern w:val="2"/>
          <w:szCs w:val="32"/>
          <w:lang w:val="en-US" w:eastAsia="zh-CN" w:bidi="ar-SA"/>
        </w:rPr>
        <w:fldChar w:fldCharType="separate"/>
      </w:r>
      <w:r>
        <w:rPr>
          <w:rFonts w:hint="eastAsia" w:ascii="宋体" w:hAnsi="宋体" w:eastAsia="宋体" w:cs="宋体"/>
          <w:bCs/>
          <w:i w:val="0"/>
          <w:kern w:val="2"/>
          <w:szCs w:val="32"/>
          <w:lang w:val="en-US" w:eastAsia="zh-CN" w:bidi="ar-SA"/>
        </w:rPr>
        <w:t xml:space="preserve">6 </w:t>
      </w:r>
      <w:r>
        <w:rPr>
          <w:rFonts w:hint="eastAsia" w:ascii="宋体" w:hAnsi="宋体" w:eastAsia="宋体" w:cs="宋体"/>
          <w:bCs/>
          <w:kern w:val="2"/>
          <w:szCs w:val="32"/>
          <w:lang w:val="en-US" w:eastAsia="zh-CN" w:bidi="ar-SA"/>
        </w:rPr>
        <w:t>综合保障能力要求</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_Toc9611 \h </w:instrText>
      </w:r>
      <w:r>
        <w:rPr>
          <w:rFonts w:hint="eastAsia" w:ascii="宋体" w:hAnsi="宋体" w:eastAsia="宋体" w:cs="宋体"/>
        </w:rPr>
        <w:fldChar w:fldCharType="separate"/>
      </w:r>
      <w:r>
        <w:rPr>
          <w:rFonts w:hint="eastAsia" w:ascii="宋体" w:hAnsi="宋体" w:eastAsia="宋体" w:cs="宋体"/>
        </w:rPr>
        <w:t>3</w:t>
      </w:r>
      <w:r>
        <w:rPr>
          <w:rFonts w:hint="eastAsia" w:ascii="宋体" w:hAnsi="宋体" w:eastAsia="宋体" w:cs="宋体"/>
        </w:rPr>
        <w:fldChar w:fldCharType="end"/>
      </w:r>
      <w:r>
        <w:rPr>
          <w:rFonts w:hint="eastAsia" w:ascii="宋体" w:hAnsi="宋体" w:eastAsia="宋体" w:cs="宋体"/>
          <w:bCs/>
          <w:color w:val="000000"/>
          <w:kern w:val="2"/>
          <w:szCs w:val="32"/>
          <w:lang w:val="en-US" w:eastAsia="zh-CN" w:bidi="ar-SA"/>
        </w:rPr>
        <w:fldChar w:fldCharType="end"/>
      </w:r>
    </w:p>
    <w:p w14:paraId="26B424EF">
      <w:pPr>
        <w:pStyle w:val="10"/>
        <w:keepNext w:val="0"/>
        <w:keepLines w:val="0"/>
        <w:pageBreakBefore w:val="0"/>
        <w:widowControl w:val="0"/>
        <w:tabs>
          <w:tab w:val="right" w:leader="dot" w:pos="9354"/>
        </w:tabs>
        <w:kinsoku/>
        <w:wordWrap/>
        <w:overflowPunct/>
        <w:topLinePunct w:val="0"/>
        <w:autoSpaceDE/>
        <w:autoSpaceDN/>
        <w:bidi w:val="0"/>
        <w:adjustRightInd/>
        <w:snapToGrid/>
        <w:spacing w:line="240" w:lineRule="auto"/>
        <w:textAlignment w:val="auto"/>
        <w:rPr>
          <w:rFonts w:hint="eastAsia" w:ascii="宋体" w:hAnsi="宋体" w:eastAsia="宋体" w:cs="宋体"/>
        </w:rPr>
      </w:pPr>
      <w:r>
        <w:rPr>
          <w:rFonts w:hint="eastAsia" w:ascii="宋体" w:hAnsi="宋体" w:eastAsia="宋体" w:cs="宋体"/>
          <w:bCs/>
          <w:color w:val="000000"/>
          <w:kern w:val="2"/>
          <w:szCs w:val="32"/>
          <w:lang w:val="en-US" w:eastAsia="zh-CN" w:bidi="ar-SA"/>
        </w:rPr>
        <w:fldChar w:fldCharType="begin"/>
      </w:r>
      <w:r>
        <w:rPr>
          <w:rFonts w:hint="eastAsia" w:ascii="宋体" w:hAnsi="宋体" w:eastAsia="宋体" w:cs="宋体"/>
          <w:bCs/>
          <w:kern w:val="2"/>
          <w:szCs w:val="32"/>
          <w:lang w:val="en-US" w:eastAsia="zh-CN" w:bidi="ar-SA"/>
        </w:rPr>
        <w:instrText xml:space="preserve"> HYPERLINK \l _Toc29212 </w:instrText>
      </w:r>
      <w:r>
        <w:rPr>
          <w:rFonts w:hint="eastAsia" w:ascii="宋体" w:hAnsi="宋体" w:eastAsia="宋体" w:cs="宋体"/>
          <w:bCs/>
          <w:kern w:val="2"/>
          <w:szCs w:val="32"/>
          <w:lang w:val="en-US" w:eastAsia="zh-CN" w:bidi="ar-SA"/>
        </w:rPr>
        <w:fldChar w:fldCharType="separate"/>
      </w:r>
      <w:r>
        <w:rPr>
          <w:rFonts w:hint="eastAsia" w:ascii="宋体" w:hAnsi="宋体" w:eastAsia="宋体" w:cs="宋体"/>
          <w:bCs/>
          <w:i w:val="0"/>
          <w:kern w:val="2"/>
          <w:szCs w:val="32"/>
          <w:lang w:val="en-US" w:eastAsia="zh-CN" w:bidi="ar-SA"/>
        </w:rPr>
        <w:t xml:space="preserve">6.1 </w:t>
      </w:r>
      <w:r>
        <w:rPr>
          <w:rFonts w:hint="eastAsia" w:ascii="宋体" w:hAnsi="宋体" w:eastAsia="宋体" w:cs="宋体"/>
          <w:bCs/>
          <w:kern w:val="2"/>
          <w:szCs w:val="32"/>
          <w:lang w:val="en-US" w:eastAsia="zh-CN" w:bidi="ar-SA"/>
        </w:rPr>
        <w:t>基础保障</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_Toc29212 \h </w:instrText>
      </w:r>
      <w:r>
        <w:rPr>
          <w:rFonts w:hint="eastAsia" w:ascii="宋体" w:hAnsi="宋体" w:eastAsia="宋体" w:cs="宋体"/>
        </w:rPr>
        <w:fldChar w:fldCharType="separate"/>
      </w:r>
      <w:r>
        <w:rPr>
          <w:rFonts w:hint="eastAsia" w:ascii="宋体" w:hAnsi="宋体" w:eastAsia="宋体" w:cs="宋体"/>
        </w:rPr>
        <w:t>3</w:t>
      </w:r>
      <w:r>
        <w:rPr>
          <w:rFonts w:hint="eastAsia" w:ascii="宋体" w:hAnsi="宋体" w:eastAsia="宋体" w:cs="宋体"/>
        </w:rPr>
        <w:fldChar w:fldCharType="end"/>
      </w:r>
      <w:r>
        <w:rPr>
          <w:rFonts w:hint="eastAsia" w:ascii="宋体" w:hAnsi="宋体" w:eastAsia="宋体" w:cs="宋体"/>
          <w:bCs/>
          <w:color w:val="000000"/>
          <w:kern w:val="2"/>
          <w:szCs w:val="32"/>
          <w:lang w:val="en-US" w:eastAsia="zh-CN" w:bidi="ar-SA"/>
        </w:rPr>
        <w:fldChar w:fldCharType="end"/>
      </w:r>
    </w:p>
    <w:p w14:paraId="61E78CC7">
      <w:pPr>
        <w:pStyle w:val="10"/>
        <w:keepNext w:val="0"/>
        <w:keepLines w:val="0"/>
        <w:pageBreakBefore w:val="0"/>
        <w:widowControl w:val="0"/>
        <w:tabs>
          <w:tab w:val="right" w:leader="dot" w:pos="9354"/>
        </w:tabs>
        <w:kinsoku/>
        <w:wordWrap/>
        <w:overflowPunct/>
        <w:topLinePunct w:val="0"/>
        <w:autoSpaceDE/>
        <w:autoSpaceDN/>
        <w:bidi w:val="0"/>
        <w:adjustRightInd/>
        <w:snapToGrid/>
        <w:spacing w:line="240" w:lineRule="auto"/>
        <w:textAlignment w:val="auto"/>
        <w:rPr>
          <w:rFonts w:hint="eastAsia" w:ascii="宋体" w:hAnsi="宋体" w:eastAsia="宋体" w:cs="宋体"/>
        </w:rPr>
      </w:pPr>
      <w:r>
        <w:rPr>
          <w:rFonts w:hint="eastAsia" w:ascii="宋体" w:hAnsi="宋体" w:eastAsia="宋体" w:cs="宋体"/>
          <w:bCs/>
          <w:color w:val="000000"/>
          <w:kern w:val="2"/>
          <w:szCs w:val="32"/>
          <w:lang w:val="en-US" w:eastAsia="zh-CN" w:bidi="ar-SA"/>
        </w:rPr>
        <w:fldChar w:fldCharType="begin"/>
      </w:r>
      <w:r>
        <w:rPr>
          <w:rFonts w:hint="eastAsia" w:ascii="宋体" w:hAnsi="宋体" w:eastAsia="宋体" w:cs="宋体"/>
          <w:bCs/>
          <w:kern w:val="2"/>
          <w:szCs w:val="32"/>
          <w:lang w:val="en-US" w:eastAsia="zh-CN" w:bidi="ar-SA"/>
        </w:rPr>
        <w:instrText xml:space="preserve"> HYPERLINK \l _Toc30235 </w:instrText>
      </w:r>
      <w:r>
        <w:rPr>
          <w:rFonts w:hint="eastAsia" w:ascii="宋体" w:hAnsi="宋体" w:eastAsia="宋体" w:cs="宋体"/>
          <w:bCs/>
          <w:kern w:val="2"/>
          <w:szCs w:val="32"/>
          <w:lang w:val="en-US" w:eastAsia="zh-CN" w:bidi="ar-SA"/>
        </w:rPr>
        <w:fldChar w:fldCharType="separate"/>
      </w:r>
      <w:r>
        <w:rPr>
          <w:rFonts w:hint="eastAsia" w:ascii="宋体" w:hAnsi="宋体" w:eastAsia="宋体" w:cs="宋体"/>
          <w:bCs/>
          <w:i w:val="0"/>
          <w:kern w:val="2"/>
          <w:szCs w:val="32"/>
          <w:lang w:val="en-US" w:eastAsia="zh-CN" w:bidi="ar-SA"/>
        </w:rPr>
        <w:t xml:space="preserve">6.2 </w:t>
      </w:r>
      <w:r>
        <w:rPr>
          <w:rFonts w:hint="eastAsia" w:ascii="宋体" w:hAnsi="宋体" w:eastAsia="宋体" w:cs="宋体"/>
          <w:bCs/>
          <w:kern w:val="2"/>
          <w:szCs w:val="32"/>
          <w:lang w:val="en-US" w:eastAsia="zh-CN" w:bidi="ar-SA"/>
        </w:rPr>
        <w:t>装备保障</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_Toc30235 \h </w:instrText>
      </w:r>
      <w:r>
        <w:rPr>
          <w:rFonts w:hint="eastAsia" w:ascii="宋体" w:hAnsi="宋体" w:eastAsia="宋体" w:cs="宋体"/>
        </w:rPr>
        <w:fldChar w:fldCharType="separate"/>
      </w:r>
      <w:r>
        <w:rPr>
          <w:rFonts w:hint="eastAsia" w:ascii="宋体" w:hAnsi="宋体" w:eastAsia="宋体" w:cs="宋体"/>
        </w:rPr>
        <w:t>3</w:t>
      </w:r>
      <w:r>
        <w:rPr>
          <w:rFonts w:hint="eastAsia" w:ascii="宋体" w:hAnsi="宋体" w:eastAsia="宋体" w:cs="宋体"/>
        </w:rPr>
        <w:fldChar w:fldCharType="end"/>
      </w:r>
      <w:r>
        <w:rPr>
          <w:rFonts w:hint="eastAsia" w:ascii="宋体" w:hAnsi="宋体" w:eastAsia="宋体" w:cs="宋体"/>
          <w:bCs/>
          <w:color w:val="000000"/>
          <w:kern w:val="2"/>
          <w:szCs w:val="32"/>
          <w:lang w:val="en-US" w:eastAsia="zh-CN" w:bidi="ar-SA"/>
        </w:rPr>
        <w:fldChar w:fldCharType="end"/>
      </w:r>
    </w:p>
    <w:p w14:paraId="26B57D05">
      <w:pPr>
        <w:pStyle w:val="10"/>
        <w:keepNext w:val="0"/>
        <w:keepLines w:val="0"/>
        <w:pageBreakBefore w:val="0"/>
        <w:widowControl w:val="0"/>
        <w:tabs>
          <w:tab w:val="right" w:leader="dot" w:pos="9354"/>
        </w:tabs>
        <w:kinsoku/>
        <w:wordWrap/>
        <w:overflowPunct/>
        <w:topLinePunct w:val="0"/>
        <w:autoSpaceDE/>
        <w:autoSpaceDN/>
        <w:bidi w:val="0"/>
        <w:adjustRightInd/>
        <w:snapToGrid/>
        <w:spacing w:line="240" w:lineRule="auto"/>
        <w:textAlignment w:val="auto"/>
        <w:rPr>
          <w:rFonts w:hint="eastAsia" w:ascii="宋体" w:hAnsi="宋体" w:eastAsia="宋体" w:cs="宋体"/>
        </w:rPr>
      </w:pPr>
      <w:r>
        <w:rPr>
          <w:rFonts w:hint="eastAsia" w:ascii="宋体" w:hAnsi="宋体" w:eastAsia="宋体" w:cs="宋体"/>
          <w:bCs/>
          <w:color w:val="000000"/>
          <w:kern w:val="2"/>
          <w:szCs w:val="32"/>
          <w:lang w:val="en-US" w:eastAsia="zh-CN" w:bidi="ar-SA"/>
        </w:rPr>
        <w:fldChar w:fldCharType="begin"/>
      </w:r>
      <w:r>
        <w:rPr>
          <w:rFonts w:hint="eastAsia" w:ascii="宋体" w:hAnsi="宋体" w:eastAsia="宋体" w:cs="宋体"/>
          <w:bCs/>
          <w:kern w:val="2"/>
          <w:szCs w:val="32"/>
          <w:lang w:val="en-US" w:eastAsia="zh-CN" w:bidi="ar-SA"/>
        </w:rPr>
        <w:instrText xml:space="preserve"> HYPERLINK \l _Toc16569 </w:instrText>
      </w:r>
      <w:r>
        <w:rPr>
          <w:rFonts w:hint="eastAsia" w:ascii="宋体" w:hAnsi="宋体" w:eastAsia="宋体" w:cs="宋体"/>
          <w:bCs/>
          <w:kern w:val="2"/>
          <w:szCs w:val="32"/>
          <w:lang w:val="en-US" w:eastAsia="zh-CN" w:bidi="ar-SA"/>
        </w:rPr>
        <w:fldChar w:fldCharType="separate"/>
      </w:r>
      <w:r>
        <w:rPr>
          <w:rFonts w:hint="eastAsia" w:ascii="宋体" w:hAnsi="宋体" w:eastAsia="宋体" w:cs="宋体"/>
          <w:bCs/>
          <w:i w:val="0"/>
          <w:kern w:val="2"/>
          <w:szCs w:val="32"/>
          <w:lang w:val="en-US" w:eastAsia="zh-CN" w:bidi="ar-SA"/>
        </w:rPr>
        <w:t xml:space="preserve">6.3 </w:t>
      </w:r>
      <w:r>
        <w:rPr>
          <w:rFonts w:hint="eastAsia" w:ascii="宋体" w:hAnsi="宋体" w:eastAsia="宋体" w:cs="宋体"/>
          <w:bCs/>
          <w:kern w:val="2"/>
          <w:szCs w:val="32"/>
          <w:lang w:val="en-US" w:eastAsia="zh-CN" w:bidi="ar-SA"/>
        </w:rPr>
        <w:t>能力提升保障</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_Toc16569 \h </w:instrText>
      </w:r>
      <w:r>
        <w:rPr>
          <w:rFonts w:hint="eastAsia" w:ascii="宋体" w:hAnsi="宋体" w:eastAsia="宋体" w:cs="宋体"/>
        </w:rPr>
        <w:fldChar w:fldCharType="separate"/>
      </w:r>
      <w:r>
        <w:rPr>
          <w:rFonts w:hint="eastAsia" w:ascii="宋体" w:hAnsi="宋体" w:eastAsia="宋体" w:cs="宋体"/>
        </w:rPr>
        <w:t>4</w:t>
      </w:r>
      <w:r>
        <w:rPr>
          <w:rFonts w:hint="eastAsia" w:ascii="宋体" w:hAnsi="宋体" w:eastAsia="宋体" w:cs="宋体"/>
        </w:rPr>
        <w:fldChar w:fldCharType="end"/>
      </w:r>
      <w:r>
        <w:rPr>
          <w:rFonts w:hint="eastAsia" w:ascii="宋体" w:hAnsi="宋体" w:eastAsia="宋体" w:cs="宋体"/>
          <w:bCs/>
          <w:color w:val="000000"/>
          <w:kern w:val="2"/>
          <w:szCs w:val="32"/>
          <w:lang w:val="en-US" w:eastAsia="zh-CN" w:bidi="ar-SA"/>
        </w:rPr>
        <w:fldChar w:fldCharType="end"/>
      </w:r>
    </w:p>
    <w:p w14:paraId="23E87BD3">
      <w:pPr>
        <w:pStyle w:val="9"/>
        <w:keepNext w:val="0"/>
        <w:keepLines w:val="0"/>
        <w:pageBreakBefore w:val="0"/>
        <w:widowControl w:val="0"/>
        <w:tabs>
          <w:tab w:val="right" w:leader="dot" w:pos="9354"/>
        </w:tabs>
        <w:kinsoku/>
        <w:wordWrap/>
        <w:overflowPunct/>
        <w:topLinePunct w:val="0"/>
        <w:autoSpaceDE/>
        <w:autoSpaceDN/>
        <w:bidi w:val="0"/>
        <w:adjustRightInd/>
        <w:snapToGrid/>
        <w:spacing w:before="79" w:beforeLines="25" w:after="79" w:afterLines="25" w:line="240" w:lineRule="auto"/>
        <w:textAlignment w:val="auto"/>
        <w:rPr>
          <w:rFonts w:hint="eastAsia" w:ascii="宋体" w:hAnsi="宋体" w:eastAsia="宋体" w:cs="宋体"/>
        </w:rPr>
      </w:pPr>
      <w:r>
        <w:rPr>
          <w:rFonts w:hint="eastAsia" w:ascii="宋体" w:hAnsi="宋体" w:eastAsia="宋体" w:cs="宋体"/>
          <w:bCs/>
          <w:color w:val="000000"/>
          <w:kern w:val="2"/>
          <w:szCs w:val="32"/>
          <w:lang w:val="en-US" w:eastAsia="zh-CN" w:bidi="ar-SA"/>
        </w:rPr>
        <w:fldChar w:fldCharType="begin"/>
      </w:r>
      <w:r>
        <w:rPr>
          <w:rFonts w:hint="eastAsia" w:ascii="宋体" w:hAnsi="宋体" w:eastAsia="宋体" w:cs="宋体"/>
          <w:bCs/>
          <w:kern w:val="2"/>
          <w:szCs w:val="32"/>
          <w:lang w:val="en-US" w:eastAsia="zh-CN" w:bidi="ar-SA"/>
        </w:rPr>
        <w:instrText xml:space="preserve"> HYPERLINK \l _Toc25083 </w:instrText>
      </w:r>
      <w:r>
        <w:rPr>
          <w:rFonts w:hint="eastAsia" w:ascii="宋体" w:hAnsi="宋体" w:eastAsia="宋体" w:cs="宋体"/>
          <w:bCs/>
          <w:kern w:val="2"/>
          <w:szCs w:val="32"/>
          <w:lang w:val="en-US" w:eastAsia="zh-CN" w:bidi="ar-SA"/>
        </w:rPr>
        <w:fldChar w:fldCharType="separate"/>
      </w:r>
      <w:r>
        <w:rPr>
          <w:rFonts w:hint="eastAsia" w:ascii="宋体" w:hAnsi="宋体" w:eastAsia="宋体" w:cs="宋体"/>
          <w:bCs/>
          <w:i w:val="0"/>
          <w:kern w:val="2"/>
          <w:szCs w:val="32"/>
          <w:lang w:val="en-US" w:eastAsia="zh-CN" w:bidi="ar-SA"/>
        </w:rPr>
        <w:t xml:space="preserve">7 </w:t>
      </w:r>
      <w:r>
        <w:rPr>
          <w:rFonts w:hint="eastAsia" w:ascii="宋体" w:hAnsi="宋体" w:eastAsia="宋体" w:cs="宋体"/>
          <w:bCs/>
          <w:kern w:val="2"/>
          <w:szCs w:val="32"/>
          <w:lang w:val="en-US" w:eastAsia="zh-CN" w:bidi="ar-SA"/>
        </w:rPr>
        <w:t>组织管理能力要求</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_Toc25083 \h </w:instrText>
      </w:r>
      <w:r>
        <w:rPr>
          <w:rFonts w:hint="eastAsia" w:ascii="宋体" w:hAnsi="宋体" w:eastAsia="宋体" w:cs="宋体"/>
        </w:rPr>
        <w:fldChar w:fldCharType="separate"/>
      </w:r>
      <w:r>
        <w:rPr>
          <w:rFonts w:hint="eastAsia" w:ascii="宋体" w:hAnsi="宋体" w:eastAsia="宋体" w:cs="宋体"/>
        </w:rPr>
        <w:t>4</w:t>
      </w:r>
      <w:r>
        <w:rPr>
          <w:rFonts w:hint="eastAsia" w:ascii="宋体" w:hAnsi="宋体" w:eastAsia="宋体" w:cs="宋体"/>
        </w:rPr>
        <w:fldChar w:fldCharType="end"/>
      </w:r>
      <w:r>
        <w:rPr>
          <w:rFonts w:hint="eastAsia" w:ascii="宋体" w:hAnsi="宋体" w:eastAsia="宋体" w:cs="宋体"/>
          <w:bCs/>
          <w:color w:val="000000"/>
          <w:kern w:val="2"/>
          <w:szCs w:val="32"/>
          <w:lang w:val="en-US" w:eastAsia="zh-CN" w:bidi="ar-SA"/>
        </w:rPr>
        <w:fldChar w:fldCharType="end"/>
      </w:r>
    </w:p>
    <w:p w14:paraId="75F606CC">
      <w:pPr>
        <w:pStyle w:val="9"/>
        <w:keepNext w:val="0"/>
        <w:keepLines w:val="0"/>
        <w:pageBreakBefore w:val="0"/>
        <w:widowControl w:val="0"/>
        <w:tabs>
          <w:tab w:val="right" w:leader="dot" w:pos="9354"/>
        </w:tabs>
        <w:kinsoku/>
        <w:wordWrap/>
        <w:overflowPunct/>
        <w:topLinePunct w:val="0"/>
        <w:autoSpaceDE/>
        <w:autoSpaceDN/>
        <w:bidi w:val="0"/>
        <w:adjustRightInd/>
        <w:snapToGrid/>
        <w:spacing w:before="79" w:beforeLines="25" w:after="79" w:afterLines="25" w:line="240" w:lineRule="auto"/>
        <w:textAlignment w:val="auto"/>
        <w:rPr>
          <w:rFonts w:hint="eastAsia" w:ascii="宋体" w:hAnsi="宋体" w:eastAsia="宋体" w:cs="宋体"/>
        </w:rPr>
      </w:pPr>
      <w:r>
        <w:rPr>
          <w:rFonts w:hint="eastAsia" w:ascii="宋体" w:hAnsi="宋体" w:eastAsia="宋体" w:cs="宋体"/>
          <w:bCs/>
          <w:color w:val="000000"/>
          <w:kern w:val="2"/>
          <w:szCs w:val="32"/>
          <w:lang w:val="en-US" w:eastAsia="zh-CN" w:bidi="ar-SA"/>
        </w:rPr>
        <w:fldChar w:fldCharType="begin"/>
      </w:r>
      <w:r>
        <w:rPr>
          <w:rFonts w:hint="eastAsia" w:ascii="宋体" w:hAnsi="宋体" w:eastAsia="宋体" w:cs="宋体"/>
          <w:bCs/>
          <w:kern w:val="2"/>
          <w:szCs w:val="32"/>
          <w:lang w:val="en-US" w:eastAsia="zh-CN" w:bidi="ar-SA"/>
        </w:rPr>
        <w:instrText xml:space="preserve"> HYPERLINK \l _Toc28820 </w:instrText>
      </w:r>
      <w:r>
        <w:rPr>
          <w:rFonts w:hint="eastAsia" w:ascii="宋体" w:hAnsi="宋体" w:eastAsia="宋体" w:cs="宋体"/>
          <w:bCs/>
          <w:kern w:val="2"/>
          <w:szCs w:val="32"/>
          <w:lang w:val="en-US" w:eastAsia="zh-CN" w:bidi="ar-SA"/>
        </w:rPr>
        <w:fldChar w:fldCharType="separate"/>
      </w:r>
      <w:r>
        <w:rPr>
          <w:rFonts w:hint="eastAsia" w:ascii="宋体" w:hAnsi="宋体" w:eastAsia="宋体" w:cs="宋体"/>
          <w:bCs/>
          <w:kern w:val="2"/>
          <w:szCs w:val="32"/>
          <w:lang w:val="en-US" w:eastAsia="zh-CN" w:bidi="ar-SA"/>
        </w:rPr>
        <w:t>附录A</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_Toc28820 \h </w:instrText>
      </w:r>
      <w:r>
        <w:rPr>
          <w:rFonts w:hint="eastAsia" w:ascii="宋体" w:hAnsi="宋体" w:eastAsia="宋体" w:cs="宋体"/>
        </w:rPr>
        <w:fldChar w:fldCharType="separate"/>
      </w:r>
      <w:r>
        <w:rPr>
          <w:rFonts w:hint="eastAsia" w:ascii="宋体" w:hAnsi="宋体" w:eastAsia="宋体" w:cs="宋体"/>
        </w:rPr>
        <w:t>6</w:t>
      </w:r>
      <w:r>
        <w:rPr>
          <w:rFonts w:hint="eastAsia" w:ascii="宋体" w:hAnsi="宋体" w:eastAsia="宋体" w:cs="宋体"/>
        </w:rPr>
        <w:fldChar w:fldCharType="end"/>
      </w:r>
      <w:r>
        <w:rPr>
          <w:rFonts w:hint="eastAsia" w:ascii="宋体" w:hAnsi="宋体" w:eastAsia="宋体" w:cs="宋体"/>
          <w:bCs/>
          <w:color w:val="000000"/>
          <w:kern w:val="2"/>
          <w:szCs w:val="32"/>
          <w:lang w:val="en-US" w:eastAsia="zh-CN" w:bidi="ar-SA"/>
        </w:rPr>
        <w:fldChar w:fldCharType="end"/>
      </w:r>
    </w:p>
    <w:p w14:paraId="52E49B87">
      <w:pPr>
        <w:pStyle w:val="9"/>
        <w:keepNext w:val="0"/>
        <w:keepLines w:val="0"/>
        <w:pageBreakBefore w:val="0"/>
        <w:widowControl w:val="0"/>
        <w:tabs>
          <w:tab w:val="right" w:leader="dot" w:pos="9354"/>
        </w:tabs>
        <w:kinsoku/>
        <w:wordWrap/>
        <w:overflowPunct/>
        <w:topLinePunct w:val="0"/>
        <w:autoSpaceDE/>
        <w:autoSpaceDN/>
        <w:bidi w:val="0"/>
        <w:adjustRightInd/>
        <w:snapToGrid/>
        <w:spacing w:before="79" w:beforeLines="25" w:after="79" w:afterLines="25" w:line="240" w:lineRule="auto"/>
        <w:textAlignment w:val="auto"/>
        <w:rPr>
          <w:rFonts w:hint="eastAsia" w:ascii="宋体" w:hAnsi="宋体" w:eastAsia="宋体" w:cs="宋体"/>
        </w:rPr>
      </w:pPr>
      <w:r>
        <w:rPr>
          <w:rFonts w:hint="eastAsia" w:ascii="宋体" w:hAnsi="宋体" w:eastAsia="宋体" w:cs="宋体"/>
          <w:bCs/>
          <w:color w:val="000000"/>
          <w:kern w:val="2"/>
          <w:szCs w:val="32"/>
          <w:lang w:val="en-US" w:eastAsia="zh-CN" w:bidi="ar-SA"/>
        </w:rPr>
        <w:fldChar w:fldCharType="begin"/>
      </w:r>
      <w:r>
        <w:rPr>
          <w:rFonts w:hint="eastAsia" w:ascii="宋体" w:hAnsi="宋体" w:eastAsia="宋体" w:cs="宋体"/>
          <w:bCs/>
          <w:kern w:val="2"/>
          <w:szCs w:val="32"/>
          <w:lang w:val="en-US" w:eastAsia="zh-CN" w:bidi="ar-SA"/>
        </w:rPr>
        <w:instrText xml:space="preserve"> HYPERLINK \l _Toc30043 </w:instrText>
      </w:r>
      <w:r>
        <w:rPr>
          <w:rFonts w:hint="eastAsia" w:ascii="宋体" w:hAnsi="宋体" w:eastAsia="宋体" w:cs="宋体"/>
          <w:bCs/>
          <w:kern w:val="2"/>
          <w:szCs w:val="32"/>
          <w:lang w:val="en-US" w:eastAsia="zh-CN" w:bidi="ar-SA"/>
        </w:rPr>
        <w:fldChar w:fldCharType="separate"/>
      </w:r>
      <w:r>
        <w:rPr>
          <w:rFonts w:hint="eastAsia" w:ascii="宋体" w:hAnsi="宋体" w:eastAsia="宋体" w:cs="宋体"/>
          <w:bCs/>
          <w:kern w:val="2"/>
          <w:szCs w:val="32"/>
          <w:lang w:val="en-US" w:eastAsia="zh-CN" w:bidi="ar-SA"/>
        </w:rPr>
        <w:t>附录B</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_Toc30043 \h </w:instrText>
      </w:r>
      <w:r>
        <w:rPr>
          <w:rFonts w:hint="eastAsia" w:ascii="宋体" w:hAnsi="宋体" w:eastAsia="宋体" w:cs="宋体"/>
        </w:rPr>
        <w:fldChar w:fldCharType="separate"/>
      </w:r>
      <w:r>
        <w:rPr>
          <w:rFonts w:hint="eastAsia" w:ascii="宋体" w:hAnsi="宋体" w:eastAsia="宋体" w:cs="宋体"/>
        </w:rPr>
        <w:t>7</w:t>
      </w:r>
      <w:r>
        <w:rPr>
          <w:rFonts w:hint="eastAsia" w:ascii="宋体" w:hAnsi="宋体" w:eastAsia="宋体" w:cs="宋体"/>
        </w:rPr>
        <w:fldChar w:fldCharType="end"/>
      </w:r>
      <w:r>
        <w:rPr>
          <w:rFonts w:hint="eastAsia" w:ascii="宋体" w:hAnsi="宋体" w:eastAsia="宋体" w:cs="宋体"/>
          <w:bCs/>
          <w:color w:val="000000"/>
          <w:kern w:val="2"/>
          <w:szCs w:val="32"/>
          <w:lang w:val="en-US" w:eastAsia="zh-CN" w:bidi="ar-SA"/>
        </w:rPr>
        <w:fldChar w:fldCharType="end"/>
      </w:r>
    </w:p>
    <w:p w14:paraId="1B9AE6BD">
      <w:pPr>
        <w:pStyle w:val="9"/>
        <w:keepNext w:val="0"/>
        <w:keepLines w:val="0"/>
        <w:pageBreakBefore w:val="0"/>
        <w:widowControl w:val="0"/>
        <w:tabs>
          <w:tab w:val="right" w:leader="dot" w:pos="9354"/>
        </w:tabs>
        <w:kinsoku/>
        <w:wordWrap/>
        <w:overflowPunct/>
        <w:topLinePunct w:val="0"/>
        <w:autoSpaceDE/>
        <w:autoSpaceDN/>
        <w:bidi w:val="0"/>
        <w:adjustRightInd/>
        <w:snapToGrid/>
        <w:spacing w:before="79" w:beforeLines="25" w:after="79" w:afterLines="25" w:line="240" w:lineRule="auto"/>
        <w:textAlignment w:val="auto"/>
        <w:rPr>
          <w:rFonts w:hint="eastAsia" w:ascii="宋体" w:hAnsi="宋体" w:eastAsia="宋体" w:cs="宋体"/>
        </w:rPr>
      </w:pPr>
      <w:r>
        <w:rPr>
          <w:rFonts w:hint="eastAsia" w:ascii="宋体" w:hAnsi="宋体" w:eastAsia="宋体" w:cs="宋体"/>
          <w:bCs/>
          <w:color w:val="000000"/>
          <w:kern w:val="2"/>
          <w:szCs w:val="32"/>
          <w:lang w:val="en-US" w:eastAsia="zh-CN" w:bidi="ar-SA"/>
        </w:rPr>
        <w:fldChar w:fldCharType="begin"/>
      </w:r>
      <w:r>
        <w:rPr>
          <w:rFonts w:hint="eastAsia" w:ascii="宋体" w:hAnsi="宋体" w:eastAsia="宋体" w:cs="宋体"/>
          <w:bCs/>
          <w:kern w:val="2"/>
          <w:szCs w:val="32"/>
          <w:lang w:val="en-US" w:eastAsia="zh-CN" w:bidi="ar-SA"/>
        </w:rPr>
        <w:instrText xml:space="preserve"> HYPERLINK \l _Toc9331 </w:instrText>
      </w:r>
      <w:r>
        <w:rPr>
          <w:rFonts w:hint="eastAsia" w:ascii="宋体" w:hAnsi="宋体" w:eastAsia="宋体" w:cs="宋体"/>
          <w:bCs/>
          <w:kern w:val="2"/>
          <w:szCs w:val="32"/>
          <w:lang w:val="en-US" w:eastAsia="zh-CN" w:bidi="ar-SA"/>
        </w:rPr>
        <w:fldChar w:fldCharType="separate"/>
      </w:r>
      <w:r>
        <w:rPr>
          <w:rFonts w:hint="eastAsia" w:ascii="宋体" w:hAnsi="宋体" w:eastAsia="宋体" w:cs="宋体"/>
          <w:lang w:val="en-US" w:eastAsia="zh-CN"/>
        </w:rPr>
        <w:t>参 考 文 献</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_Toc9331 \h </w:instrText>
      </w:r>
      <w:r>
        <w:rPr>
          <w:rFonts w:hint="eastAsia" w:ascii="宋体" w:hAnsi="宋体" w:eastAsia="宋体" w:cs="宋体"/>
        </w:rPr>
        <w:fldChar w:fldCharType="separate"/>
      </w:r>
      <w:r>
        <w:rPr>
          <w:rFonts w:hint="eastAsia" w:ascii="宋体" w:hAnsi="宋体" w:eastAsia="宋体" w:cs="宋体"/>
        </w:rPr>
        <w:t>9</w:t>
      </w:r>
      <w:r>
        <w:rPr>
          <w:rFonts w:hint="eastAsia" w:ascii="宋体" w:hAnsi="宋体" w:eastAsia="宋体" w:cs="宋体"/>
        </w:rPr>
        <w:fldChar w:fldCharType="end"/>
      </w:r>
      <w:r>
        <w:rPr>
          <w:rFonts w:hint="eastAsia" w:ascii="宋体" w:hAnsi="宋体" w:eastAsia="宋体" w:cs="宋体"/>
          <w:bCs/>
          <w:color w:val="000000"/>
          <w:kern w:val="2"/>
          <w:szCs w:val="32"/>
          <w:lang w:val="en-US" w:eastAsia="zh-CN" w:bidi="ar-SA"/>
        </w:rPr>
        <w:fldChar w:fldCharType="end"/>
      </w:r>
    </w:p>
    <w:p w14:paraId="3C49A9D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heme="minorBidi"/>
          <w:bCs/>
          <w:color w:val="000000"/>
          <w:kern w:val="2"/>
          <w:sz w:val="21"/>
          <w:szCs w:val="32"/>
          <w:lang w:val="en-US" w:eastAsia="zh-CN" w:bidi="ar-SA"/>
        </w:rPr>
      </w:pPr>
      <w:r>
        <w:rPr>
          <w:rFonts w:hint="eastAsia" w:ascii="宋体" w:hAnsi="宋体" w:eastAsia="宋体" w:cs="宋体"/>
          <w:bCs/>
          <w:color w:val="000000"/>
          <w:kern w:val="2"/>
          <w:szCs w:val="32"/>
          <w:lang w:val="en-US" w:eastAsia="zh-CN" w:bidi="ar-SA"/>
        </w:rPr>
        <w:fldChar w:fldCharType="end"/>
      </w:r>
    </w:p>
    <w:p w14:paraId="511C5E55">
      <w:pPr>
        <w:rPr>
          <w:rFonts w:hint="eastAsia" w:ascii="Times New Roman" w:hAnsi="Times New Roman" w:eastAsia="宋体" w:cstheme="minorBidi"/>
          <w:bCs/>
          <w:color w:val="000000"/>
          <w:kern w:val="2"/>
          <w:sz w:val="21"/>
          <w:szCs w:val="32"/>
          <w:lang w:val="en-US" w:eastAsia="zh-CN" w:bidi="ar-SA"/>
        </w:rPr>
      </w:pPr>
    </w:p>
    <w:p w14:paraId="42F6B731">
      <w:pPr>
        <w:rPr>
          <w:rFonts w:hint="eastAsia" w:ascii="Times New Roman" w:hAnsi="Times New Roman" w:eastAsia="宋体" w:cstheme="minorBidi"/>
          <w:bCs/>
          <w:color w:val="000000"/>
          <w:kern w:val="2"/>
          <w:sz w:val="21"/>
          <w:szCs w:val="32"/>
          <w:lang w:val="en-US" w:eastAsia="zh-CN" w:bidi="ar-SA"/>
        </w:rPr>
      </w:pPr>
    </w:p>
    <w:p w14:paraId="167A48DF">
      <w:pPr>
        <w:rPr>
          <w:rFonts w:hint="eastAsia" w:ascii="Times New Roman" w:hAnsi="Times New Roman" w:eastAsia="宋体" w:cstheme="minorBidi"/>
          <w:bCs/>
          <w:color w:val="000000"/>
          <w:kern w:val="2"/>
          <w:sz w:val="21"/>
          <w:szCs w:val="32"/>
          <w:lang w:val="en-US" w:eastAsia="zh-CN" w:bidi="ar-SA"/>
        </w:rPr>
      </w:pPr>
    </w:p>
    <w:p w14:paraId="3C0C65D6">
      <w:pPr>
        <w:rPr>
          <w:rFonts w:hint="eastAsia" w:ascii="Times New Roman" w:hAnsi="Times New Roman" w:eastAsia="宋体" w:cstheme="minorBidi"/>
          <w:bCs/>
          <w:color w:val="000000"/>
          <w:kern w:val="2"/>
          <w:sz w:val="21"/>
          <w:szCs w:val="32"/>
          <w:lang w:val="en-US" w:eastAsia="zh-CN" w:bidi="ar-SA"/>
        </w:rPr>
      </w:pPr>
    </w:p>
    <w:p w14:paraId="0F326EEE">
      <w:pPr>
        <w:rPr>
          <w:rFonts w:hint="eastAsia" w:ascii="Times New Roman" w:hAnsi="Times New Roman" w:eastAsia="宋体" w:cstheme="minorBidi"/>
          <w:bCs/>
          <w:color w:val="000000"/>
          <w:kern w:val="2"/>
          <w:sz w:val="21"/>
          <w:szCs w:val="32"/>
          <w:lang w:val="en-US" w:eastAsia="zh-CN" w:bidi="ar-SA"/>
        </w:rPr>
      </w:pPr>
    </w:p>
    <w:p w14:paraId="1822D11B">
      <w:pP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br w:type="page"/>
      </w:r>
    </w:p>
    <w:p w14:paraId="577900A1">
      <w:pPr>
        <w:pStyle w:val="40"/>
        <w:shd w:val="clear" w:color="FFFFFF" w:fill="FFFFFF"/>
        <w:ind w:firstLine="0" w:firstLineChars="0"/>
        <w:rPr>
          <w:rFonts w:hint="eastAsia" w:hAnsi="Times New Roman" w:cs="Times New Roman"/>
          <w:lang w:val="en-US" w:eastAsia="zh-CN"/>
        </w:rPr>
      </w:pPr>
      <w:bookmarkStart w:id="3" w:name="_Toc12893"/>
      <w:r>
        <w:rPr>
          <w:rFonts w:hint="eastAsia" w:hAnsi="Times New Roman" w:cs="Times New Roman"/>
          <w:lang w:val="en-US" w:eastAsia="zh-CN"/>
        </w:rPr>
        <w:t>前    言</w:t>
      </w:r>
      <w:bookmarkEnd w:id="3"/>
    </w:p>
    <w:p w14:paraId="781F4FAA">
      <w:pPr>
        <w:ind w:firstLine="420"/>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本文件按照GB/T 1.1—2020《标准化工作导则 第1部分：标准化文件的结构和起草规则》给出的规则起草。</w:t>
      </w:r>
    </w:p>
    <w:p w14:paraId="5A148A2E">
      <w:pPr>
        <w:ind w:firstLine="420"/>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本文件由中国地质灾害防治与生态修复协会提出并归口。</w:t>
      </w:r>
    </w:p>
    <w:p w14:paraId="7B6C8B43">
      <w:pPr>
        <w:ind w:firstLine="420"/>
        <w:rPr>
          <w:rFonts w:hint="eastAsia" w:ascii="Times New Roman" w:hAnsi="Times New Roman" w:eastAsia="宋体" w:cstheme="minorBidi"/>
          <w:bCs/>
          <w:color w:val="000000"/>
          <w:kern w:val="2"/>
          <w:sz w:val="21"/>
          <w:szCs w:val="32"/>
          <w:highlight w:val="none"/>
          <w:lang w:val="en-US" w:eastAsia="zh-CN" w:bidi="ar-SA"/>
        </w:rPr>
      </w:pPr>
      <w:r>
        <w:rPr>
          <w:rFonts w:hint="eastAsia" w:ascii="Times New Roman" w:hAnsi="Times New Roman" w:eastAsia="宋体" w:cstheme="minorBidi"/>
          <w:bCs/>
          <w:color w:val="000000"/>
          <w:kern w:val="2"/>
          <w:sz w:val="21"/>
          <w:szCs w:val="32"/>
          <w:highlight w:val="none"/>
          <w:lang w:val="en-US" w:eastAsia="zh-CN" w:bidi="ar-SA"/>
        </w:rPr>
        <w:t>本文件的起草单位：中国安全生产科学研究院</w:t>
      </w:r>
      <w:r>
        <w:rPr>
          <w:rFonts w:hint="eastAsia" w:cstheme="minorBidi"/>
          <w:bCs/>
          <w:color w:val="000000"/>
          <w:kern w:val="2"/>
          <w:sz w:val="21"/>
          <w:szCs w:val="32"/>
          <w:highlight w:val="none"/>
          <w:lang w:val="en-US" w:eastAsia="zh-CN" w:bidi="ar-SA"/>
        </w:rPr>
        <w:t>、</w:t>
      </w:r>
      <w:r>
        <w:rPr>
          <w:rFonts w:hint="eastAsia" w:ascii="Times New Roman" w:hAnsi="Times New Roman" w:eastAsia="宋体" w:cstheme="minorBidi"/>
          <w:bCs/>
          <w:color w:val="000000"/>
          <w:kern w:val="2"/>
          <w:sz w:val="21"/>
          <w:szCs w:val="32"/>
          <w:highlight w:val="none"/>
          <w:lang w:val="en-US" w:eastAsia="zh-CN" w:bidi="ar-SA"/>
        </w:rPr>
        <w:t>自然资源部地质灾害技术指导中心</w:t>
      </w:r>
      <w:r>
        <w:rPr>
          <w:rFonts w:hint="eastAsia" w:cstheme="minorBidi"/>
          <w:bCs/>
          <w:color w:val="000000"/>
          <w:kern w:val="2"/>
          <w:sz w:val="21"/>
          <w:szCs w:val="32"/>
          <w:highlight w:val="none"/>
          <w:lang w:val="en-US" w:eastAsia="zh-CN" w:bidi="ar-SA"/>
        </w:rPr>
        <w:t>、</w:t>
      </w:r>
      <w:r>
        <w:rPr>
          <w:rFonts w:hint="eastAsia" w:ascii="Times New Roman" w:hAnsi="Times New Roman" w:eastAsia="宋体" w:cstheme="minorBidi"/>
          <w:bCs/>
          <w:color w:val="000000"/>
          <w:kern w:val="2"/>
          <w:sz w:val="21"/>
          <w:szCs w:val="32"/>
          <w:highlight w:val="none"/>
          <w:lang w:val="en-US" w:eastAsia="zh-CN" w:bidi="ar-SA"/>
        </w:rPr>
        <w:t>四川省国土空间生态修复与地质灾害防治研究院</w:t>
      </w:r>
      <w:r>
        <w:rPr>
          <w:rFonts w:hint="eastAsia" w:cstheme="minorBidi"/>
          <w:bCs/>
          <w:color w:val="000000"/>
          <w:kern w:val="2"/>
          <w:sz w:val="21"/>
          <w:szCs w:val="32"/>
          <w:highlight w:val="none"/>
          <w:lang w:val="en-US" w:eastAsia="zh-CN" w:bidi="ar-SA"/>
        </w:rPr>
        <w:t>、</w:t>
      </w:r>
      <w:r>
        <w:rPr>
          <w:rFonts w:hint="eastAsia" w:ascii="Times New Roman" w:hAnsi="Times New Roman" w:eastAsia="宋体" w:cstheme="minorBidi"/>
          <w:bCs/>
          <w:color w:val="000000"/>
          <w:kern w:val="2"/>
          <w:sz w:val="21"/>
          <w:szCs w:val="32"/>
          <w:highlight w:val="none"/>
          <w:lang w:val="en-US" w:eastAsia="zh-CN" w:bidi="ar-SA"/>
        </w:rPr>
        <w:t>广西壮族自治区地质环境监测站</w:t>
      </w:r>
      <w:r>
        <w:rPr>
          <w:rFonts w:hint="eastAsia" w:cstheme="minorBidi"/>
          <w:bCs/>
          <w:color w:val="000000"/>
          <w:kern w:val="2"/>
          <w:sz w:val="21"/>
          <w:szCs w:val="32"/>
          <w:highlight w:val="none"/>
          <w:lang w:val="en-US" w:eastAsia="zh-CN" w:bidi="ar-SA"/>
        </w:rPr>
        <w:t>、</w:t>
      </w:r>
      <w:r>
        <w:rPr>
          <w:rFonts w:hint="eastAsia" w:ascii="Times New Roman" w:hAnsi="Times New Roman" w:eastAsia="宋体" w:cstheme="minorBidi"/>
          <w:bCs/>
          <w:color w:val="000000"/>
          <w:kern w:val="2"/>
          <w:sz w:val="21"/>
          <w:szCs w:val="32"/>
          <w:highlight w:val="none"/>
          <w:lang w:val="en-US" w:eastAsia="zh-CN" w:bidi="ar-SA"/>
        </w:rPr>
        <w:t>陕西地质工程有限公司</w:t>
      </w:r>
      <w:r>
        <w:rPr>
          <w:rFonts w:hint="eastAsia" w:cstheme="minorBidi"/>
          <w:bCs/>
          <w:color w:val="000000"/>
          <w:kern w:val="2"/>
          <w:sz w:val="21"/>
          <w:szCs w:val="32"/>
          <w:highlight w:val="none"/>
          <w:lang w:val="en-US" w:eastAsia="zh-CN" w:bidi="ar-SA"/>
        </w:rPr>
        <w:t>、</w:t>
      </w:r>
      <w:r>
        <w:rPr>
          <w:rFonts w:hint="eastAsia" w:ascii="Times New Roman" w:hAnsi="Times New Roman" w:eastAsia="宋体" w:cstheme="minorBidi"/>
          <w:bCs/>
          <w:color w:val="000000"/>
          <w:kern w:val="2"/>
          <w:sz w:val="21"/>
          <w:szCs w:val="32"/>
          <w:highlight w:val="none"/>
          <w:lang w:val="en-US" w:eastAsia="zh-CN" w:bidi="ar-SA"/>
        </w:rPr>
        <w:t>北京国信华源科技有限公司</w:t>
      </w:r>
      <w:r>
        <w:rPr>
          <w:rFonts w:hint="eastAsia" w:cstheme="minorBidi"/>
          <w:bCs/>
          <w:color w:val="000000"/>
          <w:kern w:val="2"/>
          <w:sz w:val="21"/>
          <w:szCs w:val="32"/>
          <w:highlight w:val="none"/>
          <w:lang w:val="en-US" w:eastAsia="zh-CN" w:bidi="ar-SA"/>
        </w:rPr>
        <w:t>。</w:t>
      </w:r>
    </w:p>
    <w:p w14:paraId="75B89092">
      <w:pPr>
        <w:rPr>
          <w:rFonts w:hint="eastAsia" w:ascii="Times New Roman" w:hAnsi="Times New Roman" w:eastAsia="宋体" w:cstheme="minorBidi"/>
          <w:bCs/>
          <w:color w:val="000000"/>
          <w:kern w:val="2"/>
          <w:sz w:val="21"/>
          <w:szCs w:val="32"/>
          <w:highlight w:val="yellow"/>
          <w:lang w:val="en-US" w:eastAsia="zh-CN" w:bidi="ar-SA"/>
        </w:rPr>
      </w:pPr>
      <w:r>
        <w:rPr>
          <w:rFonts w:hint="eastAsia" w:ascii="Times New Roman" w:hAnsi="Times New Roman" w:eastAsia="宋体" w:cstheme="minorBidi"/>
          <w:bCs/>
          <w:color w:val="000000"/>
          <w:kern w:val="2"/>
          <w:sz w:val="21"/>
          <w:szCs w:val="32"/>
          <w:lang w:val="en-US" w:eastAsia="zh-CN" w:bidi="ar-SA"/>
        </w:rPr>
        <w:t>本文件主要起草人：秦宏楠、马海涛</w:t>
      </w:r>
      <w:bookmarkStart w:id="134" w:name="_GoBack"/>
      <w:bookmarkEnd w:id="134"/>
      <w:r>
        <w:rPr>
          <w:rFonts w:hint="eastAsia" w:ascii="Times New Roman" w:hAnsi="Times New Roman" w:eastAsia="宋体" w:cstheme="minorBidi"/>
          <w:bCs/>
          <w:color w:val="000000"/>
          <w:kern w:val="2"/>
          <w:sz w:val="21"/>
          <w:szCs w:val="32"/>
          <w:lang w:val="en-US" w:eastAsia="zh-CN" w:bidi="ar-SA"/>
        </w:rPr>
        <w:t>、党永辉、陈红旗、褚宏亮、李金柱、张新克、陈凯、刘世康、刘振宇、何娜、梁聪、刘毅、金涛、王亚洲、严建华、贺鑫焱、龚志方</w:t>
      </w:r>
      <w:r>
        <w:rPr>
          <w:rFonts w:hint="eastAsia" w:cstheme="minorBidi"/>
          <w:bCs/>
          <w:color w:val="000000"/>
          <w:kern w:val="2"/>
          <w:sz w:val="21"/>
          <w:szCs w:val="32"/>
          <w:lang w:val="en-US" w:eastAsia="zh-CN" w:bidi="ar-SA"/>
        </w:rPr>
        <w:t>。</w:t>
      </w:r>
    </w:p>
    <w:p w14:paraId="552C8C4A">
      <w:pPr>
        <w:ind w:firstLine="420"/>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本文件由中国地质灾害防治与生态修复协会负责解释。</w:t>
      </w:r>
    </w:p>
    <w:p w14:paraId="37889B5A">
      <w:pPr>
        <w:ind w:firstLine="420"/>
        <w:rPr>
          <w:rFonts w:hint="eastAsia" w:ascii="Times New Roman" w:hAnsi="Times New Roman" w:eastAsia="宋体" w:cstheme="minorBidi"/>
          <w:bCs/>
          <w:color w:val="000000"/>
          <w:kern w:val="2"/>
          <w:sz w:val="21"/>
          <w:szCs w:val="32"/>
          <w:lang w:val="en-US" w:eastAsia="zh-CN" w:bidi="ar-SA"/>
        </w:rPr>
      </w:pPr>
    </w:p>
    <w:p w14:paraId="495C7B6B">
      <w:pPr>
        <w:keepNext w:val="0"/>
        <w:keepLines w:val="0"/>
        <w:pageBreakBefore w:val="0"/>
        <w:widowControl/>
        <w:kinsoku/>
        <w:wordWrap/>
        <w:overflowPunct/>
        <w:topLinePunct w:val="0"/>
        <w:autoSpaceDE/>
        <w:autoSpaceDN/>
        <w:bidi w:val="0"/>
        <w:adjustRightInd/>
        <w:snapToGrid w:val="0"/>
        <w:spacing w:line="560" w:lineRule="exact"/>
        <w:ind w:firstLine="420" w:firstLineChars="200"/>
        <w:textAlignment w:val="auto"/>
        <w:rPr>
          <w:rFonts w:hint="eastAsia" w:ascii="Times New Roman" w:hAnsi="Times New Roman" w:eastAsia="宋体" w:cstheme="minorBidi"/>
          <w:bCs/>
          <w:color w:val="000000"/>
          <w:kern w:val="2"/>
          <w:sz w:val="21"/>
          <w:szCs w:val="32"/>
          <w:lang w:val="en-US" w:eastAsia="zh-CN" w:bidi="ar-SA"/>
        </w:rPr>
      </w:pPr>
    </w:p>
    <w:p w14:paraId="07BEEE0A">
      <w:pPr>
        <w:ind w:firstLine="420"/>
        <w:rPr>
          <w:rFonts w:hint="eastAsia" w:ascii="Times New Roman" w:hAnsi="Times New Roman" w:eastAsia="宋体" w:cstheme="minorBidi"/>
          <w:bCs/>
          <w:color w:val="000000"/>
          <w:kern w:val="2"/>
          <w:sz w:val="21"/>
          <w:szCs w:val="32"/>
          <w:lang w:val="en-US" w:eastAsia="zh-CN" w:bidi="ar-SA"/>
        </w:rPr>
      </w:pPr>
    </w:p>
    <w:p w14:paraId="14ADB4AF">
      <w:pPr>
        <w:spacing w:line="240" w:lineRule="auto"/>
        <w:ind w:firstLine="0" w:firstLineChars="0"/>
        <w:jc w:val="center"/>
        <w:rPr>
          <w:rFonts w:hint="eastAsia" w:ascii="Times New Roman" w:hAnsi="Times New Roman" w:eastAsia="宋体" w:cstheme="minorBidi"/>
          <w:bCs/>
          <w:color w:val="000000"/>
          <w:kern w:val="2"/>
          <w:sz w:val="21"/>
          <w:szCs w:val="32"/>
          <w:lang w:val="en-US" w:eastAsia="zh-CN" w:bidi="ar-SA"/>
        </w:rPr>
      </w:pPr>
    </w:p>
    <w:p w14:paraId="481FB35C">
      <w:pPr>
        <w:spacing w:line="240" w:lineRule="auto"/>
        <w:ind w:firstLine="0" w:firstLineChars="0"/>
        <w:jc w:val="center"/>
        <w:rPr>
          <w:rFonts w:hint="eastAsia" w:ascii="Times New Roman" w:hAnsi="Times New Roman" w:eastAsia="宋体" w:cstheme="minorBidi"/>
          <w:bCs/>
          <w:color w:val="000000"/>
          <w:kern w:val="2"/>
          <w:sz w:val="21"/>
          <w:szCs w:val="32"/>
          <w:lang w:val="en-US" w:eastAsia="zh-CN" w:bidi="ar-SA"/>
        </w:rPr>
      </w:pPr>
    </w:p>
    <w:p w14:paraId="36189F8F">
      <w:pPr>
        <w:spacing w:line="240" w:lineRule="auto"/>
        <w:ind w:firstLine="0" w:firstLineChars="0"/>
        <w:jc w:val="center"/>
        <w:rPr>
          <w:rFonts w:hint="eastAsia" w:ascii="Times New Roman" w:hAnsi="Times New Roman" w:eastAsia="宋体" w:cstheme="minorBidi"/>
          <w:bCs/>
          <w:color w:val="000000"/>
          <w:kern w:val="2"/>
          <w:sz w:val="21"/>
          <w:szCs w:val="32"/>
          <w:lang w:val="en-US" w:eastAsia="zh-CN" w:bidi="ar-SA"/>
        </w:rPr>
      </w:pPr>
    </w:p>
    <w:p w14:paraId="289490C1">
      <w:pPr>
        <w:spacing w:line="240" w:lineRule="auto"/>
        <w:ind w:firstLine="0" w:firstLineChars="0"/>
        <w:jc w:val="center"/>
        <w:rPr>
          <w:rFonts w:hint="eastAsia" w:ascii="Times New Roman" w:hAnsi="Times New Roman" w:eastAsia="宋体" w:cstheme="minorBidi"/>
          <w:bCs/>
          <w:color w:val="000000"/>
          <w:kern w:val="2"/>
          <w:sz w:val="21"/>
          <w:szCs w:val="32"/>
          <w:lang w:val="en-US" w:eastAsia="zh-CN" w:bidi="ar-SA"/>
        </w:rPr>
      </w:pPr>
    </w:p>
    <w:p w14:paraId="42D1D38E">
      <w:pPr>
        <w:ind w:firstLine="0" w:firstLineChars="0"/>
        <w:jc w:val="center"/>
        <w:rPr>
          <w:rFonts w:hint="eastAsia" w:ascii="Times New Roman" w:hAnsi="Times New Roman" w:eastAsia="宋体" w:cstheme="minorBidi"/>
          <w:bCs/>
          <w:color w:val="000000"/>
          <w:kern w:val="2"/>
          <w:sz w:val="21"/>
          <w:szCs w:val="32"/>
          <w:lang w:val="en-US" w:eastAsia="zh-CN" w:bidi="ar-SA"/>
        </w:rPr>
        <w:sectPr>
          <w:footerReference r:id="rId9" w:type="default"/>
          <w:footerReference r:id="rId10" w:type="even"/>
          <w:pgSz w:w="11906" w:h="16838"/>
          <w:pgMar w:top="1418" w:right="1134" w:bottom="1134" w:left="1418" w:header="1418" w:footer="850" w:gutter="0"/>
          <w:pgNumType w:fmt="upperRoman" w:start="1"/>
          <w:cols w:space="0" w:num="1"/>
          <w:rtlGutter w:val="0"/>
          <w:docGrid w:type="lines" w:linePitch="312" w:charSpace="0"/>
        </w:sectPr>
      </w:pPr>
    </w:p>
    <w:p w14:paraId="5A02FD0F">
      <w:pPr>
        <w:pStyle w:val="40"/>
        <w:shd w:val="clear" w:color="FFFFFF" w:fill="FFFFFF"/>
        <w:ind w:firstLine="0" w:firstLineChars="0"/>
        <w:rPr>
          <w:rFonts w:hint="eastAsia" w:hAnsi="Times New Roman" w:cs="Times New Roman"/>
          <w:lang w:val="en-US" w:eastAsia="zh-CN"/>
        </w:rPr>
      </w:pPr>
      <w:bookmarkStart w:id="4" w:name="_Toc11322"/>
      <w:r>
        <w:rPr>
          <w:rFonts w:hint="eastAsia" w:hAnsi="Times New Roman" w:cs="Times New Roman"/>
          <w:lang w:val="en-US" w:eastAsia="zh-CN"/>
        </w:rPr>
        <w:t>引    言</w:t>
      </w:r>
      <w:bookmarkEnd w:id="4"/>
    </w:p>
    <w:p w14:paraId="354E1B17">
      <w:pPr>
        <w:ind w:firstLine="420"/>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为</w:t>
      </w:r>
      <w:r>
        <w:rPr>
          <w:rFonts w:hint="eastAsia" w:cstheme="minorBidi"/>
          <w:bCs/>
          <w:color w:val="000000"/>
          <w:kern w:val="2"/>
          <w:sz w:val="21"/>
          <w:szCs w:val="32"/>
          <w:lang w:val="en-US" w:eastAsia="zh-CN" w:bidi="ar-SA"/>
        </w:rPr>
        <w:t>更好地发挥</w:t>
      </w:r>
      <w:r>
        <w:rPr>
          <w:rFonts w:hint="eastAsia" w:ascii="Times New Roman" w:hAnsi="Times New Roman" w:eastAsia="宋体" w:cstheme="minorBidi"/>
          <w:bCs/>
          <w:color w:val="000000"/>
          <w:kern w:val="2"/>
          <w:sz w:val="21"/>
          <w:szCs w:val="32"/>
          <w:lang w:val="en-US" w:eastAsia="zh-CN" w:bidi="ar-SA"/>
        </w:rPr>
        <w:t>地质灾害应急救援</w:t>
      </w:r>
      <w:r>
        <w:rPr>
          <w:rFonts w:hint="eastAsia" w:cstheme="minorBidi"/>
          <w:bCs/>
          <w:color w:val="000000"/>
          <w:kern w:val="2"/>
          <w:sz w:val="21"/>
          <w:szCs w:val="32"/>
          <w:lang w:val="en-US" w:eastAsia="zh-CN" w:bidi="ar-SA"/>
        </w:rPr>
        <w:t>支撑</w:t>
      </w:r>
      <w:r>
        <w:rPr>
          <w:rFonts w:hint="eastAsia" w:ascii="Times New Roman" w:hAnsi="Times New Roman" w:eastAsia="宋体" w:cstheme="minorBidi"/>
          <w:bCs/>
          <w:color w:val="000000"/>
          <w:kern w:val="2"/>
          <w:sz w:val="21"/>
          <w:szCs w:val="32"/>
          <w:lang w:val="en-US" w:eastAsia="zh-CN" w:bidi="ar-SA"/>
        </w:rPr>
        <w:t>队伍</w:t>
      </w:r>
      <w:r>
        <w:rPr>
          <w:rFonts w:hint="eastAsia" w:cstheme="minorBidi"/>
          <w:bCs/>
          <w:color w:val="000000"/>
          <w:kern w:val="2"/>
          <w:sz w:val="21"/>
          <w:szCs w:val="32"/>
          <w:lang w:val="en-US" w:eastAsia="zh-CN" w:bidi="ar-SA"/>
        </w:rPr>
        <w:t>的能力</w:t>
      </w:r>
      <w:r>
        <w:rPr>
          <w:rFonts w:hint="eastAsia" w:ascii="Times New Roman" w:hAnsi="Times New Roman" w:eastAsia="宋体" w:cstheme="minorBidi"/>
          <w:bCs/>
          <w:color w:val="000000"/>
          <w:kern w:val="2"/>
          <w:sz w:val="21"/>
          <w:szCs w:val="32"/>
          <w:lang w:val="en-US" w:eastAsia="zh-CN" w:bidi="ar-SA"/>
        </w:rPr>
        <w:t>，最大程度地减少地质灾害带来的损失，规范地质灾害应急救援技术支撑队伍建设，做好地质灾害应急救援的技术支撑，根据《中华人民共和国突发事件应对法》《地质灾害防治条例》《国家突发公共事件总体应急预案》《国家突发地质灾害应急预案》等有关文件，制定本文件。</w:t>
      </w:r>
    </w:p>
    <w:p w14:paraId="1B9F8FE2">
      <w:pPr>
        <w:ind w:firstLine="420"/>
        <w:rPr>
          <w:rFonts w:hint="eastAsia" w:ascii="Times New Roman" w:hAnsi="Times New Roman" w:eastAsia="宋体" w:cstheme="minorBidi"/>
          <w:bCs/>
          <w:color w:val="000000"/>
          <w:kern w:val="2"/>
          <w:sz w:val="21"/>
          <w:szCs w:val="32"/>
          <w:lang w:val="en-US" w:eastAsia="zh-CN" w:bidi="ar-SA"/>
        </w:rPr>
      </w:pPr>
    </w:p>
    <w:p w14:paraId="212B7FB8">
      <w:pPr>
        <w:ind w:firstLine="0" w:firstLineChars="0"/>
        <w:jc w:val="center"/>
        <w:rPr>
          <w:rFonts w:hint="eastAsia" w:ascii="Times New Roman" w:hAnsi="Times New Roman" w:eastAsia="宋体" w:cstheme="minorBidi"/>
          <w:bCs/>
          <w:color w:val="000000"/>
          <w:kern w:val="2"/>
          <w:sz w:val="21"/>
          <w:szCs w:val="32"/>
          <w:lang w:val="en-US" w:eastAsia="zh-CN" w:bidi="ar-SA"/>
        </w:rPr>
      </w:pPr>
    </w:p>
    <w:p w14:paraId="11BA0871">
      <w:pPr>
        <w:ind w:firstLine="0" w:firstLineChars="0"/>
        <w:jc w:val="center"/>
        <w:rPr>
          <w:rFonts w:hint="eastAsia" w:ascii="Times New Roman" w:hAnsi="Times New Roman" w:eastAsia="宋体" w:cstheme="minorBidi"/>
          <w:bCs/>
          <w:color w:val="000000"/>
          <w:kern w:val="2"/>
          <w:sz w:val="21"/>
          <w:szCs w:val="32"/>
          <w:lang w:val="en-US" w:eastAsia="zh-CN" w:bidi="ar-SA"/>
        </w:rPr>
        <w:sectPr>
          <w:headerReference r:id="rId13" w:type="first"/>
          <w:footerReference r:id="rId16" w:type="first"/>
          <w:headerReference r:id="rId11" w:type="default"/>
          <w:footerReference r:id="rId14" w:type="default"/>
          <w:headerReference r:id="rId12" w:type="even"/>
          <w:footerReference r:id="rId15" w:type="even"/>
          <w:pgSz w:w="11906" w:h="16838"/>
          <w:pgMar w:top="1418" w:right="1134" w:bottom="1134" w:left="1418" w:header="1418" w:footer="850" w:gutter="0"/>
          <w:pgNumType w:fmt="upperRoman"/>
          <w:cols w:space="0" w:num="1"/>
          <w:rtlGutter w:val="0"/>
          <w:docGrid w:type="lines" w:linePitch="312" w:charSpace="0"/>
        </w:sectPr>
      </w:pPr>
    </w:p>
    <w:p w14:paraId="15F4AF97">
      <w:pPr>
        <w:ind w:firstLine="0" w:firstLineChars="0"/>
        <w:jc w:val="center"/>
        <w:rPr>
          <w:rFonts w:hint="eastAsia" w:ascii="Times New Roman" w:hAnsi="Times New Roman" w:eastAsia="宋体" w:cstheme="minorBidi"/>
          <w:bCs/>
          <w:color w:val="000000"/>
          <w:kern w:val="2"/>
          <w:sz w:val="21"/>
          <w:szCs w:val="32"/>
          <w:lang w:val="en-US" w:eastAsia="zh-CN" w:bidi="ar-SA"/>
        </w:rPr>
      </w:pPr>
    </w:p>
    <w:p w14:paraId="4A7BD94E">
      <w:pPr>
        <w:spacing w:line="680" w:lineRule="exact"/>
        <w:ind w:firstLine="0" w:firstLineChars="0"/>
        <w:jc w:val="center"/>
        <w:rPr>
          <w:rFonts w:hint="eastAsia" w:ascii="黑体" w:hAnsi="Times New Roman" w:eastAsia="黑体" w:cs="Times New Roman"/>
          <w:kern w:val="0"/>
          <w:sz w:val="32"/>
          <w:szCs w:val="20"/>
          <w:lang w:val="en-US" w:eastAsia="zh-CN" w:bidi="ar-SA"/>
        </w:rPr>
      </w:pPr>
      <w:r>
        <w:rPr>
          <w:rFonts w:hint="eastAsia" w:ascii="黑体" w:hAnsi="Times New Roman" w:eastAsia="黑体" w:cs="Times New Roman"/>
          <w:kern w:val="0"/>
          <w:sz w:val="32"/>
          <w:szCs w:val="20"/>
          <w:lang w:val="en-US" w:eastAsia="zh-CN" w:bidi="ar-SA"/>
        </w:rPr>
        <w:t>地质灾害应急救援技术支撑队伍建设标准</w:t>
      </w:r>
    </w:p>
    <w:p w14:paraId="329AD01F">
      <w:pPr>
        <w:spacing w:line="680" w:lineRule="exact"/>
        <w:ind w:firstLine="0" w:firstLineChars="0"/>
        <w:jc w:val="center"/>
        <w:rPr>
          <w:rFonts w:hint="eastAsia" w:ascii="Times New Roman" w:hAnsi="Times New Roman" w:eastAsia="宋体" w:cstheme="minorBidi"/>
          <w:bCs/>
          <w:color w:val="000000"/>
          <w:kern w:val="2"/>
          <w:sz w:val="21"/>
          <w:szCs w:val="32"/>
          <w:lang w:val="en-US" w:eastAsia="zh-CN" w:bidi="ar-SA"/>
        </w:rPr>
      </w:pPr>
    </w:p>
    <w:p w14:paraId="73FC775B">
      <w:pPr>
        <w:pStyle w:val="2"/>
        <w:rPr>
          <w:rFonts w:hint="eastAsia" w:ascii="黑体" w:hAnsi="黑体" w:eastAsia="黑体" w:cs="黑体"/>
          <w:bCs/>
          <w:color w:val="000000"/>
          <w:kern w:val="2"/>
          <w:sz w:val="21"/>
          <w:szCs w:val="32"/>
          <w:lang w:val="en-US" w:eastAsia="zh-CN" w:bidi="ar-SA"/>
        </w:rPr>
      </w:pPr>
      <w:bookmarkStart w:id="5" w:name="_Toc11451"/>
      <w:r>
        <w:rPr>
          <w:rFonts w:hint="eastAsia" w:ascii="黑体" w:hAnsi="黑体" w:eastAsia="黑体" w:cs="黑体"/>
          <w:bCs/>
          <w:color w:val="000000"/>
          <w:kern w:val="2"/>
          <w:sz w:val="21"/>
          <w:szCs w:val="32"/>
          <w:lang w:val="en-US" w:eastAsia="zh-CN" w:bidi="ar-SA"/>
        </w:rPr>
        <w:t>范围</w:t>
      </w:r>
      <w:bookmarkEnd w:id="5"/>
    </w:p>
    <w:p w14:paraId="0551A62B">
      <w:pPr>
        <w:ind w:firstLine="420"/>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本文件规定了地质灾害应急救援技术支撑队伍建设的建设原则、专业技术支撑能力、综合保障能力、组织管理能力的要求。</w:t>
      </w:r>
    </w:p>
    <w:p w14:paraId="6EFA4880">
      <w:pPr>
        <w:ind w:firstLine="420"/>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本文件适用于具有地质灾害防治资质的单位组建地质灾害应急救援技术支撑队伍建设，亦可供各级人民政府及相关部门、企事业单位、社会团体等组建地质灾害应急救援技术支撑队伍时参考。</w:t>
      </w:r>
    </w:p>
    <w:p w14:paraId="6901EBAC">
      <w:pPr>
        <w:pStyle w:val="2"/>
        <w:rPr>
          <w:rFonts w:hint="eastAsia" w:ascii="黑体" w:hAnsi="黑体" w:eastAsia="黑体" w:cs="黑体"/>
          <w:bCs/>
          <w:color w:val="000000"/>
          <w:kern w:val="2"/>
          <w:sz w:val="21"/>
          <w:szCs w:val="32"/>
          <w:lang w:val="en-US" w:eastAsia="zh-CN" w:bidi="ar-SA"/>
        </w:rPr>
      </w:pPr>
      <w:bookmarkStart w:id="6" w:name="_Toc6619"/>
      <w:r>
        <w:rPr>
          <w:rFonts w:hint="eastAsia" w:ascii="黑体" w:hAnsi="黑体" w:eastAsia="黑体" w:cs="黑体"/>
          <w:bCs/>
          <w:color w:val="000000"/>
          <w:kern w:val="2"/>
          <w:sz w:val="21"/>
          <w:szCs w:val="32"/>
          <w:lang w:val="en-US" w:eastAsia="zh-CN" w:bidi="ar-SA"/>
        </w:rPr>
        <w:t>规范性引用文件</w:t>
      </w:r>
      <w:bookmarkEnd w:id="6"/>
    </w:p>
    <w:p w14:paraId="6CA3B81D">
      <w:pPr>
        <w:ind w:firstLine="420"/>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下列文件中的内容通过文中的规范性引用而构成本文件必不可少的条款。其中</w:t>
      </w:r>
      <w:r>
        <w:rPr>
          <w:rFonts w:hint="eastAsia" w:cstheme="minorBidi"/>
          <w:bCs/>
          <w:color w:val="000000"/>
          <w:kern w:val="2"/>
          <w:sz w:val="21"/>
          <w:szCs w:val="32"/>
          <w:lang w:val="en-US" w:eastAsia="zh-CN" w:bidi="ar-SA"/>
        </w:rPr>
        <w:t>，标</w:t>
      </w:r>
      <w:r>
        <w:rPr>
          <w:rFonts w:hint="eastAsia" w:ascii="Times New Roman" w:hAnsi="Times New Roman" w:eastAsia="宋体" w:cstheme="minorBidi"/>
          <w:bCs/>
          <w:color w:val="000000"/>
          <w:kern w:val="2"/>
          <w:sz w:val="21"/>
          <w:szCs w:val="32"/>
          <w:lang w:val="en-US" w:eastAsia="zh-CN" w:bidi="ar-SA"/>
        </w:rPr>
        <w:t>注日期的引用文件，仅该日期对应的版本适用于本文件：不</w:t>
      </w:r>
      <w:r>
        <w:rPr>
          <w:rFonts w:hint="eastAsia" w:cstheme="minorBidi"/>
          <w:bCs/>
          <w:color w:val="000000"/>
          <w:kern w:val="2"/>
          <w:sz w:val="21"/>
          <w:szCs w:val="32"/>
          <w:lang w:val="en-US" w:eastAsia="zh-CN" w:bidi="ar-SA"/>
        </w:rPr>
        <w:t>标</w:t>
      </w:r>
      <w:r>
        <w:rPr>
          <w:rFonts w:hint="eastAsia" w:ascii="Times New Roman" w:hAnsi="Times New Roman" w:eastAsia="宋体" w:cstheme="minorBidi"/>
          <w:bCs/>
          <w:color w:val="000000"/>
          <w:kern w:val="2"/>
          <w:sz w:val="21"/>
          <w:szCs w:val="32"/>
          <w:lang w:val="en-US" w:eastAsia="zh-CN" w:bidi="ar-SA"/>
        </w:rPr>
        <w:t>注日期的引用文件，其最新版本（包括所有的修改单）适用于本文件。</w:t>
      </w:r>
    </w:p>
    <w:p w14:paraId="497FA83D">
      <w:pPr>
        <w:ind w:left="420" w:firstLine="0" w:firstLineChars="0"/>
        <w:rPr>
          <w:rFonts w:hint="eastAsia" w:ascii="Times New Roman" w:hAnsi="Times New Roman" w:eastAsia="宋体" w:cstheme="minorBidi"/>
          <w:bCs/>
          <w:color w:val="000000"/>
          <w:kern w:val="2"/>
          <w:sz w:val="21"/>
          <w:szCs w:val="32"/>
          <w:lang w:val="en-US" w:eastAsia="zh-CN" w:bidi="ar-SA"/>
        </w:rPr>
      </w:pPr>
      <w:bookmarkStart w:id="7" w:name="_Hlk81238883"/>
      <w:r>
        <w:rPr>
          <w:rFonts w:hint="eastAsia" w:ascii="Times New Roman" w:hAnsi="Times New Roman" w:eastAsia="宋体" w:cstheme="minorBidi"/>
          <w:bCs/>
          <w:color w:val="000000"/>
          <w:kern w:val="2"/>
          <w:sz w:val="21"/>
          <w:szCs w:val="32"/>
          <w:lang w:val="en-US" w:eastAsia="zh-CN" w:bidi="ar-SA"/>
        </w:rPr>
        <w:t>GB/T 29639-2013  应急预案编制导则</w:t>
      </w:r>
    </w:p>
    <w:bookmarkEnd w:id="7"/>
    <w:p w14:paraId="175D8EC5">
      <w:pPr>
        <w:ind w:firstLine="420"/>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T/CAGHP 022-2018  突发地质灾害应急防治导则（试行）</w:t>
      </w:r>
    </w:p>
    <w:p w14:paraId="3736ECB8">
      <w:pPr>
        <w:ind w:firstLine="420"/>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T/CAGHP 082-2022  突发地质灾害应急救援准备导则（试行）</w:t>
      </w:r>
    </w:p>
    <w:p w14:paraId="522B1B66">
      <w:pPr>
        <w:ind w:firstLine="420"/>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T/CAGHP 083-2022  突发地质灾害应急救援技术支撑导则（试行）</w:t>
      </w:r>
    </w:p>
    <w:p w14:paraId="4F7B63F3">
      <w:pPr>
        <w:ind w:firstLine="420"/>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YJ/T1.1-2022  社会应急力量建设基础规范 第1部分：总体要求</w:t>
      </w:r>
    </w:p>
    <w:p w14:paraId="0E647067">
      <w:pPr>
        <w:ind w:firstLine="420"/>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YJ/T 1.2-2022《社会应急力量建设基础规范 第2部分：建筑物倒塌搜救》</w:t>
      </w:r>
    </w:p>
    <w:p w14:paraId="638605EB">
      <w:pPr>
        <w:pStyle w:val="2"/>
        <w:rPr>
          <w:rFonts w:hint="eastAsia" w:ascii="黑体" w:hAnsi="黑体" w:eastAsia="黑体" w:cs="黑体"/>
          <w:bCs/>
          <w:color w:val="000000"/>
          <w:kern w:val="2"/>
          <w:sz w:val="21"/>
          <w:szCs w:val="32"/>
          <w:lang w:val="en-US" w:eastAsia="zh-CN" w:bidi="ar-SA"/>
        </w:rPr>
      </w:pPr>
      <w:bookmarkStart w:id="8" w:name="_Toc7106"/>
      <w:r>
        <w:rPr>
          <w:rFonts w:hint="eastAsia" w:ascii="黑体" w:hAnsi="黑体" w:eastAsia="黑体" w:cs="黑体"/>
          <w:bCs/>
          <w:color w:val="000000"/>
          <w:kern w:val="2"/>
          <w:sz w:val="21"/>
          <w:szCs w:val="32"/>
          <w:lang w:val="en-US" w:eastAsia="zh-CN" w:bidi="ar-SA"/>
        </w:rPr>
        <w:t>术语和定义</w:t>
      </w:r>
      <w:bookmarkEnd w:id="8"/>
    </w:p>
    <w:p w14:paraId="01E316C4">
      <w:pPr>
        <w:ind w:firstLine="420"/>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下列定义和术语适用于本</w:t>
      </w:r>
      <w:r>
        <w:rPr>
          <w:rFonts w:hint="eastAsia" w:cstheme="minorBidi"/>
          <w:bCs/>
          <w:color w:val="000000"/>
          <w:kern w:val="2"/>
          <w:sz w:val="21"/>
          <w:szCs w:val="32"/>
          <w:lang w:val="en-US" w:eastAsia="zh-CN" w:bidi="ar-SA"/>
        </w:rPr>
        <w:t>文件</w:t>
      </w:r>
      <w:r>
        <w:rPr>
          <w:rFonts w:hint="eastAsia" w:ascii="Times New Roman" w:hAnsi="Times New Roman" w:eastAsia="宋体" w:cstheme="minorBidi"/>
          <w:bCs/>
          <w:color w:val="000000"/>
          <w:kern w:val="2"/>
          <w:sz w:val="21"/>
          <w:szCs w:val="32"/>
          <w:lang w:val="en-US" w:eastAsia="zh-CN" w:bidi="ar-SA"/>
        </w:rPr>
        <w:t>。</w:t>
      </w:r>
    </w:p>
    <w:p w14:paraId="22425E3E">
      <w:pPr>
        <w:pStyle w:val="3"/>
        <w:rPr>
          <w:rFonts w:hint="default" w:ascii="黑体" w:hAnsi="黑体" w:eastAsia="黑体" w:cs="黑体"/>
          <w:bCs/>
          <w:color w:val="000000"/>
          <w:kern w:val="2"/>
          <w:sz w:val="21"/>
          <w:szCs w:val="32"/>
          <w:lang w:val="en-US" w:eastAsia="zh-CN" w:bidi="ar-SA"/>
        </w:rPr>
      </w:pPr>
      <w:bookmarkStart w:id="9" w:name="_Toc79769776"/>
      <w:bookmarkEnd w:id="9"/>
      <w:bookmarkStart w:id="10" w:name="_Toc32264"/>
      <w:bookmarkEnd w:id="10"/>
      <w:bookmarkStart w:id="11" w:name="_Toc30641"/>
      <w:bookmarkEnd w:id="11"/>
      <w:bookmarkStart w:id="12" w:name="_Toc83300953"/>
      <w:bookmarkEnd w:id="12"/>
      <w:bookmarkStart w:id="13" w:name="_Toc31024"/>
      <w:bookmarkEnd w:id="13"/>
      <w:bookmarkStart w:id="14" w:name="_Toc83887407"/>
      <w:bookmarkEnd w:id="14"/>
      <w:bookmarkStart w:id="15" w:name="_Toc12947"/>
      <w:bookmarkEnd w:id="15"/>
      <w:bookmarkStart w:id="16" w:name="_Toc10379"/>
      <w:bookmarkEnd w:id="16"/>
      <w:bookmarkStart w:id="17" w:name="_Toc734"/>
      <w:bookmarkEnd w:id="17"/>
      <w:bookmarkStart w:id="18" w:name="_Toc85122762"/>
      <w:bookmarkEnd w:id="18"/>
      <w:bookmarkStart w:id="19" w:name="_Toc80003272"/>
      <w:bookmarkEnd w:id="19"/>
      <w:bookmarkStart w:id="20" w:name="_Toc2615"/>
      <w:bookmarkEnd w:id="20"/>
      <w:bookmarkStart w:id="21" w:name="_Toc80127590"/>
      <w:bookmarkEnd w:id="21"/>
      <w:bookmarkStart w:id="22" w:name="_Toc80003117"/>
      <w:bookmarkEnd w:id="22"/>
      <w:bookmarkStart w:id="23" w:name="_Toc18112"/>
      <w:bookmarkEnd w:id="23"/>
      <w:bookmarkStart w:id="24" w:name="_Toc89436654"/>
      <w:bookmarkEnd w:id="24"/>
      <w:bookmarkStart w:id="25" w:name="_Toc1268"/>
      <w:bookmarkEnd w:id="25"/>
      <w:bookmarkStart w:id="26" w:name="_Toc83807440"/>
      <w:bookmarkEnd w:id="26"/>
      <w:bookmarkStart w:id="27" w:name="_Toc17536"/>
      <w:bookmarkEnd w:id="27"/>
      <w:bookmarkStart w:id="28" w:name="_Toc87949500"/>
      <w:bookmarkEnd w:id="28"/>
      <w:bookmarkStart w:id="29" w:name="_Toc29404"/>
      <w:bookmarkEnd w:id="29"/>
      <w:bookmarkStart w:id="30" w:name="_Toc83300638"/>
      <w:bookmarkEnd w:id="30"/>
      <w:bookmarkStart w:id="31" w:name="_Toc79864318"/>
      <w:bookmarkEnd w:id="31"/>
      <w:bookmarkStart w:id="32" w:name="_Toc21283"/>
      <w:bookmarkEnd w:id="32"/>
      <w:bookmarkStart w:id="33" w:name="_Toc89437825"/>
      <w:bookmarkEnd w:id="33"/>
      <w:bookmarkStart w:id="34" w:name="_Toc15021"/>
      <w:r>
        <w:rPr>
          <w:rFonts w:hint="eastAsia" w:ascii="黑体" w:hAnsi="黑体" w:eastAsia="黑体" w:cs="黑体"/>
          <w:bCs/>
          <w:color w:val="000000"/>
          <w:kern w:val="2"/>
          <w:sz w:val="21"/>
          <w:szCs w:val="32"/>
          <w:lang w:val="zh-CN" w:eastAsia="zh-CN" w:bidi="ar-SA"/>
        </w:rPr>
        <w:t>地质灾害应急救援队伍</w:t>
      </w:r>
      <w:r>
        <w:rPr>
          <w:rFonts w:hint="eastAsia" w:ascii="黑体" w:hAnsi="黑体" w:eastAsia="黑体" w:cs="黑体"/>
          <w:bCs/>
          <w:color w:val="000000"/>
          <w:kern w:val="2"/>
          <w:sz w:val="21"/>
          <w:szCs w:val="32"/>
          <w:lang w:val="en-US" w:eastAsia="zh-CN" w:bidi="ar-SA"/>
        </w:rPr>
        <w:t xml:space="preserve"> geological disaster emergency rescue team</w:t>
      </w:r>
      <w:bookmarkEnd w:id="34"/>
    </w:p>
    <w:p w14:paraId="379A9944">
      <w:pPr>
        <w:ind w:firstLine="420"/>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配备地质灾害抢险装备物资并掌握地质灾害应急处置基本技能，能够有组织地开展地质灾害应急救援的</w:t>
      </w:r>
      <w:r>
        <w:rPr>
          <w:rFonts w:hint="eastAsia" w:cstheme="minorBidi"/>
          <w:bCs/>
          <w:color w:val="000000"/>
          <w:kern w:val="2"/>
          <w:sz w:val="21"/>
          <w:szCs w:val="32"/>
          <w:lang w:val="en-US" w:eastAsia="zh-CN" w:bidi="ar-SA"/>
        </w:rPr>
        <w:t>队伍</w:t>
      </w:r>
      <w:r>
        <w:rPr>
          <w:rFonts w:hint="eastAsia" w:ascii="Times New Roman" w:hAnsi="Times New Roman" w:eastAsia="宋体" w:cstheme="minorBidi"/>
          <w:bCs/>
          <w:color w:val="000000"/>
          <w:kern w:val="2"/>
          <w:sz w:val="21"/>
          <w:szCs w:val="32"/>
          <w:lang w:val="en-US" w:eastAsia="zh-CN" w:bidi="ar-SA"/>
        </w:rPr>
        <w:t>。</w:t>
      </w:r>
      <w:bookmarkStart w:id="35" w:name="_Toc79769778"/>
      <w:bookmarkEnd w:id="35"/>
      <w:bookmarkStart w:id="36" w:name="_Toc12010"/>
      <w:bookmarkEnd w:id="36"/>
      <w:bookmarkStart w:id="37" w:name="_Toc29532"/>
      <w:bookmarkEnd w:id="37"/>
      <w:bookmarkStart w:id="38" w:name="_Toc89437827"/>
      <w:bookmarkEnd w:id="38"/>
      <w:bookmarkStart w:id="39" w:name="_Toc16682"/>
      <w:bookmarkEnd w:id="39"/>
      <w:bookmarkStart w:id="40" w:name="_Toc23227"/>
      <w:bookmarkEnd w:id="40"/>
      <w:bookmarkStart w:id="41" w:name="_Toc83300640"/>
      <w:bookmarkEnd w:id="41"/>
      <w:bookmarkStart w:id="42" w:name="_Toc83300955"/>
      <w:bookmarkEnd w:id="42"/>
      <w:bookmarkStart w:id="43" w:name="_Toc79864320"/>
      <w:bookmarkEnd w:id="43"/>
      <w:bookmarkStart w:id="44" w:name="_Toc87949502"/>
      <w:bookmarkEnd w:id="44"/>
      <w:bookmarkStart w:id="45" w:name="_Toc89436656"/>
      <w:bookmarkEnd w:id="45"/>
      <w:bookmarkStart w:id="46" w:name="_Toc80003119"/>
      <w:bookmarkEnd w:id="46"/>
      <w:bookmarkStart w:id="47" w:name="_Toc85122764"/>
      <w:bookmarkEnd w:id="47"/>
      <w:bookmarkStart w:id="48" w:name="_Toc7353"/>
      <w:bookmarkEnd w:id="48"/>
      <w:bookmarkStart w:id="49" w:name="_Toc80003274"/>
      <w:bookmarkEnd w:id="49"/>
      <w:bookmarkStart w:id="50" w:name="_Toc149"/>
      <w:bookmarkEnd w:id="50"/>
      <w:bookmarkStart w:id="51" w:name="_Toc32534"/>
      <w:bookmarkEnd w:id="51"/>
      <w:bookmarkStart w:id="52" w:name="_Toc83807442"/>
      <w:bookmarkEnd w:id="52"/>
      <w:bookmarkStart w:id="53" w:name="_Toc355"/>
      <w:bookmarkEnd w:id="53"/>
      <w:bookmarkStart w:id="54" w:name="_Toc80127592"/>
      <w:bookmarkEnd w:id="54"/>
      <w:bookmarkStart w:id="55" w:name="_Toc6095"/>
      <w:bookmarkEnd w:id="55"/>
      <w:bookmarkStart w:id="56" w:name="_Toc83887409"/>
      <w:bookmarkEnd w:id="56"/>
      <w:bookmarkStart w:id="57" w:name="_Toc79416956"/>
      <w:bookmarkStart w:id="58" w:name="_Toc79347847"/>
      <w:bookmarkStart w:id="59" w:name="_Hlk79336694"/>
    </w:p>
    <w:p w14:paraId="18AA9F06">
      <w:pPr>
        <w:pStyle w:val="3"/>
        <w:rPr>
          <w:rFonts w:hint="default" w:ascii="黑体" w:hAnsi="黑体" w:eastAsia="黑体" w:cs="黑体"/>
          <w:bCs/>
          <w:color w:val="000000"/>
          <w:kern w:val="2"/>
          <w:sz w:val="21"/>
          <w:szCs w:val="32"/>
          <w:lang w:val="en-US" w:eastAsia="zh-CN" w:bidi="ar-SA"/>
        </w:rPr>
      </w:pPr>
      <w:bookmarkStart w:id="60" w:name="_Toc11964"/>
      <w:r>
        <w:rPr>
          <w:rFonts w:hint="eastAsia" w:ascii="黑体" w:hAnsi="黑体" w:eastAsia="黑体" w:cs="黑体"/>
          <w:bCs/>
          <w:color w:val="000000"/>
          <w:kern w:val="2"/>
          <w:sz w:val="21"/>
          <w:szCs w:val="32"/>
          <w:lang w:val="zh-CN" w:eastAsia="zh-CN" w:bidi="ar-SA"/>
        </w:rPr>
        <w:t>地质灾害应急救援技术支撑队伍</w:t>
      </w:r>
      <w:r>
        <w:rPr>
          <w:rFonts w:hint="eastAsia" w:ascii="黑体" w:hAnsi="黑体" w:eastAsia="黑体" w:cs="黑体"/>
          <w:bCs/>
          <w:color w:val="000000"/>
          <w:kern w:val="2"/>
          <w:sz w:val="21"/>
          <w:szCs w:val="32"/>
          <w:lang w:val="en-US" w:eastAsia="zh-CN" w:bidi="ar-SA"/>
        </w:rPr>
        <w:t xml:space="preserve"> geological disaster emergency technical support team</w:t>
      </w:r>
      <w:bookmarkEnd w:id="60"/>
    </w:p>
    <w:p w14:paraId="308F1580">
      <w:pPr>
        <w:ind w:firstLine="420"/>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由具有专业知识和技能的人员组成，为地质灾害应急救援提供技术支持和专业指导的</w:t>
      </w:r>
      <w:r>
        <w:rPr>
          <w:rFonts w:hint="eastAsia" w:cstheme="minorBidi"/>
          <w:bCs/>
          <w:color w:val="000000"/>
          <w:kern w:val="2"/>
          <w:sz w:val="21"/>
          <w:szCs w:val="32"/>
          <w:lang w:val="en-US" w:eastAsia="zh-CN" w:bidi="ar-SA"/>
        </w:rPr>
        <w:t>队伍</w:t>
      </w:r>
      <w:r>
        <w:rPr>
          <w:rFonts w:hint="eastAsia" w:ascii="Times New Roman" w:hAnsi="Times New Roman" w:eastAsia="宋体" w:cstheme="minorBidi"/>
          <w:bCs/>
          <w:color w:val="000000"/>
          <w:kern w:val="2"/>
          <w:sz w:val="21"/>
          <w:szCs w:val="32"/>
          <w:lang w:val="en-US" w:eastAsia="zh-CN" w:bidi="ar-SA"/>
        </w:rPr>
        <w:t>。</w:t>
      </w:r>
    </w:p>
    <w:bookmarkEnd w:id="57"/>
    <w:bookmarkEnd w:id="58"/>
    <w:bookmarkEnd w:id="59"/>
    <w:p w14:paraId="3751EA6D">
      <w:pPr>
        <w:pStyle w:val="2"/>
        <w:rPr>
          <w:rFonts w:hint="eastAsia" w:ascii="黑体" w:hAnsi="黑体" w:eastAsia="黑体" w:cs="黑体"/>
          <w:bCs/>
          <w:color w:val="000000"/>
          <w:kern w:val="2"/>
          <w:sz w:val="21"/>
          <w:szCs w:val="32"/>
          <w:lang w:val="en-US" w:eastAsia="zh-CN" w:bidi="ar-SA"/>
        </w:rPr>
      </w:pPr>
      <w:bookmarkStart w:id="61" w:name="_Toc89437828"/>
      <w:bookmarkEnd w:id="61"/>
      <w:bookmarkStart w:id="62" w:name="_Toc79864321"/>
      <w:bookmarkEnd w:id="62"/>
      <w:bookmarkStart w:id="63" w:name="_Toc80003120"/>
      <w:bookmarkEnd w:id="63"/>
      <w:bookmarkStart w:id="64" w:name="_Toc83300956"/>
      <w:bookmarkEnd w:id="64"/>
      <w:bookmarkStart w:id="65" w:name="_Toc80127593"/>
      <w:bookmarkEnd w:id="65"/>
      <w:bookmarkStart w:id="66" w:name="_Toc87949503"/>
      <w:bookmarkEnd w:id="66"/>
      <w:bookmarkStart w:id="67" w:name="_Toc85122765"/>
      <w:bookmarkEnd w:id="67"/>
      <w:bookmarkStart w:id="68" w:name="_Toc80003275"/>
      <w:bookmarkEnd w:id="68"/>
      <w:bookmarkStart w:id="69" w:name="_Toc83807443"/>
      <w:bookmarkEnd w:id="69"/>
      <w:bookmarkStart w:id="70" w:name="_Toc83887410"/>
      <w:bookmarkEnd w:id="70"/>
      <w:bookmarkStart w:id="71" w:name="_Toc83300641"/>
      <w:bookmarkEnd w:id="71"/>
      <w:bookmarkStart w:id="72" w:name="_Toc79769779"/>
      <w:bookmarkEnd w:id="72"/>
      <w:bookmarkStart w:id="73" w:name="_Toc89436657"/>
      <w:bookmarkEnd w:id="73"/>
      <w:bookmarkStart w:id="74" w:name="_Toc25614"/>
      <w:r>
        <w:rPr>
          <w:rFonts w:hint="eastAsia" w:ascii="黑体" w:hAnsi="黑体" w:eastAsia="黑体" w:cs="黑体"/>
          <w:bCs/>
          <w:color w:val="000000"/>
          <w:kern w:val="2"/>
          <w:sz w:val="21"/>
          <w:szCs w:val="32"/>
          <w:lang w:val="en-US" w:eastAsia="zh-CN" w:bidi="ar-SA"/>
        </w:rPr>
        <w:t>建设原则</w:t>
      </w:r>
      <w:bookmarkEnd w:id="74"/>
    </w:p>
    <w:p w14:paraId="58A898C4">
      <w:pPr>
        <w:pStyle w:val="3"/>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heme="minorBidi"/>
          <w:bCs/>
          <w:color w:val="000000"/>
          <w:kern w:val="2"/>
          <w:sz w:val="21"/>
          <w:szCs w:val="32"/>
          <w:lang w:val="en-US" w:eastAsia="zh-CN" w:bidi="ar-SA"/>
        </w:rPr>
      </w:pPr>
      <w:bookmarkStart w:id="75" w:name="_Toc20791"/>
      <w:bookmarkStart w:id="76" w:name="_Toc403"/>
      <w:bookmarkStart w:id="77" w:name="_Toc29531"/>
      <w:bookmarkStart w:id="78" w:name="_Toc24581"/>
      <w:bookmarkStart w:id="79" w:name="_Toc16565"/>
      <w:bookmarkStart w:id="80" w:name="_Toc17352"/>
      <w:bookmarkStart w:id="81" w:name="_Toc30855"/>
      <w:bookmarkStart w:id="82" w:name="_Toc4775"/>
      <w:bookmarkStart w:id="83" w:name="_Toc79416961"/>
      <w:bookmarkStart w:id="84" w:name="_Toc83300960"/>
      <w:bookmarkStart w:id="85" w:name="_Toc79864325"/>
      <w:bookmarkStart w:id="86" w:name="_Toc83300645"/>
      <w:bookmarkStart w:id="87" w:name="_Toc85122771"/>
      <w:bookmarkStart w:id="88" w:name="_Toc89436664"/>
      <w:bookmarkStart w:id="89" w:name="_Toc80127597"/>
      <w:bookmarkStart w:id="90" w:name="_Toc83807447"/>
      <w:bookmarkStart w:id="91" w:name="_Toc87949510"/>
      <w:bookmarkStart w:id="92" w:name="_Toc80003124"/>
      <w:bookmarkStart w:id="93" w:name="_Toc89437835"/>
      <w:bookmarkStart w:id="94" w:name="_Toc83887416"/>
      <w:bookmarkStart w:id="95" w:name="_Toc79769783"/>
      <w:bookmarkStart w:id="96" w:name="_Toc80003279"/>
      <w:r>
        <w:rPr>
          <w:rFonts w:hint="eastAsia" w:ascii="Times New Roman" w:hAnsi="Times New Roman" w:eastAsia="宋体" w:cstheme="minorBidi"/>
          <w:bCs/>
          <w:color w:val="000000"/>
          <w:kern w:val="2"/>
          <w:sz w:val="21"/>
          <w:szCs w:val="32"/>
          <w:lang w:val="en-US" w:eastAsia="zh-CN" w:bidi="ar-SA"/>
        </w:rPr>
        <w:t>安全性原则。牢固树立“生命至上、安全第一”的理念，全体队员在保障自身安全的前提下开展应急救援工作。</w:t>
      </w:r>
      <w:bookmarkEnd w:id="75"/>
      <w:bookmarkEnd w:id="76"/>
      <w:bookmarkEnd w:id="77"/>
      <w:bookmarkEnd w:id="78"/>
      <w:bookmarkEnd w:id="79"/>
      <w:bookmarkEnd w:id="80"/>
      <w:bookmarkEnd w:id="81"/>
      <w:bookmarkEnd w:id="82"/>
    </w:p>
    <w:bookmarkEnd w:id="83"/>
    <w:bookmarkEnd w:id="84"/>
    <w:bookmarkEnd w:id="85"/>
    <w:bookmarkEnd w:id="86"/>
    <w:bookmarkEnd w:id="87"/>
    <w:bookmarkEnd w:id="88"/>
    <w:bookmarkEnd w:id="89"/>
    <w:bookmarkEnd w:id="90"/>
    <w:bookmarkEnd w:id="91"/>
    <w:bookmarkEnd w:id="92"/>
    <w:bookmarkEnd w:id="93"/>
    <w:bookmarkEnd w:id="94"/>
    <w:bookmarkEnd w:id="95"/>
    <w:bookmarkEnd w:id="96"/>
    <w:p w14:paraId="42266FC5">
      <w:pPr>
        <w:pStyle w:val="3"/>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heme="minorBidi"/>
          <w:bCs/>
          <w:color w:val="000000"/>
          <w:kern w:val="2"/>
          <w:sz w:val="21"/>
          <w:szCs w:val="32"/>
          <w:lang w:val="en-US" w:eastAsia="zh-CN" w:bidi="ar-SA"/>
        </w:rPr>
      </w:pPr>
      <w:bookmarkStart w:id="97" w:name="_Toc257"/>
      <w:bookmarkStart w:id="98" w:name="_Toc32123"/>
      <w:bookmarkStart w:id="99" w:name="_Toc12015"/>
      <w:bookmarkStart w:id="100" w:name="_Toc23465"/>
      <w:bookmarkStart w:id="101" w:name="_Toc18676"/>
      <w:r>
        <w:rPr>
          <w:rFonts w:hint="eastAsia" w:ascii="Times New Roman" w:hAnsi="Times New Roman" w:eastAsia="宋体" w:cstheme="minorBidi"/>
          <w:bCs/>
          <w:color w:val="000000"/>
          <w:kern w:val="2"/>
          <w:sz w:val="21"/>
          <w:szCs w:val="32"/>
          <w:lang w:val="en-US" w:eastAsia="zh-CN" w:bidi="ar-SA"/>
        </w:rPr>
        <w:t>专业性原则。队伍建设应明确自身专业方向和功能定位，积极学习先进救援理念和技术，定期开展相应科目的培训、训练、演练。</w:t>
      </w:r>
      <w:bookmarkEnd w:id="97"/>
      <w:bookmarkEnd w:id="98"/>
      <w:bookmarkEnd w:id="99"/>
      <w:bookmarkEnd w:id="100"/>
      <w:bookmarkEnd w:id="101"/>
    </w:p>
    <w:p w14:paraId="1DE460BA">
      <w:pPr>
        <w:pStyle w:val="3"/>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heme="minorBidi"/>
          <w:bCs/>
          <w:color w:val="000000"/>
          <w:kern w:val="2"/>
          <w:sz w:val="21"/>
          <w:szCs w:val="32"/>
          <w:lang w:val="en-US" w:eastAsia="zh-CN" w:bidi="ar-SA"/>
        </w:rPr>
      </w:pPr>
      <w:bookmarkStart w:id="102" w:name="_Toc31235"/>
      <w:bookmarkStart w:id="103" w:name="_Toc8724"/>
      <w:bookmarkStart w:id="104" w:name="_Toc23925"/>
      <w:bookmarkStart w:id="105" w:name="_Toc7670"/>
      <w:bookmarkStart w:id="106" w:name="_Toc19945"/>
      <w:bookmarkStart w:id="107" w:name="_Toc83887418"/>
      <w:bookmarkStart w:id="108" w:name="_Toc85122773"/>
      <w:bookmarkStart w:id="109" w:name="_Toc80003126"/>
      <w:bookmarkStart w:id="110" w:name="_Toc79416963"/>
      <w:bookmarkStart w:id="111" w:name="_Toc83300962"/>
      <w:bookmarkStart w:id="112" w:name="_Toc79416966"/>
      <w:bookmarkStart w:id="113" w:name="_Toc83300647"/>
      <w:bookmarkStart w:id="114" w:name="_Toc89437837"/>
      <w:bookmarkStart w:id="115" w:name="_Toc79769785"/>
      <w:bookmarkStart w:id="116" w:name="_Toc89436666"/>
      <w:bookmarkStart w:id="117" w:name="_Toc87949512"/>
      <w:bookmarkStart w:id="118" w:name="_Toc79864327"/>
      <w:bookmarkStart w:id="119" w:name="_Toc83807449"/>
      <w:bookmarkStart w:id="120" w:name="_Toc80127599"/>
      <w:bookmarkStart w:id="121" w:name="_Toc80003281"/>
      <w:r>
        <w:rPr>
          <w:rFonts w:hint="eastAsia" w:ascii="Times New Roman" w:hAnsi="Times New Roman" w:eastAsia="宋体" w:cstheme="minorBidi"/>
          <w:bCs/>
          <w:color w:val="000000"/>
          <w:kern w:val="2"/>
          <w:sz w:val="21"/>
          <w:szCs w:val="32"/>
          <w:lang w:val="en-US" w:eastAsia="zh-CN" w:bidi="ar-SA"/>
        </w:rPr>
        <w:t>属地性原则。队伍建设应结合属地灾害特点和应急救援实际需求，在参与应急响应时应接受属地政府及现场救援指挥部的统一指挥、组织。</w:t>
      </w:r>
      <w:bookmarkEnd w:id="102"/>
      <w:bookmarkEnd w:id="103"/>
      <w:bookmarkEnd w:id="104"/>
      <w:bookmarkEnd w:id="105"/>
      <w:bookmarkEnd w:id="106"/>
    </w:p>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p w14:paraId="09587F76">
      <w:pPr>
        <w:pStyle w:val="2"/>
        <w:rPr>
          <w:rFonts w:hint="eastAsia" w:ascii="黑体" w:hAnsi="黑体" w:eastAsia="黑体" w:cs="黑体"/>
          <w:bCs/>
          <w:color w:val="000000"/>
          <w:kern w:val="2"/>
          <w:sz w:val="21"/>
          <w:szCs w:val="32"/>
          <w:lang w:val="en-US" w:eastAsia="zh-CN" w:bidi="ar-SA"/>
        </w:rPr>
      </w:pPr>
      <w:bookmarkStart w:id="122" w:name="_Toc7098"/>
      <w:r>
        <w:rPr>
          <w:rFonts w:hint="eastAsia" w:ascii="黑体" w:hAnsi="黑体" w:eastAsia="黑体" w:cs="黑体"/>
          <w:bCs/>
          <w:color w:val="000000"/>
          <w:kern w:val="2"/>
          <w:sz w:val="21"/>
          <w:szCs w:val="32"/>
          <w:lang w:val="en-US" w:eastAsia="zh-CN" w:bidi="ar-SA"/>
        </w:rPr>
        <w:t>专业技术支撑能力要求</w:t>
      </w:r>
      <w:bookmarkEnd w:id="122"/>
    </w:p>
    <w:p w14:paraId="30E50783">
      <w:pPr>
        <w:pStyle w:val="3"/>
        <w:rPr>
          <w:rFonts w:hint="eastAsia" w:ascii="黑体" w:hAnsi="黑体" w:eastAsia="黑体" w:cs="黑体"/>
          <w:bCs/>
          <w:color w:val="000000"/>
          <w:kern w:val="2"/>
          <w:sz w:val="21"/>
          <w:szCs w:val="32"/>
          <w:lang w:val="en-US" w:eastAsia="zh-CN" w:bidi="ar-SA"/>
        </w:rPr>
      </w:pPr>
      <w:bookmarkStart w:id="123" w:name="_Toc8933"/>
      <w:r>
        <w:rPr>
          <w:rFonts w:hint="eastAsia" w:ascii="黑体" w:hAnsi="黑体" w:eastAsia="黑体" w:cs="黑体"/>
          <w:bCs/>
          <w:color w:val="000000"/>
          <w:kern w:val="2"/>
          <w:sz w:val="21"/>
          <w:szCs w:val="32"/>
          <w:lang w:val="en-US" w:eastAsia="zh-CN" w:bidi="ar-SA"/>
        </w:rPr>
        <w:t>人员能力</w:t>
      </w:r>
      <w:bookmarkEnd w:id="123"/>
    </w:p>
    <w:p w14:paraId="684D6300">
      <w:pPr>
        <w:pStyle w:val="4"/>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队伍</w:t>
      </w:r>
      <w:r>
        <w:rPr>
          <w:rFonts w:hint="eastAsia" w:cstheme="minorBidi"/>
          <w:bCs/>
          <w:color w:val="000000"/>
          <w:kern w:val="2"/>
          <w:sz w:val="21"/>
          <w:szCs w:val="32"/>
          <w:lang w:val="en-US" w:eastAsia="zh-CN" w:bidi="ar-SA"/>
        </w:rPr>
        <w:t>可分为三级，具体分级建设人员能力及数量要求见附录A</w:t>
      </w:r>
      <w:r>
        <w:rPr>
          <w:rFonts w:hint="eastAsia" w:ascii="Times New Roman" w:hAnsi="Times New Roman" w:eastAsia="宋体" w:cstheme="minorBidi"/>
          <w:bCs/>
          <w:color w:val="000000"/>
          <w:kern w:val="2"/>
          <w:sz w:val="21"/>
          <w:szCs w:val="32"/>
          <w:lang w:val="en-US" w:eastAsia="zh-CN" w:bidi="ar-SA"/>
        </w:rPr>
        <w:t>。</w:t>
      </w:r>
    </w:p>
    <w:p w14:paraId="53EBE648">
      <w:pPr>
        <w:pStyle w:val="4"/>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队伍</w:t>
      </w:r>
      <w:r>
        <w:rPr>
          <w:rFonts w:hint="eastAsia" w:cstheme="minorBidi"/>
          <w:bCs/>
          <w:color w:val="000000"/>
          <w:kern w:val="2"/>
          <w:sz w:val="21"/>
          <w:szCs w:val="32"/>
          <w:lang w:val="en-US" w:eastAsia="zh-CN" w:bidi="ar-SA"/>
        </w:rPr>
        <w:t>中</w:t>
      </w:r>
      <w:r>
        <w:rPr>
          <w:rFonts w:hint="eastAsia" w:ascii="Times New Roman" w:hAnsi="Times New Roman" w:eastAsia="宋体" w:cstheme="minorBidi"/>
          <w:bCs/>
          <w:color w:val="000000"/>
          <w:kern w:val="2"/>
          <w:sz w:val="21"/>
          <w:szCs w:val="32"/>
          <w:lang w:val="en-US" w:eastAsia="zh-CN" w:bidi="ar-SA"/>
        </w:rPr>
        <w:t>年龄在45岁以下的人员数量不应少于人员总量的60%。</w:t>
      </w:r>
    </w:p>
    <w:p w14:paraId="45AEF595">
      <w:pPr>
        <w:pStyle w:val="4"/>
        <w:rPr>
          <w:rFonts w:hint="default"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队伍至少分为3个小</w:t>
      </w:r>
      <w:r>
        <w:rPr>
          <w:rFonts w:hint="eastAsia" w:cstheme="minorBidi"/>
          <w:bCs/>
          <w:color w:val="000000"/>
          <w:kern w:val="2"/>
          <w:sz w:val="21"/>
          <w:szCs w:val="32"/>
          <w:lang w:val="en-US" w:eastAsia="zh-CN" w:bidi="ar-SA"/>
        </w:rPr>
        <w:t>队</w:t>
      </w:r>
      <w:r>
        <w:rPr>
          <w:rFonts w:hint="eastAsia" w:ascii="Times New Roman" w:hAnsi="Times New Roman" w:eastAsia="宋体" w:cstheme="minorBidi"/>
          <w:bCs/>
          <w:color w:val="000000"/>
          <w:kern w:val="2"/>
          <w:sz w:val="21"/>
          <w:szCs w:val="32"/>
          <w:lang w:val="en-US" w:eastAsia="zh-CN" w:bidi="ar-SA"/>
        </w:rPr>
        <w:t>，当</w:t>
      </w:r>
      <w:r>
        <w:rPr>
          <w:rFonts w:hint="eastAsia" w:cstheme="minorBidi"/>
          <w:bCs/>
          <w:color w:val="000000"/>
          <w:kern w:val="2"/>
          <w:sz w:val="21"/>
          <w:szCs w:val="32"/>
          <w:lang w:val="en-US" w:eastAsia="zh-CN" w:bidi="ar-SA"/>
        </w:rPr>
        <w:t>多</w:t>
      </w:r>
      <w:r>
        <w:rPr>
          <w:rFonts w:hint="eastAsia" w:ascii="Times New Roman" w:hAnsi="Times New Roman" w:eastAsia="宋体" w:cstheme="minorBidi"/>
          <w:bCs/>
          <w:color w:val="000000"/>
          <w:kern w:val="2"/>
          <w:sz w:val="21"/>
          <w:szCs w:val="32"/>
          <w:lang w:val="en-US" w:eastAsia="zh-CN" w:bidi="ar-SA"/>
        </w:rPr>
        <w:t>地同时发生地质灾害时，可分别执行应急救援任务。</w:t>
      </w:r>
    </w:p>
    <w:p w14:paraId="0A855D25">
      <w:pPr>
        <w:pStyle w:val="3"/>
        <w:rPr>
          <w:rFonts w:hint="eastAsia" w:ascii="黑体" w:hAnsi="黑体" w:eastAsia="黑体" w:cs="黑体"/>
          <w:bCs/>
          <w:color w:val="000000"/>
          <w:kern w:val="2"/>
          <w:sz w:val="21"/>
          <w:szCs w:val="32"/>
          <w:lang w:val="en-US" w:eastAsia="zh-CN" w:bidi="ar-SA"/>
        </w:rPr>
      </w:pPr>
      <w:bookmarkStart w:id="124" w:name="_Toc26499"/>
      <w:r>
        <w:rPr>
          <w:rFonts w:hint="eastAsia" w:ascii="黑体" w:hAnsi="黑体" w:eastAsia="黑体" w:cs="黑体"/>
          <w:bCs/>
          <w:color w:val="000000"/>
          <w:kern w:val="2"/>
          <w:sz w:val="21"/>
          <w:szCs w:val="32"/>
          <w:lang w:val="en-US" w:eastAsia="zh-CN" w:bidi="ar-SA"/>
        </w:rPr>
        <w:t>基础能力</w:t>
      </w:r>
      <w:bookmarkEnd w:id="124"/>
    </w:p>
    <w:p w14:paraId="4631A4D0">
      <w:pPr>
        <w:pStyle w:val="4"/>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队伍应建立健全应急救援组织机构，具备应急值守、调度指挥、装备管理、应急处置、后勤保障等能力。</w:t>
      </w:r>
    </w:p>
    <w:p w14:paraId="2453C8F7">
      <w:pPr>
        <w:pStyle w:val="4"/>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队伍应由应急值守、应急指挥、现场处置和应急保障四类人员构成，并应按照队伍的实际管理状况设置具体岗位。</w:t>
      </w:r>
    </w:p>
    <w:p w14:paraId="58167BF0">
      <w:pPr>
        <w:pStyle w:val="4"/>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队伍应内设不同的处置小组，可参照如下设置：</w:t>
      </w:r>
    </w:p>
    <w:p w14:paraId="0FEAD458">
      <w:pPr>
        <w:numPr>
          <w:ilvl w:val="0"/>
          <w:numId w:val="4"/>
        </w:numPr>
        <w:rPr>
          <w:rFonts w:hint="eastAsia" w:ascii="Times New Roman" w:hAnsi="Times New Roman" w:eastAsia="宋体" w:cstheme="minorBidi"/>
          <w:bCs/>
          <w:color w:val="000000"/>
          <w:kern w:val="2"/>
          <w:sz w:val="21"/>
          <w:szCs w:val="32"/>
          <w:lang w:val="en-US" w:eastAsia="zh-CN" w:bidi="ar-SA"/>
        </w:rPr>
      </w:pPr>
      <w:r>
        <w:rPr>
          <w:rFonts w:hint="eastAsia" w:cstheme="minorBidi"/>
          <w:bCs/>
          <w:color w:val="000000"/>
          <w:kern w:val="2"/>
          <w:sz w:val="21"/>
          <w:szCs w:val="32"/>
          <w:lang w:val="en-US" w:eastAsia="zh-CN" w:bidi="ar-SA"/>
        </w:rPr>
        <w:t>值守</w:t>
      </w:r>
      <w:r>
        <w:rPr>
          <w:rFonts w:hint="eastAsia" w:ascii="Times New Roman" w:hAnsi="Times New Roman" w:eastAsia="宋体" w:cstheme="minorBidi"/>
          <w:bCs/>
          <w:color w:val="000000"/>
          <w:kern w:val="2"/>
          <w:sz w:val="21"/>
          <w:szCs w:val="32"/>
          <w:lang w:val="en-US" w:eastAsia="zh-CN" w:bidi="ar-SA"/>
        </w:rPr>
        <w:t>组：负</w:t>
      </w:r>
      <w:r>
        <w:rPr>
          <w:rFonts w:hint="eastAsia" w:cstheme="minorBidi"/>
          <w:bCs/>
          <w:color w:val="000000"/>
          <w:kern w:val="2"/>
          <w:sz w:val="21"/>
          <w:szCs w:val="32"/>
          <w:lang w:val="en-US" w:eastAsia="zh-CN" w:bidi="ar-SA"/>
        </w:rPr>
        <w:t>责</w:t>
      </w:r>
      <w:r>
        <w:rPr>
          <w:rFonts w:hint="eastAsia" w:ascii="Times New Roman" w:hAnsi="Times New Roman" w:eastAsia="宋体" w:cstheme="minorBidi"/>
          <w:bCs/>
          <w:color w:val="000000"/>
          <w:kern w:val="2"/>
          <w:sz w:val="21"/>
          <w:szCs w:val="32"/>
          <w:lang w:val="en-US" w:eastAsia="zh-CN" w:bidi="ar-SA"/>
        </w:rPr>
        <w:t>应急</w:t>
      </w:r>
      <w:r>
        <w:rPr>
          <w:rFonts w:hint="eastAsia" w:cstheme="minorBidi"/>
          <w:bCs/>
          <w:color w:val="000000"/>
          <w:kern w:val="2"/>
          <w:sz w:val="21"/>
          <w:szCs w:val="32"/>
          <w:lang w:val="en-US" w:eastAsia="zh-CN" w:bidi="ar-SA"/>
        </w:rPr>
        <w:t>值班值守</w:t>
      </w:r>
      <w:r>
        <w:rPr>
          <w:rFonts w:hint="eastAsia" w:ascii="Times New Roman" w:hAnsi="Times New Roman" w:eastAsia="宋体" w:cstheme="minorBidi"/>
          <w:bCs/>
          <w:color w:val="000000"/>
          <w:kern w:val="2"/>
          <w:sz w:val="21"/>
          <w:szCs w:val="32"/>
          <w:lang w:val="en-US" w:eastAsia="zh-CN" w:bidi="ar-SA"/>
        </w:rPr>
        <w:t>、信息报</w:t>
      </w:r>
      <w:r>
        <w:rPr>
          <w:rFonts w:hint="eastAsia" w:cstheme="minorBidi"/>
          <w:bCs/>
          <w:color w:val="000000"/>
          <w:kern w:val="2"/>
          <w:sz w:val="21"/>
          <w:szCs w:val="32"/>
          <w:lang w:val="en-US" w:eastAsia="zh-CN" w:bidi="ar-SA"/>
        </w:rPr>
        <w:t>送</w:t>
      </w:r>
      <w:r>
        <w:rPr>
          <w:rFonts w:hint="eastAsia" w:ascii="Times New Roman" w:hAnsi="Times New Roman" w:eastAsia="宋体" w:cstheme="minorBidi"/>
          <w:bCs/>
          <w:color w:val="000000"/>
          <w:kern w:val="2"/>
          <w:sz w:val="21"/>
          <w:szCs w:val="32"/>
          <w:lang w:val="en-US" w:eastAsia="zh-CN" w:bidi="ar-SA"/>
        </w:rPr>
        <w:t>等；</w:t>
      </w:r>
    </w:p>
    <w:p w14:paraId="2F0AD5D4">
      <w:pPr>
        <w:numPr>
          <w:ilvl w:val="0"/>
          <w:numId w:val="4"/>
        </w:numPr>
        <w:rPr>
          <w:rFonts w:hint="default" w:ascii="Times New Roman" w:hAnsi="Times New Roman" w:eastAsia="宋体" w:cstheme="minorBidi"/>
          <w:bCs/>
          <w:color w:val="000000"/>
          <w:kern w:val="2"/>
          <w:sz w:val="21"/>
          <w:szCs w:val="32"/>
          <w:lang w:val="en-US" w:eastAsia="zh-CN" w:bidi="ar-SA"/>
        </w:rPr>
      </w:pPr>
      <w:r>
        <w:rPr>
          <w:rFonts w:hint="eastAsia" w:cstheme="minorBidi"/>
          <w:bCs/>
          <w:color w:val="000000"/>
          <w:kern w:val="2"/>
          <w:sz w:val="21"/>
          <w:szCs w:val="32"/>
          <w:lang w:val="en-US" w:eastAsia="zh-CN" w:bidi="ar-SA"/>
        </w:rPr>
        <w:t>指挥组：</w:t>
      </w:r>
      <w:r>
        <w:rPr>
          <w:rFonts w:hint="eastAsia" w:ascii="Times New Roman" w:hAnsi="Times New Roman" w:eastAsia="宋体" w:cstheme="minorBidi"/>
          <w:bCs/>
          <w:color w:val="000000"/>
          <w:kern w:val="2"/>
          <w:sz w:val="21"/>
          <w:szCs w:val="32"/>
          <w:lang w:val="en-US" w:eastAsia="zh-CN" w:bidi="ar-SA"/>
        </w:rPr>
        <w:t>负</w:t>
      </w:r>
      <w:r>
        <w:rPr>
          <w:rFonts w:hint="eastAsia" w:cstheme="minorBidi"/>
          <w:bCs/>
          <w:color w:val="000000"/>
          <w:kern w:val="2"/>
          <w:sz w:val="21"/>
          <w:szCs w:val="32"/>
          <w:lang w:val="en-US" w:eastAsia="zh-CN" w:bidi="ar-SA"/>
        </w:rPr>
        <w:t>责</w:t>
      </w:r>
      <w:r>
        <w:rPr>
          <w:rFonts w:hint="eastAsia" w:ascii="Times New Roman" w:hAnsi="Times New Roman" w:eastAsia="宋体" w:cstheme="minorBidi"/>
          <w:bCs/>
          <w:color w:val="000000"/>
          <w:kern w:val="2"/>
          <w:sz w:val="21"/>
          <w:szCs w:val="32"/>
          <w:lang w:val="en-US" w:eastAsia="zh-CN" w:bidi="ar-SA"/>
        </w:rPr>
        <w:t>应急</w:t>
      </w:r>
      <w:r>
        <w:rPr>
          <w:rFonts w:hint="eastAsia" w:cstheme="minorBidi"/>
          <w:bCs/>
          <w:color w:val="000000"/>
          <w:kern w:val="2"/>
          <w:sz w:val="21"/>
          <w:szCs w:val="32"/>
          <w:lang w:val="en-US" w:eastAsia="zh-CN" w:bidi="ar-SA"/>
        </w:rPr>
        <w:t>指挥</w:t>
      </w:r>
      <w:r>
        <w:rPr>
          <w:rFonts w:hint="eastAsia" w:ascii="Times New Roman" w:hAnsi="Times New Roman" w:eastAsia="宋体" w:cstheme="minorBidi"/>
          <w:bCs/>
          <w:color w:val="000000"/>
          <w:kern w:val="2"/>
          <w:sz w:val="21"/>
          <w:szCs w:val="32"/>
          <w:lang w:val="en-US" w:eastAsia="zh-CN" w:bidi="ar-SA"/>
        </w:rPr>
        <w:t>、</w:t>
      </w:r>
      <w:r>
        <w:rPr>
          <w:rFonts w:hint="eastAsia" w:cstheme="minorBidi"/>
          <w:bCs/>
          <w:color w:val="000000"/>
          <w:kern w:val="2"/>
          <w:sz w:val="21"/>
          <w:szCs w:val="32"/>
          <w:lang w:val="en-US" w:eastAsia="zh-CN" w:bidi="ar-SA"/>
        </w:rPr>
        <w:t>协调</w:t>
      </w:r>
      <w:r>
        <w:rPr>
          <w:rFonts w:hint="eastAsia" w:ascii="Times New Roman" w:hAnsi="Times New Roman" w:eastAsia="宋体" w:cstheme="minorBidi"/>
          <w:bCs/>
          <w:color w:val="000000"/>
          <w:kern w:val="2"/>
          <w:sz w:val="21"/>
          <w:szCs w:val="32"/>
          <w:lang w:val="en-US" w:eastAsia="zh-CN" w:bidi="ar-SA"/>
        </w:rPr>
        <w:t>等；</w:t>
      </w:r>
    </w:p>
    <w:p w14:paraId="60DE0CE4">
      <w:pPr>
        <w:rPr>
          <w:rFonts w:hint="default"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b) 技术组：负责</w:t>
      </w:r>
      <w:r>
        <w:rPr>
          <w:rFonts w:hint="eastAsia" w:cstheme="minorBidi"/>
          <w:bCs/>
          <w:color w:val="000000"/>
          <w:kern w:val="2"/>
          <w:sz w:val="21"/>
          <w:szCs w:val="32"/>
          <w:lang w:val="en-US" w:eastAsia="zh-CN" w:bidi="ar-SA"/>
        </w:rPr>
        <w:t>值班值守、</w:t>
      </w:r>
      <w:r>
        <w:rPr>
          <w:rFonts w:hint="eastAsia" w:ascii="Times New Roman" w:hAnsi="Times New Roman" w:eastAsia="宋体" w:cstheme="minorBidi"/>
          <w:bCs/>
          <w:color w:val="000000"/>
          <w:kern w:val="2"/>
          <w:sz w:val="21"/>
          <w:szCs w:val="32"/>
          <w:lang w:val="en-US" w:eastAsia="zh-CN" w:bidi="ar-SA"/>
        </w:rPr>
        <w:t>应急救援技术支持</w:t>
      </w:r>
      <w:r>
        <w:rPr>
          <w:rFonts w:hint="eastAsia" w:cstheme="minorBidi"/>
          <w:bCs/>
          <w:color w:val="000000"/>
          <w:kern w:val="2"/>
          <w:sz w:val="21"/>
          <w:szCs w:val="32"/>
          <w:lang w:val="en-US" w:eastAsia="zh-CN" w:bidi="ar-SA"/>
        </w:rPr>
        <w:t>，包括应急调查、应急监测等</w:t>
      </w:r>
      <w:r>
        <w:rPr>
          <w:rFonts w:hint="eastAsia" w:ascii="Times New Roman" w:hAnsi="Times New Roman" w:eastAsia="宋体" w:cstheme="minorBidi"/>
          <w:bCs/>
          <w:color w:val="000000"/>
          <w:kern w:val="2"/>
          <w:sz w:val="21"/>
          <w:szCs w:val="32"/>
          <w:lang w:val="en-US" w:eastAsia="zh-CN" w:bidi="ar-SA"/>
        </w:rPr>
        <w:t>；</w:t>
      </w:r>
    </w:p>
    <w:p w14:paraId="1E0F27BF">
      <w:pP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c) 后勤组：负责队伍的衣食住行等后勤保障。</w:t>
      </w:r>
    </w:p>
    <w:p w14:paraId="34C1F79D">
      <w:pPr>
        <w:pStyle w:val="4"/>
        <w:rPr>
          <w:rFonts w:hint="default"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队伍应在接到指令后立即响应，根据灾害事故类型做好人员、装备、车辆和后勤保障物资的检查和准备，并按应急预案的响应要求集结。</w:t>
      </w:r>
    </w:p>
    <w:p w14:paraId="495EC293">
      <w:pPr>
        <w:pStyle w:val="4"/>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队伍成员应具备与救援任务相适应的身体素质和心理素质。</w:t>
      </w:r>
    </w:p>
    <w:p w14:paraId="2066ADFE">
      <w:pPr>
        <w:pStyle w:val="4"/>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队伍成员应了解地质灾害相关专业知识</w:t>
      </w:r>
      <w:r>
        <w:rPr>
          <w:rFonts w:hint="eastAsia" w:cstheme="minorBidi"/>
          <w:bCs/>
          <w:color w:val="000000"/>
          <w:kern w:val="2"/>
          <w:sz w:val="21"/>
          <w:szCs w:val="32"/>
          <w:lang w:val="en-US" w:eastAsia="zh-CN" w:bidi="ar-SA"/>
        </w:rPr>
        <w:t>，包括</w:t>
      </w:r>
      <w:r>
        <w:rPr>
          <w:rFonts w:hint="eastAsia"/>
          <w:szCs w:val="21"/>
        </w:rPr>
        <w:t>灾害地理环境、灾险情特征、灾险情趋势研判</w:t>
      </w:r>
      <w:r>
        <w:rPr>
          <w:rFonts w:hint="eastAsia" w:ascii="Times New Roman" w:hAnsi="Times New Roman" w:eastAsia="宋体" w:cstheme="minorBidi"/>
          <w:bCs/>
          <w:color w:val="000000"/>
          <w:kern w:val="2"/>
          <w:sz w:val="21"/>
          <w:szCs w:val="32"/>
          <w:lang w:val="en-US" w:eastAsia="zh-CN" w:bidi="ar-SA"/>
        </w:rPr>
        <w:t>、应急处置流程及关键技术方法</w:t>
      </w:r>
      <w:r>
        <w:rPr>
          <w:rFonts w:hint="eastAsia" w:cstheme="minorBidi"/>
          <w:bCs/>
          <w:color w:val="000000"/>
          <w:kern w:val="2"/>
          <w:sz w:val="21"/>
          <w:szCs w:val="32"/>
          <w:lang w:val="en-US" w:eastAsia="zh-CN" w:bidi="ar-SA"/>
        </w:rPr>
        <w:t>等。</w:t>
      </w:r>
    </w:p>
    <w:p w14:paraId="337688A8">
      <w:pPr>
        <w:pStyle w:val="4"/>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装备的使用人员应接受相应的培训，熟悉装备的用途、技术性能及有关使用说明资料，并遵守操作规程。</w:t>
      </w:r>
    </w:p>
    <w:p w14:paraId="77812949">
      <w:pPr>
        <w:pStyle w:val="4"/>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从事特种作业、特种设备作业的人员和其他特殊岗位人员应按照有关规定，取得相应的上岗资格。</w:t>
      </w:r>
    </w:p>
    <w:p w14:paraId="4841BFA9">
      <w:pPr>
        <w:pStyle w:val="3"/>
        <w:rPr>
          <w:rFonts w:hint="eastAsia" w:ascii="黑体" w:hAnsi="黑体" w:eastAsia="黑体" w:cs="黑体"/>
          <w:bCs/>
          <w:color w:val="000000"/>
          <w:kern w:val="2"/>
          <w:sz w:val="21"/>
          <w:szCs w:val="32"/>
          <w:lang w:val="en-US" w:eastAsia="zh-CN" w:bidi="ar-SA"/>
        </w:rPr>
      </w:pPr>
      <w:bookmarkStart w:id="125" w:name="_Toc10236"/>
      <w:r>
        <w:rPr>
          <w:rFonts w:hint="eastAsia" w:ascii="黑体" w:hAnsi="黑体" w:eastAsia="黑体" w:cs="黑体"/>
          <w:bCs/>
          <w:color w:val="000000"/>
          <w:kern w:val="2"/>
          <w:sz w:val="21"/>
          <w:szCs w:val="32"/>
          <w:lang w:val="en-US" w:eastAsia="zh-CN" w:bidi="ar-SA"/>
        </w:rPr>
        <w:t>技术能力</w:t>
      </w:r>
      <w:bookmarkEnd w:id="125"/>
    </w:p>
    <w:p w14:paraId="4346512B">
      <w:pPr>
        <w:pStyle w:val="4"/>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突发地质灾害应急救援技术支撑工作包含应急支撑准备、应急支撑响应、应急调查排查、应急监测预警、应急避险防范、应急会商研判、应急工程治理、应急救援技术评估等技术支撑工作内容，地质灾害应急救援技术支撑队伍需要具备可以从事其中一种或多种工作内容的能力。</w:t>
      </w:r>
    </w:p>
    <w:p w14:paraId="3345E806">
      <w:pPr>
        <w:pStyle w:val="4"/>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应急支撑准备能力</w:t>
      </w:r>
    </w:p>
    <w:p w14:paraId="5E948965">
      <w:pPr>
        <w:ind w:firstLine="420"/>
        <w:rPr>
          <w:rFonts w:hint="default"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日常防治平台建设、运行和维护，应急救援技术支撑工作方案编制，前瞻性预测研究，</w:t>
      </w:r>
      <w:r>
        <w:rPr>
          <w:rFonts w:hint="eastAsia" w:cstheme="minorBidi"/>
          <w:bCs/>
          <w:color w:val="000000"/>
          <w:kern w:val="2"/>
          <w:sz w:val="21"/>
          <w:szCs w:val="32"/>
          <w:lang w:val="en-US" w:eastAsia="zh-CN" w:bidi="ar-SA"/>
        </w:rPr>
        <w:t>地质环境资料的收集分析研判，</w:t>
      </w:r>
      <w:r>
        <w:rPr>
          <w:rFonts w:hint="eastAsia" w:ascii="Times New Roman" w:hAnsi="Times New Roman" w:eastAsia="宋体" w:cstheme="minorBidi"/>
          <w:bCs/>
          <w:color w:val="000000"/>
          <w:kern w:val="2"/>
          <w:sz w:val="21"/>
          <w:szCs w:val="32"/>
          <w:lang w:val="en-US" w:eastAsia="zh-CN" w:bidi="ar-SA"/>
        </w:rPr>
        <w:t>设备更新维护，专家团队建设，技术培训</w:t>
      </w:r>
      <w:r>
        <w:rPr>
          <w:rFonts w:hint="eastAsia" w:cstheme="minorBidi"/>
          <w:bCs/>
          <w:color w:val="000000"/>
          <w:kern w:val="2"/>
          <w:sz w:val="21"/>
          <w:szCs w:val="32"/>
          <w:lang w:val="en-US" w:eastAsia="zh-CN" w:bidi="ar-SA"/>
        </w:rPr>
        <w:t>，应急预案编制与演练</w:t>
      </w:r>
      <w:r>
        <w:rPr>
          <w:rFonts w:hint="eastAsia" w:ascii="Times New Roman" w:hAnsi="Times New Roman" w:eastAsia="宋体" w:cstheme="minorBidi"/>
          <w:bCs/>
          <w:color w:val="000000"/>
          <w:kern w:val="2"/>
          <w:sz w:val="21"/>
          <w:szCs w:val="32"/>
          <w:lang w:val="en-US" w:eastAsia="zh-CN" w:bidi="ar-SA"/>
        </w:rPr>
        <w:t>。</w:t>
      </w:r>
    </w:p>
    <w:p w14:paraId="6FE40E49">
      <w:pPr>
        <w:pStyle w:val="4"/>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应急支撑响应能力</w:t>
      </w:r>
    </w:p>
    <w:p w14:paraId="09ED30FA">
      <w:pPr>
        <w:ind w:firstLine="420"/>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任务信息核实、技术工作组成立、技术队伍派遣、资料和装备调遣、应急救援支撑情景预判。</w:t>
      </w:r>
    </w:p>
    <w:p w14:paraId="7D42CA0A">
      <w:pPr>
        <w:pStyle w:val="4"/>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应急调查排查能力</w:t>
      </w:r>
    </w:p>
    <w:p w14:paraId="67F22941">
      <w:pPr>
        <w:ind w:firstLine="420"/>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现场调查或排查，初步研判</w:t>
      </w:r>
      <w:r>
        <w:rPr>
          <w:rFonts w:hint="eastAsia" w:cstheme="minorBidi"/>
          <w:bCs/>
          <w:color w:val="000000"/>
          <w:kern w:val="2"/>
          <w:sz w:val="21"/>
          <w:szCs w:val="32"/>
          <w:lang w:val="en-US" w:eastAsia="zh-CN" w:bidi="ar-SA"/>
        </w:rPr>
        <w:t>，包括</w:t>
      </w:r>
      <w:r>
        <w:rPr>
          <w:rFonts w:hint="eastAsia" w:ascii="Times New Roman" w:hAnsi="Times New Roman" w:eastAsia="宋体" w:cstheme="minorBidi"/>
          <w:bCs/>
          <w:color w:val="000000"/>
          <w:kern w:val="2"/>
          <w:sz w:val="21"/>
          <w:szCs w:val="32"/>
          <w:lang w:val="en-US" w:eastAsia="zh-CN" w:bidi="ar-SA"/>
        </w:rPr>
        <w:t>稳定性或易发性判别、成灾原因分析模拟推演、趋势初判、危险区划定、临时避险场地评估</w:t>
      </w:r>
      <w:r>
        <w:rPr>
          <w:rFonts w:hint="eastAsia" w:cstheme="minorBidi"/>
          <w:bCs/>
          <w:color w:val="000000"/>
          <w:kern w:val="2"/>
          <w:sz w:val="21"/>
          <w:szCs w:val="32"/>
          <w:lang w:val="en-US" w:eastAsia="zh-CN" w:bidi="ar-SA"/>
        </w:rPr>
        <w:t>等</w:t>
      </w:r>
      <w:r>
        <w:rPr>
          <w:rFonts w:hint="eastAsia" w:ascii="Times New Roman" w:hAnsi="Times New Roman" w:eastAsia="宋体" w:cstheme="minorBidi"/>
          <w:bCs/>
          <w:color w:val="000000"/>
          <w:kern w:val="2"/>
          <w:sz w:val="21"/>
          <w:szCs w:val="32"/>
          <w:lang w:val="en-US" w:eastAsia="zh-CN" w:bidi="ar-SA"/>
        </w:rPr>
        <w:t>，形成调查或排查简报、报告，编制应急报告。</w:t>
      </w:r>
    </w:p>
    <w:p w14:paraId="7BE656A3">
      <w:pPr>
        <w:pStyle w:val="4"/>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应急监测预警能力</w:t>
      </w:r>
    </w:p>
    <w:p w14:paraId="7FBFED87">
      <w:pPr>
        <w:ind w:firstLine="420"/>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监测方案确定、监测工作部署、预警判据设定、监测数据分析、监测结果速报、预警会商结果上报。</w:t>
      </w:r>
    </w:p>
    <w:p w14:paraId="2BDE9BCA">
      <w:pPr>
        <w:pStyle w:val="4"/>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应急避险防范能力</w:t>
      </w:r>
    </w:p>
    <w:p w14:paraId="1D3B718E">
      <w:pPr>
        <w:ind w:firstLine="420"/>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危险区警戒设置、避险撤离路线确定、避险场地选定、防灾科普宣传、防灾避险演练。</w:t>
      </w:r>
    </w:p>
    <w:p w14:paraId="12701389">
      <w:pPr>
        <w:pStyle w:val="4"/>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应急会商研判能力</w:t>
      </w:r>
    </w:p>
    <w:p w14:paraId="60FF8CD8">
      <w:pPr>
        <w:ind w:firstLine="420"/>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采取现场或远程会商的形式，对地质灾害现场的调查、监测、避险场地等进行危险性评估，提出下一步应急处置对策建议。</w:t>
      </w:r>
    </w:p>
    <w:p w14:paraId="01B40EC2">
      <w:pPr>
        <w:pStyle w:val="4"/>
        <w:rPr>
          <w:rFonts w:hint="default"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应急工程治理能力</w:t>
      </w:r>
    </w:p>
    <w:p w14:paraId="5CE62E87">
      <w:pPr>
        <w:ind w:firstLine="420"/>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应急治理方案确定、初步设计、施工图设计、工程实施技术指导。</w:t>
      </w:r>
    </w:p>
    <w:p w14:paraId="15FBE723">
      <w:pPr>
        <w:pStyle w:val="4"/>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应急救援技术评估能力</w:t>
      </w:r>
    </w:p>
    <w:p w14:paraId="76BA2854">
      <w:pPr>
        <w:ind w:firstLine="420"/>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应急处置技术成效评价、总结评估报告形成、成果资料归档汇交。</w:t>
      </w:r>
    </w:p>
    <w:p w14:paraId="704A3BFD">
      <w:pPr>
        <w:pStyle w:val="4"/>
        <w:rPr>
          <w:rFonts w:hint="default"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自我保障能力</w:t>
      </w:r>
    </w:p>
    <w:p w14:paraId="45A84233">
      <w:pPr>
        <w:rPr>
          <w:rFonts w:hint="default"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现场应急救援技术支撑人员保障、装备设施保障、</w:t>
      </w:r>
      <w:r>
        <w:rPr>
          <w:rFonts w:hint="eastAsia" w:cstheme="minorBidi"/>
          <w:bCs/>
          <w:color w:val="000000"/>
          <w:kern w:val="2"/>
          <w:sz w:val="21"/>
          <w:szCs w:val="32"/>
          <w:lang w:val="en-US" w:eastAsia="zh-CN" w:bidi="ar-SA"/>
        </w:rPr>
        <w:t>应急通讯保障、</w:t>
      </w:r>
      <w:r>
        <w:rPr>
          <w:rFonts w:hint="eastAsia" w:ascii="Times New Roman" w:hAnsi="Times New Roman" w:eastAsia="宋体" w:cstheme="minorBidi"/>
          <w:bCs/>
          <w:color w:val="000000"/>
          <w:kern w:val="2"/>
          <w:sz w:val="21"/>
          <w:szCs w:val="32"/>
          <w:lang w:val="en-US" w:eastAsia="zh-CN" w:bidi="ar-SA"/>
        </w:rPr>
        <w:t>医疗后勤保障等。</w:t>
      </w:r>
    </w:p>
    <w:p w14:paraId="4F656D0A">
      <w:pPr>
        <w:pStyle w:val="2"/>
        <w:rPr>
          <w:rFonts w:hint="eastAsia" w:ascii="黑体" w:hAnsi="黑体" w:eastAsia="黑体" w:cs="黑体"/>
          <w:bCs/>
          <w:color w:val="000000"/>
          <w:kern w:val="2"/>
          <w:sz w:val="21"/>
          <w:szCs w:val="32"/>
          <w:lang w:val="en-US" w:eastAsia="zh-CN" w:bidi="ar-SA"/>
        </w:rPr>
      </w:pPr>
      <w:bookmarkStart w:id="126" w:name="_Toc9611"/>
      <w:r>
        <w:rPr>
          <w:rFonts w:hint="eastAsia" w:ascii="黑体" w:hAnsi="黑体" w:eastAsia="黑体" w:cs="黑体"/>
          <w:bCs/>
          <w:color w:val="000000"/>
          <w:kern w:val="2"/>
          <w:sz w:val="21"/>
          <w:szCs w:val="32"/>
          <w:lang w:val="en-US" w:eastAsia="zh-CN" w:bidi="ar-SA"/>
        </w:rPr>
        <w:t>综合保障能力要求</w:t>
      </w:r>
      <w:bookmarkEnd w:id="126"/>
    </w:p>
    <w:p w14:paraId="6A7C572A">
      <w:pPr>
        <w:pStyle w:val="3"/>
        <w:rPr>
          <w:rFonts w:hint="eastAsia" w:ascii="黑体" w:hAnsi="黑体" w:eastAsia="黑体" w:cs="黑体"/>
          <w:bCs/>
          <w:color w:val="000000"/>
          <w:kern w:val="2"/>
          <w:sz w:val="21"/>
          <w:szCs w:val="32"/>
          <w:lang w:val="en-US" w:eastAsia="zh-CN" w:bidi="ar-SA"/>
        </w:rPr>
      </w:pPr>
      <w:bookmarkStart w:id="127" w:name="_Toc29212"/>
      <w:r>
        <w:rPr>
          <w:rFonts w:hint="eastAsia" w:ascii="黑体" w:hAnsi="黑体" w:eastAsia="黑体" w:cs="黑体"/>
          <w:bCs/>
          <w:color w:val="000000"/>
          <w:kern w:val="2"/>
          <w:sz w:val="21"/>
          <w:szCs w:val="32"/>
          <w:lang w:val="en-US" w:eastAsia="zh-CN" w:bidi="ar-SA"/>
        </w:rPr>
        <w:t>基础保障</w:t>
      </w:r>
      <w:bookmarkEnd w:id="127"/>
    </w:p>
    <w:p w14:paraId="34F125B4">
      <w:pPr>
        <w:pStyle w:val="4"/>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队伍应按照驻址条件设置各类用房及场地，满足业务办公、值班调度、装备物资存放、日常培训和训练等需要。</w:t>
      </w:r>
    </w:p>
    <w:p w14:paraId="7B7D4102">
      <w:pPr>
        <w:pStyle w:val="4"/>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队伍</w:t>
      </w:r>
      <w:r>
        <w:rPr>
          <w:rFonts w:hint="eastAsia" w:cstheme="minorBidi"/>
          <w:bCs/>
          <w:color w:val="000000"/>
          <w:kern w:val="2"/>
          <w:sz w:val="21"/>
          <w:szCs w:val="32"/>
          <w:lang w:val="en-US" w:eastAsia="zh-CN" w:bidi="ar-SA"/>
        </w:rPr>
        <w:t>根据实际汛期情况，</w:t>
      </w:r>
      <w:r>
        <w:rPr>
          <w:rFonts w:hint="eastAsia" w:ascii="Times New Roman" w:hAnsi="Times New Roman" w:eastAsia="宋体" w:cstheme="minorBidi"/>
          <w:bCs/>
          <w:color w:val="000000"/>
          <w:kern w:val="2"/>
          <w:sz w:val="21"/>
          <w:szCs w:val="32"/>
          <w:lang w:val="en-US" w:eastAsia="zh-CN" w:bidi="ar-SA"/>
        </w:rPr>
        <w:t>设24小时值班室，值班电话不应少于2部</w:t>
      </w:r>
      <w:r>
        <w:rPr>
          <w:rFonts w:hint="eastAsia" w:cstheme="minorBidi"/>
          <w:bCs/>
          <w:color w:val="000000"/>
          <w:kern w:val="2"/>
          <w:sz w:val="21"/>
          <w:szCs w:val="32"/>
          <w:lang w:val="en-US" w:eastAsia="zh-CN" w:bidi="ar-SA"/>
        </w:rPr>
        <w:t>，值班人数不少于2人</w:t>
      </w:r>
      <w:r>
        <w:rPr>
          <w:rFonts w:hint="eastAsia" w:ascii="Times New Roman" w:hAnsi="Times New Roman" w:eastAsia="宋体" w:cstheme="minorBidi"/>
          <w:bCs/>
          <w:color w:val="000000"/>
          <w:kern w:val="2"/>
          <w:sz w:val="21"/>
          <w:szCs w:val="32"/>
          <w:lang w:val="en-US" w:eastAsia="zh-CN" w:bidi="ar-SA"/>
        </w:rPr>
        <w:t>。</w:t>
      </w:r>
    </w:p>
    <w:p w14:paraId="359F37D1">
      <w:pPr>
        <w:pStyle w:val="3"/>
        <w:rPr>
          <w:rFonts w:hint="eastAsia" w:ascii="黑体" w:hAnsi="黑体" w:eastAsia="黑体" w:cs="黑体"/>
          <w:bCs/>
          <w:color w:val="000000"/>
          <w:kern w:val="2"/>
          <w:sz w:val="21"/>
          <w:szCs w:val="32"/>
          <w:lang w:val="en-US" w:eastAsia="zh-CN" w:bidi="ar-SA"/>
        </w:rPr>
      </w:pPr>
      <w:bookmarkStart w:id="128" w:name="_Toc30235"/>
      <w:r>
        <w:rPr>
          <w:rFonts w:hint="eastAsia" w:ascii="黑体" w:hAnsi="黑体" w:eastAsia="黑体" w:cs="黑体"/>
          <w:bCs/>
          <w:color w:val="000000"/>
          <w:kern w:val="2"/>
          <w:sz w:val="21"/>
          <w:szCs w:val="32"/>
          <w:lang w:val="en-US" w:eastAsia="zh-CN" w:bidi="ar-SA"/>
        </w:rPr>
        <w:t>装备保障</w:t>
      </w:r>
      <w:bookmarkEnd w:id="128"/>
    </w:p>
    <w:p w14:paraId="71D4FBD3">
      <w:pPr>
        <w:pStyle w:val="4"/>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队伍应结合服务区域内涉及的地质灾害类型和风险特点配备应急救援装备和应急救援物资，装备配备可参照附录</w:t>
      </w:r>
      <w:r>
        <w:rPr>
          <w:rFonts w:hint="eastAsia" w:cstheme="minorBidi"/>
          <w:bCs/>
          <w:color w:val="000000"/>
          <w:kern w:val="2"/>
          <w:sz w:val="21"/>
          <w:szCs w:val="32"/>
          <w:lang w:val="en-US" w:eastAsia="zh-CN" w:bidi="ar-SA"/>
        </w:rPr>
        <w:t>B</w:t>
      </w:r>
      <w:r>
        <w:rPr>
          <w:rFonts w:hint="eastAsia" w:ascii="Times New Roman" w:hAnsi="Times New Roman" w:eastAsia="宋体" w:cstheme="minorBidi"/>
          <w:bCs/>
          <w:color w:val="000000"/>
          <w:kern w:val="2"/>
          <w:sz w:val="21"/>
          <w:szCs w:val="32"/>
          <w:lang w:val="en-US" w:eastAsia="zh-CN" w:bidi="ar-SA"/>
        </w:rPr>
        <w:t>。</w:t>
      </w:r>
    </w:p>
    <w:p w14:paraId="67A7CEF5">
      <w:pPr>
        <w:pStyle w:val="4"/>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装备物资配备应满足队伍现场应急处置及承担救援任务的实用性、功能性、安全性、耐用性的需要。</w:t>
      </w:r>
    </w:p>
    <w:p w14:paraId="26D83416">
      <w:pPr>
        <w:pStyle w:val="4"/>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装备配置应符合国家现行的有关标准、规范的要求。自行研制的应急救援</w:t>
      </w:r>
      <w:r>
        <w:rPr>
          <w:rFonts w:hint="eastAsia" w:cstheme="minorBidi"/>
          <w:bCs/>
          <w:color w:val="000000"/>
          <w:kern w:val="2"/>
          <w:sz w:val="21"/>
          <w:szCs w:val="32"/>
          <w:lang w:val="en-US" w:eastAsia="zh-CN" w:bidi="ar-SA"/>
        </w:rPr>
        <w:t>设备</w:t>
      </w:r>
      <w:r>
        <w:rPr>
          <w:rFonts w:hint="eastAsia" w:ascii="Times New Roman" w:hAnsi="Times New Roman" w:eastAsia="宋体" w:cstheme="minorBidi"/>
          <w:bCs/>
          <w:color w:val="000000"/>
          <w:kern w:val="2"/>
          <w:sz w:val="21"/>
          <w:szCs w:val="32"/>
          <w:lang w:val="en-US" w:eastAsia="zh-CN" w:bidi="ar-SA"/>
        </w:rPr>
        <w:t>应安全可靠。</w:t>
      </w:r>
    </w:p>
    <w:p w14:paraId="604B9E2A">
      <w:pPr>
        <w:pStyle w:val="4"/>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应急救援装备和物资的数量、规格、型号应与队伍人员数量和救援任务需求相匹配。</w:t>
      </w:r>
    </w:p>
    <w:p w14:paraId="33F4D7DB">
      <w:pPr>
        <w:pStyle w:val="4"/>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队伍应建立并实施装备物资进出入登记使用制度、存储管理制度、维护保养制度、报废制度，安排专人管理装备仓库。</w:t>
      </w:r>
    </w:p>
    <w:p w14:paraId="60E704BC">
      <w:pPr>
        <w:pStyle w:val="4"/>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队伍应明确专人负责应急救援装备物资的调用和定期维护检查，每季度集中维护保养至少1次，应急救援后应及时对装备物资进行保养维护。</w:t>
      </w:r>
    </w:p>
    <w:p w14:paraId="20892462">
      <w:pPr>
        <w:pStyle w:val="3"/>
        <w:rPr>
          <w:rFonts w:hint="eastAsia" w:ascii="黑体" w:hAnsi="黑体" w:eastAsia="黑体" w:cs="黑体"/>
          <w:bCs/>
          <w:color w:val="000000"/>
          <w:kern w:val="2"/>
          <w:sz w:val="21"/>
          <w:szCs w:val="32"/>
          <w:lang w:val="en-US" w:eastAsia="zh-CN" w:bidi="ar-SA"/>
        </w:rPr>
      </w:pPr>
      <w:bookmarkStart w:id="129" w:name="_Toc16569"/>
      <w:r>
        <w:rPr>
          <w:rFonts w:hint="eastAsia" w:ascii="黑体" w:hAnsi="黑体" w:eastAsia="黑体" w:cs="黑体"/>
          <w:bCs/>
          <w:color w:val="000000"/>
          <w:kern w:val="2"/>
          <w:sz w:val="21"/>
          <w:szCs w:val="32"/>
          <w:lang w:val="en-US" w:eastAsia="zh-CN" w:bidi="ar-SA"/>
        </w:rPr>
        <w:t>能力提升保障</w:t>
      </w:r>
      <w:bookmarkEnd w:id="129"/>
    </w:p>
    <w:p w14:paraId="200CA73E">
      <w:pPr>
        <w:pStyle w:val="4"/>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队伍应当制定培训计划和训练大纲。</w:t>
      </w:r>
    </w:p>
    <w:p w14:paraId="4BCF3114">
      <w:pPr>
        <w:pStyle w:val="4"/>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队伍队员培训应进行入队培训和复训，队员的首次培训时间不少于72学时，每年复训时间不少于20学时。</w:t>
      </w:r>
    </w:p>
    <w:p w14:paraId="30C178D6">
      <w:pPr>
        <w:pStyle w:val="4"/>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培训和训练科目应包括但不限于理论知识、基本技能和专业技能等类别，并应符合下列要求：</w:t>
      </w:r>
    </w:p>
    <w:p w14:paraId="460DCC5C">
      <w:pPr>
        <w:pStyle w:val="4"/>
        <w:numPr>
          <w:ilvl w:val="2"/>
          <w:numId w:val="0"/>
        </w:numPr>
        <w:ind w:leftChars="0" w:firstLine="420" w:firstLineChars="200"/>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a) 理论知识应包括应急管理的法律法规规章制度、救援技术标准规范和应急救援等相关知识；</w:t>
      </w:r>
    </w:p>
    <w:p w14:paraId="747530D0">
      <w:pPr>
        <w:pStyle w:val="4"/>
        <w:numPr>
          <w:ilvl w:val="2"/>
          <w:numId w:val="0"/>
        </w:numPr>
        <w:ind w:leftChars="0" w:firstLine="420" w:firstLineChars="200"/>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b) 基本技能应包括体能训练、心理训练、拓展训练等；</w:t>
      </w:r>
    </w:p>
    <w:p w14:paraId="012E1C9C">
      <w:pPr>
        <w:pStyle w:val="4"/>
        <w:numPr>
          <w:ilvl w:val="2"/>
          <w:numId w:val="0"/>
        </w:numPr>
        <w:ind w:leftChars="0" w:firstLine="420" w:firstLineChars="200"/>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c) 专业技能应包括工程抢险、紧急情况处置、装备物资使用、个人防护等。</w:t>
      </w:r>
    </w:p>
    <w:p w14:paraId="771EB1EE">
      <w:pPr>
        <w:pStyle w:val="4"/>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队伍每年汛期或地方发生</w:t>
      </w:r>
      <w:r>
        <w:rPr>
          <w:rFonts w:hint="eastAsia" w:cstheme="minorBidi"/>
          <w:bCs/>
          <w:color w:val="000000"/>
          <w:kern w:val="2"/>
          <w:sz w:val="21"/>
          <w:szCs w:val="32"/>
          <w:lang w:val="en-US" w:eastAsia="zh-CN" w:bidi="ar-SA"/>
        </w:rPr>
        <w:t>灾害</w:t>
      </w:r>
      <w:r>
        <w:rPr>
          <w:rFonts w:hint="eastAsia" w:ascii="Times New Roman" w:hAnsi="Times New Roman" w:eastAsia="宋体" w:cstheme="minorBidi"/>
          <w:bCs/>
          <w:color w:val="000000"/>
          <w:kern w:val="2"/>
          <w:sz w:val="21"/>
          <w:szCs w:val="32"/>
          <w:lang w:val="en-US" w:eastAsia="zh-CN" w:bidi="ar-SA"/>
        </w:rPr>
        <w:t>频次多的节点前应至少参加1次装备的实操训练。</w:t>
      </w:r>
    </w:p>
    <w:p w14:paraId="475A7E58">
      <w:pPr>
        <w:pStyle w:val="4"/>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队伍应在培训和训练结束后对队员进行考核。</w:t>
      </w:r>
    </w:p>
    <w:p w14:paraId="30A34080">
      <w:pPr>
        <w:pStyle w:val="4"/>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队伍应编制应急预案，规范机构设置、响应机制、工作措施等方面的工作内容及流程，具体内容可根据队伍级别或地域自行设置</w:t>
      </w:r>
      <w:r>
        <w:rPr>
          <w:rFonts w:hint="eastAsia" w:cstheme="minorBidi"/>
          <w:bCs/>
          <w:color w:val="000000"/>
          <w:kern w:val="2"/>
          <w:sz w:val="21"/>
          <w:szCs w:val="32"/>
          <w:lang w:val="en-US" w:eastAsia="zh-CN" w:bidi="ar-SA"/>
        </w:rPr>
        <w:t>。并</w:t>
      </w:r>
      <w:r>
        <w:rPr>
          <w:rFonts w:hint="eastAsia" w:ascii="Times New Roman" w:hAnsi="Times New Roman" w:eastAsia="宋体" w:cstheme="minorBidi"/>
          <w:bCs/>
          <w:color w:val="000000"/>
          <w:kern w:val="2"/>
          <w:sz w:val="21"/>
          <w:szCs w:val="32"/>
          <w:lang w:val="en-US" w:eastAsia="zh-CN" w:bidi="ar-SA"/>
        </w:rPr>
        <w:t>定期组织应急演练，参加政府部门组织的相关演练，并根据演练情况及时对应急预案进行修订完善。</w:t>
      </w:r>
    </w:p>
    <w:p w14:paraId="7E9850BE">
      <w:pPr>
        <w:pStyle w:val="4"/>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队伍应制定年度演练计划，每年应组织或参加不少于2次演练，并及时对演练进行总结与评估，撰写演练评估报告，</w:t>
      </w:r>
      <w:r>
        <w:rPr>
          <w:rFonts w:hint="eastAsia" w:cstheme="minorBidi"/>
          <w:bCs/>
          <w:color w:val="000000"/>
          <w:kern w:val="2"/>
          <w:sz w:val="21"/>
          <w:szCs w:val="32"/>
          <w:lang w:val="en-US" w:eastAsia="zh-CN" w:bidi="ar-SA"/>
        </w:rPr>
        <w:t>注重演练的实效性，</w:t>
      </w:r>
      <w:r>
        <w:rPr>
          <w:rFonts w:hint="eastAsia" w:ascii="Times New Roman" w:hAnsi="Times New Roman" w:eastAsia="宋体" w:cstheme="minorBidi"/>
          <w:bCs/>
          <w:color w:val="000000"/>
          <w:kern w:val="2"/>
          <w:sz w:val="21"/>
          <w:szCs w:val="32"/>
          <w:lang w:val="en-US" w:eastAsia="zh-CN" w:bidi="ar-SA"/>
        </w:rPr>
        <w:t>分析存在的问题并修订完善。</w:t>
      </w:r>
    </w:p>
    <w:p w14:paraId="3C28E6B2">
      <w:pPr>
        <w:pStyle w:val="2"/>
        <w:rPr>
          <w:rFonts w:hint="eastAsia" w:ascii="黑体" w:hAnsi="黑体" w:eastAsia="黑体" w:cs="黑体"/>
          <w:bCs/>
          <w:color w:val="000000"/>
          <w:kern w:val="2"/>
          <w:sz w:val="21"/>
          <w:szCs w:val="32"/>
          <w:lang w:val="en-US" w:eastAsia="zh-CN" w:bidi="ar-SA"/>
        </w:rPr>
      </w:pPr>
      <w:bookmarkStart w:id="130" w:name="_Toc25083"/>
      <w:r>
        <w:rPr>
          <w:rFonts w:hint="eastAsia" w:ascii="黑体" w:hAnsi="黑体" w:eastAsia="黑体" w:cs="黑体"/>
          <w:bCs/>
          <w:color w:val="000000"/>
          <w:kern w:val="2"/>
          <w:sz w:val="21"/>
          <w:szCs w:val="32"/>
          <w:lang w:val="en-US" w:eastAsia="zh-CN" w:bidi="ar-SA"/>
        </w:rPr>
        <w:t>组织管理能力要求</w:t>
      </w:r>
      <w:bookmarkEnd w:id="130"/>
    </w:p>
    <w:p w14:paraId="086A3220">
      <w:pPr>
        <w:pStyle w:val="4"/>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队伍应建立健全各类规章制度，包括但不限于以下内容：</w:t>
      </w:r>
    </w:p>
    <w:p w14:paraId="467FDA3E">
      <w:pPr>
        <w:ind w:firstLine="420"/>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a) 岗位责任制；</w:t>
      </w:r>
    </w:p>
    <w:p w14:paraId="17E65F42">
      <w:pPr>
        <w:ind w:firstLine="420"/>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b) 应急预案；</w:t>
      </w:r>
    </w:p>
    <w:p w14:paraId="0FD22DE1">
      <w:pPr>
        <w:keepNext w:val="0"/>
        <w:keepLines w:val="0"/>
        <w:widowControl/>
        <w:suppressLineNumbers w:val="0"/>
        <w:jc w:val="left"/>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c) 值班值守制度；</w:t>
      </w:r>
    </w:p>
    <w:p w14:paraId="4DBB0270">
      <w:pPr>
        <w:keepNext w:val="0"/>
        <w:keepLines w:val="0"/>
        <w:widowControl/>
        <w:suppressLineNumbers w:val="0"/>
        <w:jc w:val="left"/>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d) 应急响应制度；</w:t>
      </w:r>
    </w:p>
    <w:p w14:paraId="66FE321D">
      <w:pPr>
        <w:ind w:firstLine="420"/>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e) 信息报送制度；</w:t>
      </w:r>
    </w:p>
    <w:p w14:paraId="0482C9C5">
      <w:pPr>
        <w:ind w:firstLine="420"/>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f) 教育培训与演练制度；</w:t>
      </w:r>
    </w:p>
    <w:p w14:paraId="1A3927F9">
      <w:pPr>
        <w:ind w:firstLine="420"/>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g) 后勤保障制度；</w:t>
      </w:r>
    </w:p>
    <w:p w14:paraId="10C0EA23">
      <w:pPr>
        <w:ind w:firstLine="420"/>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h) 技术资料管理制度；</w:t>
      </w:r>
    </w:p>
    <w:p w14:paraId="6ED11762">
      <w:pPr>
        <w:ind w:firstLine="420"/>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i) 应急装备物资维护保养制度；</w:t>
      </w:r>
    </w:p>
    <w:p w14:paraId="3E468767">
      <w:pPr>
        <w:ind w:firstLine="420"/>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j) 应急装备物资调用制度；</w:t>
      </w:r>
    </w:p>
    <w:p w14:paraId="7EA84A19">
      <w:pPr>
        <w:ind w:firstLine="420"/>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k) 应急装备物资报废制度；</w:t>
      </w:r>
    </w:p>
    <w:p w14:paraId="53063056">
      <w:pPr>
        <w:ind w:firstLine="420"/>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l) 应急工作资料归档制度。</w:t>
      </w:r>
    </w:p>
    <w:p w14:paraId="0C492898">
      <w:pPr>
        <w:pStyle w:val="4"/>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队伍宜统一规范队伍的队旗、队徽，统一着装和佩戴标识，建立正规的队列和内务秩序。</w:t>
      </w:r>
    </w:p>
    <w:p w14:paraId="41FD3C04">
      <w:pPr>
        <w:pStyle w:val="4"/>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队伍应建立健全经费、物资管理制度及后勤服务机构，做到各类物资账物卡相符，设施设备完好可用，能够为工作、训练和学习提供有力保障。</w:t>
      </w:r>
    </w:p>
    <w:p w14:paraId="45699479">
      <w:pPr>
        <w:pStyle w:val="4"/>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按规定及时保障日常办公、管理和常规装备补充、维修等所需经费，落实全员的工资、福利、保险、抚恤等相关待遇。</w:t>
      </w:r>
    </w:p>
    <w:p w14:paraId="0472E751">
      <w:pPr>
        <w:pStyle w:val="4"/>
        <w:rPr>
          <w:rFonts w:hint="eastAsia"/>
          <w:lang w:val="en-US" w:eastAsia="zh-CN"/>
        </w:rPr>
      </w:pPr>
      <w:r>
        <w:rPr>
          <w:rFonts w:hint="eastAsia" w:ascii="Times New Roman" w:hAnsi="Times New Roman" w:eastAsia="宋体" w:cstheme="minorBidi"/>
          <w:bCs/>
          <w:color w:val="000000"/>
          <w:kern w:val="2"/>
          <w:sz w:val="21"/>
          <w:szCs w:val="32"/>
          <w:lang w:val="en-US" w:eastAsia="zh-CN" w:bidi="ar-SA"/>
        </w:rPr>
        <w:t>队伍任务完成后，应开展应急救援工作总结和评估。</w:t>
      </w:r>
      <w:r>
        <w:rPr>
          <w:rFonts w:hint="eastAsia" w:cstheme="minorBidi"/>
          <w:bCs/>
          <w:color w:val="000000"/>
          <w:kern w:val="2"/>
          <w:sz w:val="21"/>
          <w:szCs w:val="32"/>
          <w:lang w:val="en-US" w:eastAsia="zh-CN" w:bidi="ar-SA"/>
        </w:rPr>
        <w:t>建立队伍奖惩机制，</w:t>
      </w:r>
      <w:r>
        <w:rPr>
          <w:rFonts w:hint="eastAsia" w:ascii="Times New Roman" w:hAnsi="Times New Roman" w:eastAsia="宋体" w:cstheme="minorBidi"/>
          <w:bCs/>
          <w:color w:val="000000"/>
          <w:kern w:val="2"/>
          <w:sz w:val="21"/>
          <w:szCs w:val="32"/>
          <w:lang w:val="en-US" w:eastAsia="zh-CN" w:bidi="ar-SA"/>
        </w:rPr>
        <w:t>建立追责和激励制度</w:t>
      </w:r>
      <w:r>
        <w:rPr>
          <w:rFonts w:hint="eastAsia" w:cstheme="minorBidi"/>
          <w:bCs/>
          <w:color w:val="000000"/>
          <w:kern w:val="2"/>
          <w:sz w:val="21"/>
          <w:szCs w:val="32"/>
          <w:lang w:val="en-US" w:eastAsia="zh-CN" w:bidi="ar-SA"/>
        </w:rPr>
        <w:t>，</w:t>
      </w:r>
      <w:r>
        <w:rPr>
          <w:rFonts w:hint="eastAsia" w:ascii="Times New Roman" w:hAnsi="Times New Roman" w:eastAsia="宋体" w:cstheme="minorBidi"/>
          <w:bCs/>
          <w:color w:val="000000"/>
          <w:kern w:val="2"/>
          <w:sz w:val="21"/>
          <w:szCs w:val="32"/>
          <w:lang w:val="en-US" w:eastAsia="zh-CN" w:bidi="ar-SA"/>
        </w:rPr>
        <w:t>对救援过程中出现渎职等行为</w:t>
      </w:r>
      <w:r>
        <w:rPr>
          <w:rFonts w:hint="eastAsia" w:cstheme="minorBidi"/>
          <w:bCs/>
          <w:color w:val="000000"/>
          <w:kern w:val="2"/>
          <w:sz w:val="21"/>
          <w:szCs w:val="32"/>
          <w:lang w:val="en-US" w:eastAsia="zh-CN" w:bidi="ar-SA"/>
        </w:rPr>
        <w:t>进行惩处，</w:t>
      </w:r>
      <w:r>
        <w:rPr>
          <w:rFonts w:hint="eastAsia"/>
          <w:lang w:val="en-US" w:eastAsia="zh-CN"/>
        </w:rPr>
        <w:t>对表现优异的个人及团体进行的表彰。</w:t>
      </w:r>
    </w:p>
    <w:p w14:paraId="3226E7C2">
      <w:pPr>
        <w:pStyle w:val="4"/>
        <w:rPr>
          <w:rFonts w:hint="eastAsia"/>
          <w:lang w:val="en-US" w:eastAsia="zh-CN"/>
        </w:rPr>
      </w:pPr>
      <w:r>
        <w:rPr>
          <w:rFonts w:hint="eastAsia" w:cstheme="minorBidi"/>
          <w:bCs/>
          <w:color w:val="000000"/>
          <w:kern w:val="2"/>
          <w:sz w:val="21"/>
          <w:szCs w:val="32"/>
          <w:lang w:val="en-US" w:eastAsia="zh-CN" w:bidi="ar-SA"/>
        </w:rPr>
        <w:t>建立应加强</w:t>
      </w:r>
      <w:r>
        <w:rPr>
          <w:rFonts w:hint="eastAsia" w:ascii="宋体" w:hAnsi="宋体" w:cs="宋体"/>
          <w:color w:val="000000"/>
          <w:kern w:val="0"/>
          <w:sz w:val="22"/>
        </w:rPr>
        <w:t>与社会各界沟通联系</w:t>
      </w:r>
      <w:r>
        <w:rPr>
          <w:rFonts w:hint="eastAsia" w:ascii="宋体" w:hAnsi="宋体" w:cs="宋体"/>
          <w:color w:val="000000"/>
          <w:kern w:val="0"/>
          <w:sz w:val="22"/>
          <w:lang w:eastAsia="zh-CN"/>
        </w:rPr>
        <w:t>，</w:t>
      </w:r>
      <w:r>
        <w:rPr>
          <w:rFonts w:hint="eastAsia" w:ascii="宋体" w:hAnsi="宋体" w:cs="宋体"/>
          <w:color w:val="000000"/>
          <w:kern w:val="0"/>
          <w:sz w:val="22"/>
          <w:lang w:val="en-US" w:eastAsia="zh-CN"/>
        </w:rPr>
        <w:t>建立</w:t>
      </w:r>
      <w:r>
        <w:rPr>
          <w:rFonts w:hint="eastAsia" w:ascii="宋体" w:hAnsi="宋体" w:cs="宋体"/>
          <w:color w:val="000000"/>
          <w:kern w:val="0"/>
          <w:sz w:val="22"/>
        </w:rPr>
        <w:t>应急救援队伍宣传方式，扩大队伍影响力</w:t>
      </w:r>
      <w:r>
        <w:rPr>
          <w:rFonts w:hint="eastAsia"/>
          <w:lang w:val="en-US" w:eastAsia="zh-CN"/>
        </w:rPr>
        <w:t>。</w:t>
      </w:r>
    </w:p>
    <w:p w14:paraId="0ACC7580">
      <w:pPr>
        <w:pStyle w:val="4"/>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队伍应建立与辖区政府、</w:t>
      </w:r>
      <w:r>
        <w:rPr>
          <w:rFonts w:hint="eastAsia" w:ascii="宋体" w:hAnsi="宋体" w:cs="宋体"/>
          <w:color w:val="000000"/>
          <w:kern w:val="0"/>
          <w:sz w:val="22"/>
        </w:rPr>
        <w:t>公安、消防、医疗等相关部门</w:t>
      </w:r>
      <w:r>
        <w:rPr>
          <w:rFonts w:hint="eastAsia" w:ascii="宋体" w:hAnsi="宋体" w:cs="宋体"/>
          <w:color w:val="000000"/>
          <w:kern w:val="0"/>
          <w:sz w:val="22"/>
          <w:lang w:val="en-US" w:eastAsia="zh-CN"/>
        </w:rPr>
        <w:t>及</w:t>
      </w:r>
      <w:r>
        <w:rPr>
          <w:rFonts w:hint="eastAsia" w:ascii="Times New Roman" w:hAnsi="Times New Roman" w:eastAsia="宋体" w:cstheme="minorBidi"/>
          <w:bCs/>
          <w:color w:val="000000"/>
          <w:kern w:val="2"/>
          <w:sz w:val="21"/>
          <w:szCs w:val="32"/>
          <w:lang w:val="en-US" w:eastAsia="zh-CN" w:bidi="ar-SA"/>
        </w:rPr>
        <w:t>其他救援队伍的协调配合机制</w:t>
      </w:r>
      <w:r>
        <w:rPr>
          <w:rFonts w:hint="eastAsia" w:ascii="宋体" w:hAnsi="宋体" w:cs="宋体"/>
          <w:color w:val="000000"/>
          <w:kern w:val="0"/>
          <w:sz w:val="22"/>
          <w:lang w:eastAsia="zh-CN"/>
        </w:rPr>
        <w:t>，</w:t>
      </w:r>
      <w:r>
        <w:rPr>
          <w:rFonts w:hint="eastAsia" w:ascii="宋体" w:hAnsi="宋体" w:cs="宋体"/>
          <w:color w:val="000000"/>
          <w:kern w:val="0"/>
          <w:sz w:val="22"/>
          <w:lang w:val="en-US" w:eastAsia="zh-CN"/>
        </w:rPr>
        <w:t>向</w:t>
      </w:r>
      <w:r>
        <w:rPr>
          <w:rFonts w:hint="eastAsia" w:ascii="Times New Roman" w:hAnsi="Times New Roman" w:eastAsia="宋体" w:cstheme="minorBidi"/>
          <w:bCs/>
          <w:color w:val="000000"/>
          <w:kern w:val="2"/>
          <w:sz w:val="21"/>
          <w:szCs w:val="32"/>
          <w:lang w:val="en-US" w:eastAsia="zh-CN" w:bidi="ar-SA"/>
        </w:rPr>
        <w:t>行业主管部门定期报告</w:t>
      </w:r>
      <w:r>
        <w:rPr>
          <w:rFonts w:hint="eastAsia" w:cstheme="minorBidi"/>
          <w:bCs/>
          <w:color w:val="000000"/>
          <w:kern w:val="2"/>
          <w:sz w:val="21"/>
          <w:szCs w:val="32"/>
          <w:lang w:val="en-US" w:eastAsia="zh-CN" w:bidi="ar-SA"/>
        </w:rPr>
        <w:t>，</w:t>
      </w:r>
      <w:r>
        <w:rPr>
          <w:rFonts w:hint="eastAsia" w:ascii="宋体" w:hAnsi="宋体" w:cs="宋体"/>
          <w:color w:val="000000"/>
          <w:kern w:val="0"/>
          <w:sz w:val="22"/>
        </w:rPr>
        <w:t>建立地方应急救援通讯录</w:t>
      </w:r>
      <w:r>
        <w:rPr>
          <w:rFonts w:hint="eastAsia" w:cstheme="minorBidi"/>
          <w:bCs/>
          <w:color w:val="000000"/>
          <w:kern w:val="2"/>
          <w:sz w:val="21"/>
          <w:szCs w:val="32"/>
          <w:lang w:val="en-US" w:eastAsia="zh-CN" w:bidi="ar-SA"/>
        </w:rPr>
        <w:t>。</w:t>
      </w:r>
    </w:p>
    <w:p w14:paraId="46210B25">
      <w:pPr>
        <w:rPr>
          <w:rFonts w:hint="eastAsia" w:ascii="Times New Roman" w:hAnsi="Times New Roman" w:eastAsia="宋体" w:cstheme="minorBidi"/>
          <w:bCs/>
          <w:color w:val="000000"/>
          <w:kern w:val="2"/>
          <w:sz w:val="21"/>
          <w:szCs w:val="32"/>
          <w:lang w:val="en-US" w:eastAsia="zh-CN" w:bidi="ar-SA"/>
        </w:rPr>
      </w:pPr>
    </w:p>
    <w:p w14:paraId="3715F43D">
      <w:pPr>
        <w:rPr>
          <w:rFonts w:hint="eastAsia" w:ascii="Times New Roman" w:hAnsi="Times New Roman" w:eastAsia="宋体" w:cstheme="minorBidi"/>
          <w:bCs/>
          <w:color w:val="000000"/>
          <w:kern w:val="2"/>
          <w:sz w:val="21"/>
          <w:szCs w:val="32"/>
          <w:lang w:val="en-US" w:eastAsia="zh-CN" w:bidi="ar-SA"/>
        </w:rPr>
      </w:pPr>
    </w:p>
    <w:p w14:paraId="29B045DB">
      <w:pPr>
        <w:pStyle w:val="3"/>
        <w:rPr>
          <w:rFonts w:hint="eastAsia" w:ascii="Times New Roman" w:hAnsi="Times New Roman" w:eastAsia="宋体" w:cstheme="minorBidi"/>
          <w:bCs/>
          <w:color w:val="000000"/>
          <w:kern w:val="2"/>
          <w:sz w:val="21"/>
          <w:szCs w:val="32"/>
          <w:lang w:val="en-US" w:eastAsia="zh-CN" w:bidi="ar-SA"/>
        </w:rPr>
        <w:sectPr>
          <w:footerReference r:id="rId18" w:type="default"/>
          <w:headerReference r:id="rId17" w:type="even"/>
          <w:footerReference r:id="rId19" w:type="even"/>
          <w:pgSz w:w="11906" w:h="16838"/>
          <w:pgMar w:top="1418" w:right="1134" w:bottom="1134" w:left="1418" w:header="1418" w:footer="850" w:gutter="0"/>
          <w:pgNumType w:fmt="decimal" w:start="1"/>
          <w:cols w:space="0" w:num="1"/>
          <w:rtlGutter w:val="0"/>
          <w:docGrid w:type="lines" w:linePitch="312" w:charSpace="0"/>
        </w:sectPr>
      </w:pPr>
    </w:p>
    <w:p w14:paraId="33A8FBCE">
      <w:pPr>
        <w:spacing w:line="240" w:lineRule="auto"/>
        <w:ind w:firstLine="0" w:firstLineChars="0"/>
        <w:jc w:val="center"/>
        <w:rPr>
          <w:rFonts w:hint="eastAsia" w:ascii="Times New Roman" w:hAnsi="Times New Roman" w:eastAsia="宋体" w:cstheme="minorBidi"/>
          <w:bCs/>
          <w:color w:val="000000"/>
          <w:kern w:val="2"/>
          <w:sz w:val="21"/>
          <w:szCs w:val="32"/>
          <w:lang w:val="en-US" w:eastAsia="zh-CN" w:bidi="ar-SA"/>
        </w:rPr>
      </w:pPr>
    </w:p>
    <w:p w14:paraId="003701C0">
      <w:pPr>
        <w:spacing w:line="240" w:lineRule="auto"/>
        <w:ind w:firstLine="0" w:firstLineChars="0"/>
        <w:jc w:val="center"/>
        <w:outlineLvl w:val="0"/>
        <w:rPr>
          <w:rFonts w:hint="eastAsia" w:ascii="Times New Roman" w:hAnsi="Times New Roman" w:eastAsia="宋体" w:cstheme="minorBidi"/>
          <w:bCs/>
          <w:color w:val="000000"/>
          <w:kern w:val="2"/>
          <w:sz w:val="21"/>
          <w:szCs w:val="32"/>
          <w:lang w:val="en-US" w:eastAsia="zh-CN" w:bidi="ar-SA"/>
        </w:rPr>
      </w:pPr>
      <w:bookmarkStart w:id="131" w:name="_Toc28820"/>
      <w:r>
        <w:rPr>
          <w:rFonts w:hint="eastAsia" w:ascii="Times New Roman" w:hAnsi="Times New Roman" w:eastAsia="宋体" w:cstheme="minorBidi"/>
          <w:bCs/>
          <w:color w:val="000000"/>
          <w:kern w:val="2"/>
          <w:sz w:val="21"/>
          <w:szCs w:val="32"/>
          <w:lang w:val="en-US" w:eastAsia="zh-CN" w:bidi="ar-SA"/>
        </w:rPr>
        <w:t>附录A</w:t>
      </w:r>
      <w:bookmarkEnd w:id="131"/>
    </w:p>
    <w:p w14:paraId="2BF7D585">
      <w:pPr>
        <w:spacing w:line="240" w:lineRule="auto"/>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（规范性）</w:t>
      </w:r>
    </w:p>
    <w:p w14:paraId="386D5FEB">
      <w:pPr>
        <w:spacing w:line="240" w:lineRule="auto"/>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地质灾害应急救援技术支撑队伍分级建设人员能力及数量要求</w:t>
      </w:r>
    </w:p>
    <w:tbl>
      <w:tblPr>
        <w:tblStyle w:val="13"/>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72"/>
        <w:gridCol w:w="1617"/>
        <w:gridCol w:w="3570"/>
        <w:gridCol w:w="894"/>
        <w:gridCol w:w="894"/>
        <w:gridCol w:w="1619"/>
      </w:tblGrid>
      <w:tr w14:paraId="555AAD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508"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6AC4E">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序号</w:t>
            </w:r>
          </w:p>
        </w:tc>
        <w:tc>
          <w:tcPr>
            <w:tcW w:w="845"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720F3">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项目</w:t>
            </w:r>
          </w:p>
        </w:tc>
        <w:tc>
          <w:tcPr>
            <w:tcW w:w="1865"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1C017">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能力要求</w:t>
            </w:r>
          </w:p>
        </w:tc>
        <w:tc>
          <w:tcPr>
            <w:tcW w:w="178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6A06C">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数量要求</w:t>
            </w:r>
          </w:p>
        </w:tc>
      </w:tr>
      <w:tr w14:paraId="47027D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09064">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p>
        </w:tc>
        <w:tc>
          <w:tcPr>
            <w:tcW w:w="84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5C67E">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p>
        </w:tc>
        <w:tc>
          <w:tcPr>
            <w:tcW w:w="186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1C578">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D5EBF">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1级</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7FF78">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2级</w:t>
            </w:r>
          </w:p>
        </w:tc>
        <w:tc>
          <w:tcPr>
            <w:tcW w:w="8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82C8D">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3级</w:t>
            </w:r>
          </w:p>
        </w:tc>
      </w:tr>
      <w:tr w14:paraId="4AC599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4" w:hRule="atLeast"/>
        </w:trPr>
        <w:tc>
          <w:tcPr>
            <w:tcW w:w="5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0BFAE">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1</w:t>
            </w:r>
          </w:p>
        </w:tc>
        <w:tc>
          <w:tcPr>
            <w:tcW w:w="8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39016">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队长</w:t>
            </w:r>
          </w:p>
        </w:tc>
        <w:tc>
          <w:tcPr>
            <w:tcW w:w="18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1FF007">
            <w:pPr>
              <w:spacing w:line="284" w:lineRule="exact"/>
              <w:ind w:firstLine="0" w:firstLineChars="0"/>
              <w:jc w:val="left"/>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a) 具备大学本科以上学历；</w:t>
            </w:r>
            <w:r>
              <w:rPr>
                <w:rFonts w:hint="eastAsia" w:ascii="Times New Roman" w:hAnsi="Times New Roman" w:eastAsia="宋体" w:cstheme="minorBidi"/>
                <w:bCs/>
                <w:color w:val="000000"/>
                <w:kern w:val="2"/>
                <w:sz w:val="21"/>
                <w:szCs w:val="32"/>
                <w:lang w:val="en-US" w:eastAsia="zh-CN" w:bidi="ar-SA"/>
              </w:rPr>
              <w:br w:type="textWrapping"/>
            </w:r>
            <w:r>
              <w:rPr>
                <w:rFonts w:hint="eastAsia" w:ascii="Times New Roman" w:hAnsi="Times New Roman" w:eastAsia="宋体" w:cstheme="minorBidi"/>
                <w:bCs/>
                <w:color w:val="000000"/>
                <w:kern w:val="2"/>
                <w:sz w:val="21"/>
                <w:szCs w:val="32"/>
                <w:lang w:val="en-US" w:eastAsia="zh-CN" w:bidi="ar-SA"/>
              </w:rPr>
              <w:t>b) 具备地质灾害应急救援相关工作经验5年（含）以上。</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DCA60">
            <w:pPr>
              <w:spacing w:line="284" w:lineRule="exact"/>
              <w:ind w:firstLine="0" w:firstLineChars="0"/>
              <w:jc w:val="center"/>
              <w:rPr>
                <w:rFonts w:hint="default" w:ascii="Times New Roman" w:hAnsi="Times New Roman" w:eastAsia="宋体" w:cstheme="minorBidi"/>
                <w:bCs/>
                <w:color w:val="000000"/>
                <w:kern w:val="2"/>
                <w:sz w:val="21"/>
                <w:szCs w:val="32"/>
                <w:lang w:val="en-US" w:eastAsia="zh-CN" w:bidi="ar-SA"/>
              </w:rPr>
            </w:pPr>
            <w:r>
              <w:rPr>
                <w:rFonts w:hint="eastAsia" w:cstheme="minorBidi"/>
                <w:bCs/>
                <w:color w:val="000000"/>
                <w:kern w:val="2"/>
                <w:sz w:val="21"/>
                <w:szCs w:val="32"/>
                <w:lang w:val="en-US" w:eastAsia="zh-CN" w:bidi="ar-SA"/>
              </w:rPr>
              <w:t>1</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A4463">
            <w:pPr>
              <w:spacing w:line="284" w:lineRule="exact"/>
              <w:ind w:firstLine="0" w:firstLineChars="0"/>
              <w:jc w:val="center"/>
              <w:rPr>
                <w:rFonts w:hint="default" w:ascii="Times New Roman" w:hAnsi="Times New Roman" w:eastAsia="宋体" w:cstheme="minorBidi"/>
                <w:bCs/>
                <w:color w:val="000000"/>
                <w:kern w:val="2"/>
                <w:sz w:val="21"/>
                <w:szCs w:val="32"/>
                <w:lang w:val="en-US" w:eastAsia="zh-CN" w:bidi="ar-SA"/>
              </w:rPr>
            </w:pPr>
            <w:r>
              <w:rPr>
                <w:rFonts w:hint="eastAsia" w:cstheme="minorBidi"/>
                <w:bCs/>
                <w:color w:val="000000"/>
                <w:kern w:val="2"/>
                <w:sz w:val="21"/>
                <w:szCs w:val="32"/>
                <w:lang w:val="en-US" w:eastAsia="zh-CN" w:bidi="ar-SA"/>
              </w:rPr>
              <w:t>1</w:t>
            </w:r>
          </w:p>
        </w:tc>
        <w:tc>
          <w:tcPr>
            <w:tcW w:w="8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2B21B">
            <w:pPr>
              <w:spacing w:line="284" w:lineRule="exact"/>
              <w:ind w:firstLine="0" w:firstLineChars="0"/>
              <w:jc w:val="center"/>
              <w:rPr>
                <w:rFonts w:hint="default" w:ascii="Times New Roman" w:hAnsi="Times New Roman" w:eastAsia="宋体" w:cstheme="minorBidi"/>
                <w:bCs/>
                <w:color w:val="000000"/>
                <w:kern w:val="2"/>
                <w:sz w:val="21"/>
                <w:szCs w:val="32"/>
                <w:lang w:val="en-US" w:eastAsia="zh-CN" w:bidi="ar-SA"/>
              </w:rPr>
            </w:pPr>
            <w:r>
              <w:rPr>
                <w:rFonts w:hint="eastAsia" w:cstheme="minorBidi"/>
                <w:bCs/>
                <w:color w:val="000000"/>
                <w:kern w:val="2"/>
                <w:sz w:val="21"/>
                <w:szCs w:val="32"/>
                <w:lang w:val="en-US" w:eastAsia="zh-CN" w:bidi="ar-SA"/>
              </w:rPr>
              <w:t>1</w:t>
            </w:r>
          </w:p>
        </w:tc>
      </w:tr>
      <w:tr w14:paraId="3AF4F9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4" w:hRule="atLeast"/>
        </w:trPr>
        <w:tc>
          <w:tcPr>
            <w:tcW w:w="5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8D728">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2</w:t>
            </w:r>
          </w:p>
        </w:tc>
        <w:tc>
          <w:tcPr>
            <w:tcW w:w="8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05447">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副队长</w:t>
            </w:r>
          </w:p>
        </w:tc>
        <w:tc>
          <w:tcPr>
            <w:tcW w:w="18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55DA15">
            <w:pPr>
              <w:spacing w:line="284" w:lineRule="exact"/>
              <w:ind w:firstLine="0" w:firstLineChars="0"/>
              <w:jc w:val="left"/>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a) 具备大学本科以上学历；</w:t>
            </w:r>
            <w:r>
              <w:rPr>
                <w:rFonts w:hint="eastAsia" w:ascii="Times New Roman" w:hAnsi="Times New Roman" w:eastAsia="宋体" w:cstheme="minorBidi"/>
                <w:bCs/>
                <w:color w:val="000000"/>
                <w:kern w:val="2"/>
                <w:sz w:val="21"/>
                <w:szCs w:val="32"/>
                <w:lang w:val="en-US" w:eastAsia="zh-CN" w:bidi="ar-SA"/>
              </w:rPr>
              <w:br w:type="textWrapping"/>
            </w:r>
            <w:r>
              <w:rPr>
                <w:rFonts w:hint="eastAsia" w:ascii="Times New Roman" w:hAnsi="Times New Roman" w:eastAsia="宋体" w:cstheme="minorBidi"/>
                <w:bCs/>
                <w:color w:val="000000"/>
                <w:kern w:val="2"/>
                <w:sz w:val="21"/>
                <w:szCs w:val="32"/>
                <w:lang w:val="en-US" w:eastAsia="zh-CN" w:bidi="ar-SA"/>
              </w:rPr>
              <w:t>b) 具备地质灾害应急救援相关工作经验3年（含）以上。</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23EB0">
            <w:pPr>
              <w:spacing w:line="284" w:lineRule="exact"/>
              <w:ind w:firstLine="0" w:firstLineChars="0"/>
              <w:jc w:val="center"/>
              <w:rPr>
                <w:rFonts w:hint="default" w:ascii="Times New Roman" w:hAnsi="Times New Roman" w:eastAsia="宋体" w:cstheme="minorBidi"/>
                <w:bCs/>
                <w:color w:val="000000"/>
                <w:kern w:val="2"/>
                <w:sz w:val="21"/>
                <w:szCs w:val="32"/>
                <w:lang w:val="en-US" w:eastAsia="zh-CN" w:bidi="ar-SA"/>
              </w:rPr>
            </w:pPr>
            <w:r>
              <w:rPr>
                <w:rFonts w:hint="eastAsia" w:cstheme="minorBidi"/>
                <w:bCs/>
                <w:color w:val="000000"/>
                <w:kern w:val="2"/>
                <w:sz w:val="21"/>
                <w:szCs w:val="32"/>
                <w:lang w:val="en-US" w:eastAsia="zh-CN" w:bidi="ar-SA"/>
              </w:rPr>
              <w:t>3</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102BD">
            <w:pPr>
              <w:spacing w:line="284" w:lineRule="exact"/>
              <w:ind w:firstLine="0" w:firstLineChars="0"/>
              <w:jc w:val="center"/>
              <w:rPr>
                <w:rFonts w:hint="default" w:ascii="Times New Roman" w:hAnsi="Times New Roman" w:eastAsia="宋体" w:cstheme="minorBidi"/>
                <w:bCs/>
                <w:color w:val="000000"/>
                <w:kern w:val="2"/>
                <w:sz w:val="21"/>
                <w:szCs w:val="32"/>
                <w:lang w:val="en-US" w:eastAsia="zh-CN" w:bidi="ar-SA"/>
              </w:rPr>
            </w:pPr>
            <w:r>
              <w:rPr>
                <w:rFonts w:hint="eastAsia" w:cstheme="minorBidi"/>
                <w:bCs/>
                <w:color w:val="000000"/>
                <w:kern w:val="2"/>
                <w:sz w:val="21"/>
                <w:szCs w:val="32"/>
                <w:lang w:val="en-US" w:eastAsia="zh-CN" w:bidi="ar-SA"/>
              </w:rPr>
              <w:t>2</w:t>
            </w:r>
          </w:p>
        </w:tc>
        <w:tc>
          <w:tcPr>
            <w:tcW w:w="8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3F4A9">
            <w:pPr>
              <w:spacing w:line="284" w:lineRule="exact"/>
              <w:ind w:firstLine="0" w:firstLineChars="0"/>
              <w:jc w:val="center"/>
              <w:rPr>
                <w:rFonts w:hint="default" w:ascii="Times New Roman" w:hAnsi="Times New Roman" w:eastAsia="宋体" w:cstheme="minorBidi"/>
                <w:bCs/>
                <w:color w:val="000000"/>
                <w:kern w:val="2"/>
                <w:sz w:val="21"/>
                <w:szCs w:val="32"/>
                <w:lang w:val="en-US" w:eastAsia="zh-CN" w:bidi="ar-SA"/>
              </w:rPr>
            </w:pPr>
            <w:r>
              <w:rPr>
                <w:rFonts w:hint="eastAsia" w:cstheme="minorBidi"/>
                <w:bCs/>
                <w:color w:val="000000"/>
                <w:kern w:val="2"/>
                <w:sz w:val="21"/>
                <w:szCs w:val="32"/>
                <w:lang w:val="en-US" w:eastAsia="zh-CN" w:bidi="ar-SA"/>
              </w:rPr>
              <w:t>1</w:t>
            </w:r>
          </w:p>
        </w:tc>
      </w:tr>
      <w:tr w14:paraId="68EDC2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5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DA50C">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3</w:t>
            </w:r>
          </w:p>
        </w:tc>
        <w:tc>
          <w:tcPr>
            <w:tcW w:w="8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98C8B">
            <w:pPr>
              <w:spacing w:line="284" w:lineRule="exact"/>
              <w:ind w:firstLine="0" w:firstLineChars="0"/>
              <w:jc w:val="center"/>
              <w:rPr>
                <w:rFonts w:hint="default" w:ascii="Times New Roman" w:hAnsi="Times New Roman" w:eastAsia="宋体" w:cstheme="minorBidi"/>
                <w:bCs/>
                <w:color w:val="000000"/>
                <w:kern w:val="2"/>
                <w:sz w:val="21"/>
                <w:szCs w:val="32"/>
                <w:lang w:val="en-US" w:eastAsia="zh-CN" w:bidi="ar-SA"/>
              </w:rPr>
            </w:pPr>
            <w:r>
              <w:rPr>
                <w:rFonts w:hint="eastAsia" w:cstheme="minorBidi"/>
                <w:bCs/>
                <w:color w:val="000000"/>
                <w:kern w:val="2"/>
                <w:sz w:val="21"/>
                <w:szCs w:val="32"/>
                <w:lang w:val="en-US" w:eastAsia="zh-CN" w:bidi="ar-SA"/>
              </w:rPr>
              <w:t>工程专家</w:t>
            </w:r>
          </w:p>
        </w:tc>
        <w:tc>
          <w:tcPr>
            <w:tcW w:w="18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3021CF">
            <w:pPr>
              <w:spacing w:line="284" w:lineRule="exact"/>
              <w:ind w:firstLine="0" w:firstLineChars="0"/>
              <w:jc w:val="left"/>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a) 具有较高技术水平，有地质、安全、工程技术等相关类别高级职称，经验丰富，工作能力强；</w:t>
            </w:r>
            <w:r>
              <w:rPr>
                <w:rFonts w:hint="eastAsia" w:ascii="Times New Roman" w:hAnsi="Times New Roman" w:eastAsia="宋体" w:cstheme="minorBidi"/>
                <w:bCs/>
                <w:color w:val="000000"/>
                <w:kern w:val="2"/>
                <w:sz w:val="21"/>
                <w:szCs w:val="32"/>
                <w:lang w:val="en-US" w:eastAsia="zh-CN" w:bidi="ar-SA"/>
              </w:rPr>
              <w:br w:type="textWrapping"/>
            </w:r>
            <w:r>
              <w:rPr>
                <w:rFonts w:hint="eastAsia" w:ascii="Times New Roman" w:hAnsi="Times New Roman" w:eastAsia="宋体" w:cstheme="minorBidi"/>
                <w:bCs/>
                <w:color w:val="000000"/>
                <w:kern w:val="2"/>
                <w:sz w:val="21"/>
                <w:szCs w:val="32"/>
                <w:lang w:val="en-US" w:eastAsia="zh-CN" w:bidi="ar-SA"/>
              </w:rPr>
              <w:t>b) 具备地质灾害应急救援相关工作经验5年（含）以上。</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DBF87">
            <w:pPr>
              <w:spacing w:line="284" w:lineRule="exact"/>
              <w:ind w:firstLine="0" w:firstLineChars="0"/>
              <w:jc w:val="center"/>
              <w:rPr>
                <w:rFonts w:hint="default" w:ascii="Times New Roman" w:hAnsi="Times New Roman" w:eastAsia="宋体" w:cstheme="minorBidi"/>
                <w:bCs/>
                <w:color w:val="000000"/>
                <w:kern w:val="2"/>
                <w:sz w:val="21"/>
                <w:szCs w:val="32"/>
                <w:lang w:val="en-US" w:eastAsia="zh-CN" w:bidi="ar-SA"/>
              </w:rPr>
            </w:pPr>
            <w:r>
              <w:rPr>
                <w:rFonts w:hint="eastAsia" w:cstheme="minorBidi"/>
                <w:bCs/>
                <w:color w:val="000000"/>
                <w:kern w:val="2"/>
                <w:sz w:val="21"/>
                <w:szCs w:val="32"/>
                <w:lang w:val="en-US" w:eastAsia="zh-CN" w:bidi="ar-SA"/>
              </w:rPr>
              <w:t>1</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A3D44">
            <w:pPr>
              <w:spacing w:line="284" w:lineRule="exact"/>
              <w:ind w:firstLine="0" w:firstLineChars="0"/>
              <w:jc w:val="center"/>
              <w:rPr>
                <w:rFonts w:hint="default" w:ascii="Times New Roman" w:hAnsi="Times New Roman" w:eastAsia="宋体" w:cstheme="minorBidi"/>
                <w:bCs/>
                <w:color w:val="000000"/>
                <w:kern w:val="2"/>
                <w:sz w:val="21"/>
                <w:szCs w:val="32"/>
                <w:lang w:val="en-US" w:eastAsia="zh-CN" w:bidi="ar-SA"/>
              </w:rPr>
            </w:pPr>
            <w:r>
              <w:rPr>
                <w:rFonts w:hint="eastAsia" w:cstheme="minorBidi"/>
                <w:bCs/>
                <w:color w:val="000000"/>
                <w:kern w:val="2"/>
                <w:sz w:val="21"/>
                <w:szCs w:val="32"/>
                <w:lang w:val="en-US" w:eastAsia="zh-CN" w:bidi="ar-SA"/>
              </w:rPr>
              <w:t>1</w:t>
            </w:r>
          </w:p>
        </w:tc>
        <w:tc>
          <w:tcPr>
            <w:tcW w:w="8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F1089">
            <w:pPr>
              <w:spacing w:line="284" w:lineRule="exact"/>
              <w:ind w:firstLine="0" w:firstLineChars="0"/>
              <w:jc w:val="center"/>
              <w:rPr>
                <w:rFonts w:hint="default" w:ascii="Times New Roman" w:hAnsi="Times New Roman" w:eastAsia="宋体" w:cstheme="minorBidi"/>
                <w:bCs/>
                <w:color w:val="000000"/>
                <w:kern w:val="2"/>
                <w:sz w:val="21"/>
                <w:szCs w:val="32"/>
                <w:lang w:val="en-US" w:eastAsia="zh-CN" w:bidi="ar-SA"/>
              </w:rPr>
            </w:pPr>
            <w:r>
              <w:rPr>
                <w:rFonts w:hint="eastAsia" w:cstheme="minorBidi"/>
                <w:bCs/>
                <w:color w:val="000000"/>
                <w:kern w:val="2"/>
                <w:sz w:val="21"/>
                <w:szCs w:val="32"/>
                <w:lang w:val="en-US" w:eastAsia="zh-CN" w:bidi="ar-SA"/>
              </w:rPr>
              <w:t>按需配备</w:t>
            </w:r>
          </w:p>
        </w:tc>
      </w:tr>
      <w:tr w14:paraId="6F0644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14" w:hRule="atLeast"/>
        </w:trPr>
        <w:tc>
          <w:tcPr>
            <w:tcW w:w="5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50FA2">
            <w:pPr>
              <w:spacing w:line="284" w:lineRule="exact"/>
              <w:ind w:firstLine="0" w:firstLineChars="0"/>
              <w:jc w:val="center"/>
              <w:rPr>
                <w:rFonts w:hint="default"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4</w:t>
            </w:r>
          </w:p>
        </w:tc>
        <w:tc>
          <w:tcPr>
            <w:tcW w:w="8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90139">
            <w:pPr>
              <w:spacing w:line="284" w:lineRule="exact"/>
              <w:ind w:firstLine="0" w:firstLineChars="0"/>
              <w:jc w:val="center"/>
              <w:rPr>
                <w:rFonts w:hint="default"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专业技术人员</w:t>
            </w:r>
          </w:p>
        </w:tc>
        <w:tc>
          <w:tcPr>
            <w:tcW w:w="18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EBCC47">
            <w:pPr>
              <w:spacing w:line="284" w:lineRule="exact"/>
              <w:ind w:firstLine="0" w:firstLineChars="0"/>
              <w:jc w:val="left"/>
              <w:rPr>
                <w:rFonts w:hint="default"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地质灾害类、资源与环境类、土木水利类、安全工程类、应急救援类相关专业。</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86C69">
            <w:pPr>
              <w:spacing w:line="284" w:lineRule="exact"/>
              <w:ind w:firstLine="0" w:firstLineChars="0"/>
              <w:jc w:val="center"/>
              <w:rPr>
                <w:rFonts w:hint="default"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20</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0EE45">
            <w:pPr>
              <w:spacing w:line="284" w:lineRule="exact"/>
              <w:ind w:firstLine="0" w:firstLineChars="0"/>
              <w:jc w:val="center"/>
              <w:rPr>
                <w:rFonts w:hint="default"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10</w:t>
            </w:r>
          </w:p>
        </w:tc>
        <w:tc>
          <w:tcPr>
            <w:tcW w:w="8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08AD4">
            <w:pPr>
              <w:spacing w:line="284" w:lineRule="exact"/>
              <w:ind w:firstLine="0" w:firstLineChars="0"/>
              <w:jc w:val="center"/>
              <w:rPr>
                <w:rFonts w:hint="default"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5</w:t>
            </w:r>
          </w:p>
        </w:tc>
      </w:tr>
      <w:tr w14:paraId="5D23F9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52" w:hRule="atLeast"/>
        </w:trPr>
        <w:tc>
          <w:tcPr>
            <w:tcW w:w="5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964F3">
            <w:pPr>
              <w:spacing w:line="284" w:lineRule="exact"/>
              <w:ind w:firstLine="0" w:firstLineChars="0"/>
              <w:jc w:val="center"/>
              <w:rPr>
                <w:rFonts w:hint="default" w:ascii="Times New Roman" w:hAnsi="Times New Roman" w:eastAsia="宋体" w:cstheme="minorBidi"/>
                <w:bCs/>
                <w:color w:val="000000"/>
                <w:kern w:val="2"/>
                <w:sz w:val="21"/>
                <w:szCs w:val="32"/>
                <w:lang w:val="en-US" w:eastAsia="zh-CN" w:bidi="ar-SA"/>
              </w:rPr>
            </w:pPr>
            <w:r>
              <w:rPr>
                <w:rFonts w:hint="eastAsia" w:cstheme="minorBidi"/>
                <w:bCs/>
                <w:color w:val="000000"/>
                <w:kern w:val="2"/>
                <w:sz w:val="21"/>
                <w:szCs w:val="32"/>
                <w:lang w:val="en-US" w:eastAsia="zh-CN" w:bidi="ar-SA"/>
              </w:rPr>
              <w:t>5</w:t>
            </w:r>
          </w:p>
        </w:tc>
        <w:tc>
          <w:tcPr>
            <w:tcW w:w="8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3A6C2">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应急救援人员</w:t>
            </w:r>
          </w:p>
        </w:tc>
        <w:tc>
          <w:tcPr>
            <w:tcW w:w="18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55544D">
            <w:pPr>
              <w:spacing w:line="284" w:lineRule="exact"/>
              <w:ind w:firstLine="0" w:firstLineChars="0"/>
              <w:jc w:val="left"/>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身体健康，年满18周岁，热爱应急救援事业，经过应急救援和地质灾害应急救援技术有关课程的规范化培训，具备相关专业知识和能力。</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E5792">
            <w:pPr>
              <w:spacing w:line="284" w:lineRule="exact"/>
              <w:ind w:firstLine="0" w:firstLineChars="0"/>
              <w:jc w:val="center"/>
              <w:rPr>
                <w:rFonts w:hint="default" w:ascii="Times New Roman" w:hAnsi="Times New Roman" w:eastAsia="宋体" w:cstheme="minorBidi"/>
                <w:bCs/>
                <w:color w:val="000000"/>
                <w:kern w:val="2"/>
                <w:sz w:val="21"/>
                <w:szCs w:val="32"/>
                <w:lang w:val="en-US" w:eastAsia="zh-CN" w:bidi="ar-SA"/>
              </w:rPr>
            </w:pPr>
            <w:r>
              <w:rPr>
                <w:rFonts w:hint="eastAsia" w:cstheme="minorBidi"/>
                <w:bCs/>
                <w:color w:val="000000"/>
                <w:kern w:val="2"/>
                <w:sz w:val="21"/>
                <w:szCs w:val="32"/>
                <w:lang w:val="en-US" w:eastAsia="zh-CN" w:bidi="ar-SA"/>
              </w:rPr>
              <w:t>60</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0608D">
            <w:pPr>
              <w:spacing w:line="284" w:lineRule="exact"/>
              <w:ind w:firstLine="0" w:firstLineChars="0"/>
              <w:jc w:val="center"/>
              <w:rPr>
                <w:rFonts w:hint="default" w:ascii="Times New Roman" w:hAnsi="Times New Roman" w:eastAsia="宋体" w:cstheme="minorBidi"/>
                <w:bCs/>
                <w:color w:val="000000"/>
                <w:kern w:val="2"/>
                <w:sz w:val="21"/>
                <w:szCs w:val="32"/>
                <w:lang w:val="en-US" w:eastAsia="zh-CN" w:bidi="ar-SA"/>
              </w:rPr>
            </w:pPr>
            <w:r>
              <w:rPr>
                <w:rFonts w:hint="eastAsia" w:cstheme="minorBidi"/>
                <w:bCs/>
                <w:color w:val="000000"/>
                <w:kern w:val="2"/>
                <w:sz w:val="21"/>
                <w:szCs w:val="32"/>
                <w:lang w:val="en-US" w:eastAsia="zh-CN" w:bidi="ar-SA"/>
              </w:rPr>
              <w:t>45</w:t>
            </w:r>
          </w:p>
        </w:tc>
        <w:tc>
          <w:tcPr>
            <w:tcW w:w="8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8DCAC">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30</w:t>
            </w:r>
          </w:p>
        </w:tc>
      </w:tr>
    </w:tbl>
    <w:p w14:paraId="2BAD22F9">
      <w:pP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br w:type="page"/>
      </w:r>
    </w:p>
    <w:p w14:paraId="00FA876D">
      <w:pPr>
        <w:spacing w:line="240" w:lineRule="auto"/>
        <w:ind w:firstLine="0" w:firstLineChars="0"/>
        <w:jc w:val="center"/>
        <w:rPr>
          <w:rFonts w:hint="default" w:ascii="Times New Roman" w:hAnsi="Times New Roman" w:eastAsia="宋体" w:cstheme="minorBidi"/>
          <w:bCs/>
          <w:color w:val="000000"/>
          <w:kern w:val="2"/>
          <w:sz w:val="21"/>
          <w:szCs w:val="32"/>
          <w:lang w:val="en-US" w:eastAsia="zh-CN" w:bidi="ar-SA"/>
        </w:rPr>
      </w:pPr>
    </w:p>
    <w:p w14:paraId="6E213371">
      <w:pPr>
        <w:spacing w:line="240" w:lineRule="auto"/>
        <w:ind w:firstLine="0" w:firstLineChars="0"/>
        <w:jc w:val="center"/>
        <w:outlineLvl w:val="0"/>
        <w:rPr>
          <w:rFonts w:hint="default" w:ascii="Times New Roman" w:hAnsi="Times New Roman" w:eastAsia="宋体" w:cstheme="minorBidi"/>
          <w:bCs/>
          <w:color w:val="000000"/>
          <w:kern w:val="2"/>
          <w:sz w:val="21"/>
          <w:szCs w:val="32"/>
          <w:lang w:val="en-US" w:eastAsia="zh-CN" w:bidi="ar-SA"/>
        </w:rPr>
      </w:pPr>
      <w:bookmarkStart w:id="132" w:name="_Toc30043"/>
      <w:r>
        <w:rPr>
          <w:rFonts w:hint="eastAsia" w:ascii="Times New Roman" w:hAnsi="Times New Roman" w:eastAsia="宋体" w:cstheme="minorBidi"/>
          <w:bCs/>
          <w:color w:val="000000"/>
          <w:kern w:val="2"/>
          <w:sz w:val="21"/>
          <w:szCs w:val="32"/>
          <w:lang w:val="en-US" w:eastAsia="zh-CN" w:bidi="ar-SA"/>
        </w:rPr>
        <w:t>附录B</w:t>
      </w:r>
      <w:bookmarkEnd w:id="132"/>
    </w:p>
    <w:p w14:paraId="717F3852">
      <w:pPr>
        <w:spacing w:line="240" w:lineRule="auto"/>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（规范性）</w:t>
      </w:r>
    </w:p>
    <w:p w14:paraId="177E80AD">
      <w:pPr>
        <w:spacing w:line="240" w:lineRule="auto"/>
        <w:ind w:firstLine="0" w:firstLineChars="0"/>
        <w:jc w:val="center"/>
        <w:rPr>
          <w:rFonts w:hint="default"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地质灾害应急救援技术支撑队伍装备物资</w:t>
      </w:r>
      <w:r>
        <w:rPr>
          <w:rFonts w:hint="eastAsia" w:cstheme="minorBidi"/>
          <w:bCs/>
          <w:color w:val="000000"/>
          <w:kern w:val="2"/>
          <w:sz w:val="21"/>
          <w:szCs w:val="32"/>
          <w:lang w:val="en-US" w:eastAsia="zh-CN" w:bidi="ar-SA"/>
        </w:rPr>
        <w:t>最低配置建议</w:t>
      </w:r>
    </w:p>
    <w:tbl>
      <w:tblPr>
        <w:tblStyle w:val="13"/>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731"/>
        <w:gridCol w:w="3330"/>
        <w:gridCol w:w="899"/>
        <w:gridCol w:w="899"/>
        <w:gridCol w:w="899"/>
        <w:gridCol w:w="899"/>
        <w:gridCol w:w="907"/>
      </w:tblGrid>
      <w:tr w14:paraId="65BF8F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C5D2A9">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类别</w:t>
            </w:r>
          </w:p>
        </w:tc>
        <w:tc>
          <w:tcPr>
            <w:tcW w:w="1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D9EBF6">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设备名称</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78B1D">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单位</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6A8BE">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1级</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6E6C6">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2级</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74E63">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3级</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B9925">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备注</w:t>
            </w:r>
          </w:p>
        </w:tc>
      </w:tr>
      <w:tr w14:paraId="150E66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8CC335">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地质调查类仪器</w:t>
            </w:r>
          </w:p>
        </w:tc>
        <w:tc>
          <w:tcPr>
            <w:tcW w:w="1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13C193">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颗粒分析仪器等</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36034">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台</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8EE2D">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2</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FB4DB">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1</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27C44">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不要求</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269AF">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p>
        </w:tc>
      </w:tr>
      <w:tr w14:paraId="356693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90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0B556B">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大地测量类仪器</w:t>
            </w:r>
          </w:p>
        </w:tc>
        <w:tc>
          <w:tcPr>
            <w:tcW w:w="1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0CD62C">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手持测距仪</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311FA">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台</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3A668">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3</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F2CF9">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2</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F05F2">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1</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92E32">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p>
        </w:tc>
      </w:tr>
      <w:tr w14:paraId="6281B0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9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CA5DD8">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p>
        </w:tc>
        <w:tc>
          <w:tcPr>
            <w:tcW w:w="1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BDAD84">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视距仪</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A2757">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台</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94F13">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3</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CDE94">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2</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140BB">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1</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0B846">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p>
        </w:tc>
      </w:tr>
      <w:tr w14:paraId="73D341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9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1CCD3D">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p>
        </w:tc>
        <w:tc>
          <w:tcPr>
            <w:tcW w:w="1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13CE4C">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全站仪</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8F72E">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台</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25DE2">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2</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22B10">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1</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394CB">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不要求</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CB6F3">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p>
        </w:tc>
      </w:tr>
      <w:tr w14:paraId="4388D7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14A698">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p>
        </w:tc>
        <w:tc>
          <w:tcPr>
            <w:tcW w:w="1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025A30">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重力仪</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848C0">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台</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69529">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2</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D52DF">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1</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8770A">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不要求</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BB3DB">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p>
        </w:tc>
      </w:tr>
      <w:tr w14:paraId="27E94D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90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9F5B0D">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气象观测仪器</w:t>
            </w:r>
          </w:p>
        </w:tc>
        <w:tc>
          <w:tcPr>
            <w:tcW w:w="1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B9AC3A">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雨量计</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79319">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台</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ABC4E">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2</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C6B62">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1</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41B20">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不要求</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31490">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p>
        </w:tc>
      </w:tr>
      <w:tr w14:paraId="7B55F5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9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AD423E">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p>
        </w:tc>
        <w:tc>
          <w:tcPr>
            <w:tcW w:w="1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4CB8C4">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温湿度计</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03FFD">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台</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43DEB">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2</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47EA9">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1</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3CD9B">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不要求</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CE97F">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p>
        </w:tc>
      </w:tr>
      <w:tr w14:paraId="150204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9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CD406F">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p>
        </w:tc>
        <w:tc>
          <w:tcPr>
            <w:tcW w:w="1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EBE3C8">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气压计</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23ECD">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台</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EFC11">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3</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D1C30">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2</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25118">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1</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2DEAE">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p>
        </w:tc>
      </w:tr>
      <w:tr w14:paraId="093957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9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4B9C96">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p>
        </w:tc>
        <w:tc>
          <w:tcPr>
            <w:tcW w:w="1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C5EF59">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日照仪</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9157D">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台</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D6E43">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2</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E7462">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1</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16999">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不要求</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9DDC2">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p>
        </w:tc>
      </w:tr>
      <w:tr w14:paraId="469C90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90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AB523D">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水文观测仪器</w:t>
            </w:r>
          </w:p>
        </w:tc>
        <w:tc>
          <w:tcPr>
            <w:tcW w:w="1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690CE5">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水位计</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79157">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台</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AC261">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2</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16982">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1</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53ECE">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不要求</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42801">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p>
        </w:tc>
      </w:tr>
      <w:tr w14:paraId="59053B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9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C03FF6">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p>
        </w:tc>
        <w:tc>
          <w:tcPr>
            <w:tcW w:w="1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C6F2AE">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流速计</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833B4">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台</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4F1B1">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2</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C1ECE">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1</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03C71">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不要求</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DDB2D">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p>
        </w:tc>
      </w:tr>
      <w:tr w14:paraId="03A5A8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0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971063">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观察测量装备</w:t>
            </w:r>
          </w:p>
        </w:tc>
        <w:tc>
          <w:tcPr>
            <w:tcW w:w="1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6B243A">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无人机</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C2724">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台</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794B1">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3</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FFEC9">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2</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CBD37">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1</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85B40">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p>
        </w:tc>
      </w:tr>
      <w:tr w14:paraId="7B0CE0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9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C9E1F2">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p>
        </w:tc>
        <w:tc>
          <w:tcPr>
            <w:tcW w:w="1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5AB191">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探测机器人</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F40F3">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台</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468C6">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2</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AFEDC">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1</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81D82">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不要求</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F3AF2">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p>
        </w:tc>
      </w:tr>
      <w:tr w14:paraId="60858C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90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90B0A3">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变形观测仪器</w:t>
            </w:r>
          </w:p>
        </w:tc>
        <w:tc>
          <w:tcPr>
            <w:tcW w:w="1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335518">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边坡雷达</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A6BD8">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套</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01E01">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3</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0A039">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2</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8022C">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1</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A94CA">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p>
        </w:tc>
      </w:tr>
      <w:tr w14:paraId="1CD50A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9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DE53D1">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p>
        </w:tc>
        <w:tc>
          <w:tcPr>
            <w:tcW w:w="1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13923F">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测斜仪</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07762">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台</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47BEA">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2</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3DDE2">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1</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6BABC">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不要求</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D5C8E">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p>
        </w:tc>
      </w:tr>
      <w:tr w14:paraId="45D6F3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0A1CD7">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p>
        </w:tc>
        <w:tc>
          <w:tcPr>
            <w:tcW w:w="1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40F5E1">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裂缝计</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1057F">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台</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646EB">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2</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A619B">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1</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0BECA">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不要求</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4E0B6">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p>
        </w:tc>
      </w:tr>
      <w:tr w14:paraId="0690E3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9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87321D">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p>
        </w:tc>
        <w:tc>
          <w:tcPr>
            <w:tcW w:w="1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A3F1D7">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位移计</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A0AAD">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台</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9ADE0">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2</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3C233">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1</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5DF8D">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不要求</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7813D">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p>
        </w:tc>
      </w:tr>
      <w:tr w14:paraId="42781A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0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3A2EFE">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地形扫描设备</w:t>
            </w:r>
          </w:p>
        </w:tc>
        <w:tc>
          <w:tcPr>
            <w:tcW w:w="1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402F30">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三维激光扫描仪</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90B5B">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套</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4FB6E">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3</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8E52C">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2</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E15DA">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1</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E5775">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p>
        </w:tc>
      </w:tr>
      <w:tr w14:paraId="6825B5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9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D49D59">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p>
        </w:tc>
        <w:tc>
          <w:tcPr>
            <w:tcW w:w="1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4F672D">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数字摄影测量系统</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EBF82">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套</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812D9">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2</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286D0">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1</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8B8D6">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不要求</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25AB1">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p>
        </w:tc>
      </w:tr>
      <w:tr w14:paraId="176204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0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9DC045">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通信指挥装备</w:t>
            </w:r>
          </w:p>
        </w:tc>
        <w:tc>
          <w:tcPr>
            <w:tcW w:w="1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9FB132">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通信指挥车</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001D4">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辆</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F8032">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2</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19BDA">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1</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5947E">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不要求</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EFFB7">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p>
        </w:tc>
      </w:tr>
      <w:tr w14:paraId="381FED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D7A434">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p>
        </w:tc>
        <w:tc>
          <w:tcPr>
            <w:tcW w:w="1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8C481A">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音视频记录仪</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1B961">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台</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37479">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3</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20DF7">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2</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0687C">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1</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BB0D3">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p>
        </w:tc>
      </w:tr>
      <w:tr w14:paraId="37A5BF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9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FA0327">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p>
        </w:tc>
        <w:tc>
          <w:tcPr>
            <w:tcW w:w="1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51801C">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防爆相机</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1B9DC">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台</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D3F15">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3</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3E35F">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2</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DAFD0">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1</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94707">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p>
        </w:tc>
      </w:tr>
      <w:tr w14:paraId="36BC25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F7AFD2">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p>
        </w:tc>
        <w:tc>
          <w:tcPr>
            <w:tcW w:w="1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49B4A8">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手持对讲机</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B55AF">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台</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7A730">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6</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80B28">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4</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BB1A4">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2</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77D78">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p>
        </w:tc>
      </w:tr>
      <w:tr w14:paraId="199FE8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9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0817E2">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p>
        </w:tc>
        <w:tc>
          <w:tcPr>
            <w:tcW w:w="1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91E3F1">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手持式卫星定位仪</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D4DEF">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台</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3BD80">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3</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3C449">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2</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D95A4">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1</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06EA4">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p>
        </w:tc>
      </w:tr>
      <w:tr w14:paraId="154608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B27469">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p>
        </w:tc>
        <w:tc>
          <w:tcPr>
            <w:tcW w:w="1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BCF195">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救援现场手持信息采集器</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DA6F6">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台</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13C7F">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3</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64C8F">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2</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74992">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1</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390ED">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p>
        </w:tc>
      </w:tr>
      <w:tr w14:paraId="1798CD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9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9C42DD">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p>
        </w:tc>
        <w:tc>
          <w:tcPr>
            <w:tcW w:w="1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BD58E1">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北斗终端</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A90C7">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台</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6834E">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3</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0B77A">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2</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936A8">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1</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F5A48">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p>
        </w:tc>
      </w:tr>
      <w:tr w14:paraId="0E901C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90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4A8C2C">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照明设备</w:t>
            </w:r>
          </w:p>
        </w:tc>
        <w:tc>
          <w:tcPr>
            <w:tcW w:w="1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9D2780">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现场照明灯组</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AD761">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套</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E2F17">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2</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773CD">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1</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630CA">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不要求</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473CC">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p>
        </w:tc>
      </w:tr>
      <w:tr w14:paraId="7BAF42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9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EA0459">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p>
        </w:tc>
        <w:tc>
          <w:tcPr>
            <w:tcW w:w="1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5F244B">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强光手电筒</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F9F7D">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个</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742B8">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6</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7A940">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4</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A02DD">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2</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B05AA">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p>
        </w:tc>
      </w:tr>
      <w:tr w14:paraId="4427B8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0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E08739">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应急保障装备</w:t>
            </w:r>
          </w:p>
        </w:tc>
        <w:tc>
          <w:tcPr>
            <w:tcW w:w="1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F50320">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应急救援装备保障车</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687E9">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辆</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EA267">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2</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7D5DC">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1</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CA16D">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不要求</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52704">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p>
        </w:tc>
      </w:tr>
      <w:tr w14:paraId="76135A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BC68AA">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p>
        </w:tc>
        <w:tc>
          <w:tcPr>
            <w:tcW w:w="1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56D398">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应急救援电源车</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9EBC6">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辆</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EFE70">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1</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09DBD">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不要求</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A9706">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不要求</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903BC">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p>
        </w:tc>
      </w:tr>
      <w:tr w14:paraId="55020C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9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E4C66F">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p>
        </w:tc>
        <w:tc>
          <w:tcPr>
            <w:tcW w:w="1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785B0A">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装备运输车</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535A1">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辆</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77FF1">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2</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9332C">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1</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D8BD9">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不要求</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B2115">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p>
        </w:tc>
      </w:tr>
      <w:tr w14:paraId="41BFBF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9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1853CD">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p>
        </w:tc>
        <w:tc>
          <w:tcPr>
            <w:tcW w:w="1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4E2BC5">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运兵车</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FDE31">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辆</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6ADBC">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3</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CBFD0">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2</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F1040">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1</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096A8">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p>
        </w:tc>
      </w:tr>
      <w:tr w14:paraId="421E8B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90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60D0ED">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实训演练装备</w:t>
            </w:r>
          </w:p>
        </w:tc>
        <w:tc>
          <w:tcPr>
            <w:tcW w:w="1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A5E1E1">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灾害仿真模拟演练评价系统</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ED5E1">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套</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02822">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2</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43A83">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1</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B9E17">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不要求</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4AB80">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p>
        </w:tc>
      </w:tr>
      <w:tr w14:paraId="64E21C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980A0E">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p>
        </w:tc>
        <w:tc>
          <w:tcPr>
            <w:tcW w:w="1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2254B0">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多媒体电教设备</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77BCE">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套</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81FE7">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3</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E12A9">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2</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C8D00">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1</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C0809">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p>
        </w:tc>
      </w:tr>
      <w:tr w14:paraId="2CAD21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9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50808F">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p>
        </w:tc>
        <w:tc>
          <w:tcPr>
            <w:tcW w:w="1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6DAB1B">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桌面事故推演系统</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96261">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套</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6D7C9">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2</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2C41B">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1</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3FA3E">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不要求</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2BD8C">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p>
        </w:tc>
      </w:tr>
      <w:tr w14:paraId="05FC8E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9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146C16">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p>
        </w:tc>
        <w:tc>
          <w:tcPr>
            <w:tcW w:w="1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2A8603">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实训演练系统</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1B756">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套</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59243">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2</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418B6">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1</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5D7D2">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不要求</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DD7D1">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p>
        </w:tc>
      </w:tr>
      <w:tr w14:paraId="09283D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7A24F0">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p>
        </w:tc>
        <w:tc>
          <w:tcPr>
            <w:tcW w:w="1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E9BE33">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体能及心理素质训练设备</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BBCC8">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套</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DC84B">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2</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519E0">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1</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D7C66">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不要求</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EFDAB">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p>
        </w:tc>
      </w:tr>
      <w:tr w14:paraId="2697BB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90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52A46A">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应急辅助决策装备</w:t>
            </w:r>
          </w:p>
        </w:tc>
        <w:tc>
          <w:tcPr>
            <w:tcW w:w="1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50E121">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基础信息数据库</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75338">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套</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9CDB0">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2</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DBC5F">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1</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2BBD8">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不要求</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DFF9F">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p>
        </w:tc>
      </w:tr>
      <w:tr w14:paraId="7291C2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C6E66A">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p>
        </w:tc>
        <w:tc>
          <w:tcPr>
            <w:tcW w:w="1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EE7E59">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现场应急救援辅助决策系统</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ABCD2">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套</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6824F">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2</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C432F">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1</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AE716">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不要求</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1E562">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p>
        </w:tc>
      </w:tr>
      <w:tr w14:paraId="71B8EB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5000" w:type="pct"/>
            <w:gridSpan w:val="7"/>
            <w:tcBorders>
              <w:top w:val="nil"/>
              <w:left w:val="single" w:color="000000" w:sz="4" w:space="0"/>
              <w:bottom w:val="single" w:color="000000" w:sz="4" w:space="0"/>
              <w:right w:val="single" w:color="000000" w:sz="4" w:space="0"/>
            </w:tcBorders>
            <w:shd w:val="clear" w:color="auto" w:fill="auto"/>
            <w:vAlign w:val="center"/>
          </w:tcPr>
          <w:p w14:paraId="50D45426">
            <w:pPr>
              <w:spacing w:line="284" w:lineRule="exact"/>
              <w:ind w:firstLine="0" w:firstLineChars="0"/>
              <w:jc w:val="center"/>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注：以上装备设备在各类突发地质灾害（山体崩塌、滑坡、泥石流、地面塌陷、地裂缝）及次生灾害或灾害链中的应用，需依据现有的手段条件和地质灾害灾种进行合理选取。</w:t>
            </w:r>
          </w:p>
        </w:tc>
      </w:tr>
    </w:tbl>
    <w:p w14:paraId="43F88D57">
      <w:pPr>
        <w:ind w:left="0" w:leftChars="0" w:firstLine="0" w:firstLineChars="0"/>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br w:type="page"/>
      </w:r>
    </w:p>
    <w:p w14:paraId="1A3B31D7">
      <w:pPr>
        <w:pStyle w:val="43"/>
        <w:spacing w:line="240" w:lineRule="auto"/>
        <w:ind w:firstLine="0" w:firstLineChars="0"/>
        <w:rPr>
          <w:rFonts w:hint="eastAsia" w:hAnsi="Times New Roman" w:cs="Times New Roman"/>
          <w:lang w:val="en-US" w:eastAsia="zh-CN"/>
        </w:rPr>
      </w:pPr>
      <w:bookmarkStart w:id="133" w:name="_Toc9331"/>
      <w:r>
        <w:rPr>
          <w:rFonts w:hint="eastAsia" w:hAnsi="Times New Roman" w:cs="Times New Roman"/>
          <w:lang w:val="en-US" w:eastAsia="zh-CN"/>
        </w:rPr>
        <w:t>参 考 文 献</w:t>
      </w:r>
      <w:bookmarkEnd w:id="133"/>
    </w:p>
    <w:p w14:paraId="49D33D46">
      <w:pPr>
        <w:pStyle w:val="27"/>
        <w:numPr>
          <w:ilvl w:val="0"/>
          <w:numId w:val="5"/>
        </w:numPr>
        <w:ind w:left="0" w:firstLine="0" w:firstLineChars="0"/>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《地质灾害防治条例》（国务院第394号令）</w:t>
      </w:r>
    </w:p>
    <w:p w14:paraId="217BCE6C">
      <w:pPr>
        <w:pStyle w:val="27"/>
        <w:numPr>
          <w:ilvl w:val="0"/>
          <w:numId w:val="5"/>
        </w:numPr>
        <w:ind w:left="0" w:firstLine="0" w:firstLineChars="0"/>
        <w:rPr>
          <w:rFonts w:hint="eastAsia" w:ascii="Times New Roman" w:hAnsi="Times New Roman" w:eastAsia="宋体" w:cstheme="minorBidi"/>
          <w:bCs/>
          <w:color w:val="000000"/>
          <w:kern w:val="2"/>
          <w:sz w:val="21"/>
          <w:szCs w:val="32"/>
          <w:lang w:val="en-US" w:eastAsia="zh-CN" w:bidi="ar-SA"/>
        </w:rPr>
      </w:pPr>
      <w:r>
        <w:rPr>
          <w:rFonts w:hint="eastAsia" w:ascii="Times New Roman" w:hAnsi="Times New Roman" w:eastAsia="宋体" w:cstheme="minorBidi"/>
          <w:bCs/>
          <w:color w:val="000000"/>
          <w:kern w:val="2"/>
          <w:sz w:val="21"/>
          <w:szCs w:val="32"/>
          <w:lang w:val="en-US" w:eastAsia="zh-CN" w:bidi="ar-SA"/>
        </w:rPr>
        <w:t>《地质灾害防治单位资质管理办法》》（自然资源部〔2022〕8号令）</w:t>
      </w:r>
    </w:p>
    <w:p w14:paraId="24A51BB5">
      <w:pPr>
        <w:ind w:firstLine="0" w:firstLineChars="0"/>
        <w:rPr>
          <w:rFonts w:hint="eastAsia" w:ascii="Times New Roman" w:hAnsi="Times New Roman" w:eastAsia="宋体" w:cstheme="minorBidi"/>
          <w:bCs/>
          <w:color w:val="000000"/>
          <w:kern w:val="2"/>
          <w:sz w:val="21"/>
          <w:szCs w:val="32"/>
          <w:lang w:val="en-US" w:eastAsia="zh-CN" w:bidi="ar-SA"/>
        </w:rPr>
      </w:pPr>
    </w:p>
    <w:p w14:paraId="3F399404">
      <w:pPr>
        <w:pStyle w:val="39"/>
        <w:rPr>
          <w:rFonts w:hint="eastAsia"/>
          <w:u w:val="thick"/>
        </w:rPr>
      </w:pPr>
      <w:r>
        <w:rPr>
          <w:rFonts w:hint="eastAsia"/>
        </w:rPr>
        <w:t xml:space="preserve">                </w:t>
      </w:r>
    </w:p>
    <w:p w14:paraId="2C411554">
      <w:pPr>
        <w:ind w:firstLine="0" w:firstLineChars="0"/>
        <w:rPr>
          <w:rFonts w:hint="eastAsia" w:ascii="Times New Roman" w:hAnsi="Times New Roman" w:eastAsia="宋体" w:cstheme="minorBidi"/>
          <w:bCs/>
          <w:color w:val="000000"/>
          <w:kern w:val="2"/>
          <w:sz w:val="21"/>
          <w:szCs w:val="32"/>
          <w:lang w:val="en-US" w:eastAsia="zh-CN" w:bidi="ar-SA"/>
        </w:rPr>
      </w:pPr>
    </w:p>
    <w:sectPr>
      <w:pgSz w:w="11906" w:h="16838"/>
      <w:pgMar w:top="567" w:right="1134" w:bottom="1134" w:left="1418" w:header="1418" w:footer="850" w:gutter="0"/>
      <w:pgNumType w:fmt="decimal"/>
      <w:cols w:space="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F2FE22">
    <w:pPr>
      <w:pStyle w:val="7"/>
      <w:ind w:firstLine="360"/>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B8C77A">
    <w:pPr>
      <w:pStyle w:val="7"/>
      <w:ind w:left="360" w:firstLine="0" w:firstLineChars="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25A6BA">
    <w:pPr>
      <w:pStyle w:val="7"/>
      <w:ind w:firstLine="360"/>
      <w:jc w:val="right"/>
    </w:pPr>
    <w:r>
      <w:rPr>
        <w:sz w:val="18"/>
      </w:rPr>
      <mc:AlternateContent>
        <mc:Choice Requires="wps">
          <w:drawing>
            <wp:anchor distT="0" distB="0" distL="114300" distR="114300" simplePos="0" relativeHeight="251663360" behindDoc="0" locked="0" layoutInCell="1" allowOverlap="1">
              <wp:simplePos x="0" y="0"/>
              <wp:positionH relativeFrom="margin">
                <wp:align>right</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2001962420"/>
                            <w:docPartObj>
                              <w:docPartGallery w:val="autotext"/>
                            </w:docPartObj>
                          </w:sdtPr>
                          <w:sdtContent>
                            <w:p w14:paraId="7A632508">
                              <w:pPr>
                                <w:pStyle w:val="7"/>
                                <w:ind w:firstLine="360"/>
                                <w:jc w:val="right"/>
                              </w:pPr>
                              <w:r>
                                <w:fldChar w:fldCharType="begin"/>
                              </w:r>
                              <w:r>
                                <w:instrText xml:space="preserve">PAGE   \* MERGEFORMAT</w:instrText>
                              </w:r>
                              <w:r>
                                <w:fldChar w:fldCharType="separate"/>
                              </w:r>
                              <w:r>
                                <w:rPr>
                                  <w:lang w:val="zh-CN"/>
                                </w:rPr>
                                <w:t>2</w:t>
                              </w:r>
                              <w:r>
                                <w:fldChar w:fldCharType="end"/>
                              </w:r>
                            </w:p>
                          </w:sdtContent>
                        </w:sdt>
                        <w:p w14:paraId="727CA8FE"/>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sdt>
                    <w:sdtPr>
                      <w:id w:val="-2001962420"/>
                      <w:docPartObj>
                        <w:docPartGallery w:val="autotext"/>
                      </w:docPartObj>
                    </w:sdtPr>
                    <w:sdtContent>
                      <w:p w14:paraId="7A632508">
                        <w:pPr>
                          <w:pStyle w:val="7"/>
                          <w:ind w:firstLine="360"/>
                          <w:jc w:val="right"/>
                        </w:pPr>
                        <w:r>
                          <w:fldChar w:fldCharType="begin"/>
                        </w:r>
                        <w:r>
                          <w:instrText xml:space="preserve">PAGE   \* MERGEFORMAT</w:instrText>
                        </w:r>
                        <w:r>
                          <w:fldChar w:fldCharType="separate"/>
                        </w:r>
                        <w:r>
                          <w:rPr>
                            <w:lang w:val="zh-CN"/>
                          </w:rPr>
                          <w:t>2</w:t>
                        </w:r>
                        <w:r>
                          <w:fldChar w:fldCharType="end"/>
                        </w:r>
                      </w:p>
                    </w:sdtContent>
                  </w:sdt>
                  <w:p w14:paraId="727CA8FE"/>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F646C8">
    <w:pPr>
      <w:pStyle w:val="7"/>
      <w:ind w:left="360" w:firstLine="0" w:firstLineChars="0"/>
    </w:pPr>
    <w:r>
      <w:rPr>
        <w:sz w:val="18"/>
      </w:rPr>
      <mc:AlternateContent>
        <mc:Choice Requires="wps">
          <w:drawing>
            <wp:anchor distT="0" distB="0" distL="114300" distR="114300" simplePos="0" relativeHeight="251664384" behindDoc="0" locked="0" layoutInCell="1" allowOverlap="1">
              <wp:simplePos x="0" y="0"/>
              <wp:positionH relativeFrom="margin">
                <wp:align>right</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78E099">
                          <w:pPr>
                            <w:pStyle w:val="7"/>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7978E099">
                    <w:pPr>
                      <w:pStyle w:val="7"/>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904686">
    <w:pPr>
      <w:pStyle w:val="7"/>
      <w:ind w:firstLine="360"/>
      <w:jc w:val="right"/>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393166880"/>
                            <w:docPartObj>
                              <w:docPartGallery w:val="autotext"/>
                            </w:docPartObj>
                          </w:sdtPr>
                          <w:sdtContent>
                            <w:p w14:paraId="2769A898">
                              <w:pPr>
                                <w:pStyle w:val="7"/>
                                <w:ind w:firstLine="360"/>
                                <w:jc w:val="right"/>
                              </w:pPr>
                              <w:r>
                                <w:fldChar w:fldCharType="begin"/>
                              </w:r>
                              <w:r>
                                <w:instrText xml:space="preserve">PAGE   \* MERGEFORMAT</w:instrText>
                              </w:r>
                              <w:r>
                                <w:fldChar w:fldCharType="separate"/>
                              </w:r>
                              <w:r>
                                <w:rPr>
                                  <w:lang w:val="zh-CN"/>
                                </w:rPr>
                                <w:t>2</w:t>
                              </w:r>
                              <w:r>
                                <w:fldChar w:fldCharType="end"/>
                              </w:r>
                            </w:p>
                          </w:sdtContent>
                        </w:sdt>
                        <w:p w14:paraId="4428B63D"/>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sdt>
                    <w:sdtPr>
                      <w:id w:val="393166880"/>
                      <w:docPartObj>
                        <w:docPartGallery w:val="autotext"/>
                      </w:docPartObj>
                    </w:sdtPr>
                    <w:sdtContent>
                      <w:p w14:paraId="2769A898">
                        <w:pPr>
                          <w:pStyle w:val="7"/>
                          <w:ind w:firstLine="360"/>
                          <w:jc w:val="right"/>
                        </w:pPr>
                        <w:r>
                          <w:fldChar w:fldCharType="begin"/>
                        </w:r>
                        <w:r>
                          <w:instrText xml:space="preserve">PAGE   \* MERGEFORMAT</w:instrText>
                        </w:r>
                        <w:r>
                          <w:fldChar w:fldCharType="separate"/>
                        </w:r>
                        <w:r>
                          <w:rPr>
                            <w:lang w:val="zh-CN"/>
                          </w:rPr>
                          <w:t>2</w:t>
                        </w:r>
                        <w:r>
                          <w:fldChar w:fldCharType="end"/>
                        </w:r>
                      </w:p>
                    </w:sdtContent>
                  </w:sdt>
                  <w:p w14:paraId="4428B63D"/>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28FFAA">
    <w:pPr>
      <w:pStyle w:val="7"/>
      <w:ind w:left="360" w:firstLine="0" w:firstLineChars="0"/>
    </w:pPr>
    <w:r>
      <w:rPr>
        <w:sz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78D7CC">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3578D7CC">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8A540A">
    <w:pPr>
      <w:pStyle w:val="7"/>
      <w:ind w:firstLine="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D4EC10">
    <w:pPr>
      <w:pStyle w:val="7"/>
      <w:wordWrap w:val="0"/>
      <w:ind w:firstLine="360"/>
      <w:jc w:val="right"/>
      <w:rPr>
        <w:rFonts w:ascii="宋体" w:hAnsi="宋体"/>
      </w:rPr>
    </w:pPr>
    <w:r>
      <w:rPr>
        <w:sz w:val="18"/>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D9E5EE">
                          <w:pPr>
                            <w:pStyle w:val="7"/>
                            <w:wordWrap w:val="0"/>
                            <w:ind w:firstLine="360"/>
                            <w:jc w:val="right"/>
                          </w:pPr>
                          <w:sdt>
                            <w:sdtPr>
                              <w:id w:val="1627583008"/>
                              <w:docPartObj>
                                <w:docPartGallery w:val="autotext"/>
                              </w:docPartObj>
                            </w:sdtPr>
                            <w:sdtEndPr>
                              <w:rPr>
                                <w:rFonts w:ascii="宋体" w:hAnsi="宋体"/>
                              </w:rPr>
                            </w:sdtEndPr>
                            <w:sdtContent>
                              <w:r>
                                <w:rPr>
                                  <w:rFonts w:ascii="宋体" w:hAnsi="宋体"/>
                                </w:rPr>
                                <w:fldChar w:fldCharType="begin"/>
                              </w:r>
                              <w:r>
                                <w:rPr>
                                  <w:rFonts w:ascii="宋体" w:hAnsi="宋体"/>
                                </w:rPr>
                                <w:instrText xml:space="preserve">PAGE   \* MERGEFORMAT</w:instrText>
                              </w:r>
                              <w:r>
                                <w:rPr>
                                  <w:rFonts w:ascii="宋体" w:hAnsi="宋体"/>
                                </w:rPr>
                                <w:fldChar w:fldCharType="separate"/>
                              </w:r>
                              <w:r>
                                <w:rPr>
                                  <w:rFonts w:ascii="宋体" w:hAnsi="宋体"/>
                                  <w:lang w:val="zh-CN"/>
                                </w:rPr>
                                <w:t>2</w:t>
                              </w:r>
                              <w:r>
                                <w:rPr>
                                  <w:rFonts w:ascii="宋体" w:hAnsi="宋体"/>
                                </w:rPr>
                                <w:fldChar w:fldCharType="end"/>
                              </w:r>
                            </w:sdtContent>
                          </w:sdt>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3D9E5EE">
                    <w:pPr>
                      <w:pStyle w:val="7"/>
                      <w:wordWrap w:val="0"/>
                      <w:ind w:firstLine="360"/>
                      <w:jc w:val="right"/>
                    </w:pPr>
                    <w:sdt>
                      <w:sdtPr>
                        <w:id w:val="1627583008"/>
                        <w:docPartObj>
                          <w:docPartGallery w:val="autotext"/>
                        </w:docPartObj>
                      </w:sdtPr>
                      <w:sdtEndPr>
                        <w:rPr>
                          <w:rFonts w:ascii="宋体" w:hAnsi="宋体"/>
                        </w:rPr>
                      </w:sdtEndPr>
                      <w:sdtContent>
                        <w:r>
                          <w:rPr>
                            <w:rFonts w:ascii="宋体" w:hAnsi="宋体"/>
                          </w:rPr>
                          <w:fldChar w:fldCharType="begin"/>
                        </w:r>
                        <w:r>
                          <w:rPr>
                            <w:rFonts w:ascii="宋体" w:hAnsi="宋体"/>
                          </w:rPr>
                          <w:instrText xml:space="preserve">PAGE   \* MERGEFORMAT</w:instrText>
                        </w:r>
                        <w:r>
                          <w:rPr>
                            <w:rFonts w:ascii="宋体" w:hAnsi="宋体"/>
                          </w:rPr>
                          <w:fldChar w:fldCharType="separate"/>
                        </w:r>
                        <w:r>
                          <w:rPr>
                            <w:rFonts w:ascii="宋体" w:hAnsi="宋体"/>
                            <w:lang w:val="zh-CN"/>
                          </w:rPr>
                          <w:t>2</w:t>
                        </w:r>
                        <w:r>
                          <w:rPr>
                            <w:rFonts w:ascii="宋体" w:hAnsi="宋体"/>
                          </w:rPr>
                          <w:fldChar w:fldCharType="end"/>
                        </w:r>
                      </w:sdtContent>
                    </w:sdt>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F094EF">
    <w:pPr>
      <w:pStyle w:val="7"/>
      <w:ind w:firstLine="0" w:firstLineChars="0"/>
      <w:rPr>
        <w:rFonts w:ascii="宋体" w:hAnsi="宋体"/>
      </w:rPr>
    </w:pPr>
    <w:r>
      <w:rPr>
        <w:sz w:val="18"/>
      </w:rP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681237866"/>
                            <w:docPartObj>
                              <w:docPartGallery w:val="autotext"/>
                            </w:docPartObj>
                          </w:sdtPr>
                          <w:sdtEndPr>
                            <w:rPr>
                              <w:rFonts w:ascii="宋体" w:hAnsi="宋体"/>
                            </w:rPr>
                          </w:sdtEndPr>
                          <w:sdtContent>
                            <w:p w14:paraId="0F47BE71">
                              <w:pPr>
                                <w:pStyle w:val="7"/>
                                <w:ind w:firstLine="0" w:firstLineChars="0"/>
                                <w:rPr>
                                  <w:rFonts w:ascii="宋体" w:hAnsi="宋体"/>
                                </w:rPr>
                              </w:pPr>
                              <w:r>
                                <w:rPr>
                                  <w:rFonts w:ascii="宋体" w:hAnsi="宋体"/>
                                </w:rPr>
                                <w:fldChar w:fldCharType="begin"/>
                              </w:r>
                              <w:r>
                                <w:rPr>
                                  <w:rFonts w:ascii="宋体" w:hAnsi="宋体"/>
                                </w:rPr>
                                <w:instrText xml:space="preserve">PAGE   \* MERGEFORMAT</w:instrText>
                              </w:r>
                              <w:r>
                                <w:rPr>
                                  <w:rFonts w:ascii="宋体" w:hAnsi="宋体"/>
                                </w:rPr>
                                <w:fldChar w:fldCharType="separate"/>
                              </w:r>
                              <w:r>
                                <w:rPr>
                                  <w:rFonts w:ascii="宋体" w:hAnsi="宋体"/>
                                  <w:lang w:val="zh-CN"/>
                                </w:rPr>
                                <w:t>2</w:t>
                              </w:r>
                              <w:r>
                                <w:rPr>
                                  <w:rFonts w:ascii="宋体" w:hAnsi="宋体"/>
                                </w:rPr>
                                <w:fldChar w:fldCharType="end"/>
                              </w:r>
                            </w:p>
                          </w:sdtContent>
                        </w:sdt>
                        <w:p w14:paraId="599F3F03">
                          <w:pPr>
                            <w:rPr>
                              <w:rFonts w:ascii="宋体" w:hAnsi="宋体"/>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sdt>
                    <w:sdtPr>
                      <w:id w:val="1681237866"/>
                      <w:docPartObj>
                        <w:docPartGallery w:val="autotext"/>
                      </w:docPartObj>
                    </w:sdtPr>
                    <w:sdtEndPr>
                      <w:rPr>
                        <w:rFonts w:ascii="宋体" w:hAnsi="宋体"/>
                      </w:rPr>
                    </w:sdtEndPr>
                    <w:sdtContent>
                      <w:p w14:paraId="0F47BE71">
                        <w:pPr>
                          <w:pStyle w:val="7"/>
                          <w:ind w:firstLine="0" w:firstLineChars="0"/>
                          <w:rPr>
                            <w:rFonts w:ascii="宋体" w:hAnsi="宋体"/>
                          </w:rPr>
                        </w:pPr>
                        <w:r>
                          <w:rPr>
                            <w:rFonts w:ascii="宋体" w:hAnsi="宋体"/>
                          </w:rPr>
                          <w:fldChar w:fldCharType="begin"/>
                        </w:r>
                        <w:r>
                          <w:rPr>
                            <w:rFonts w:ascii="宋体" w:hAnsi="宋体"/>
                          </w:rPr>
                          <w:instrText xml:space="preserve">PAGE   \* MERGEFORMAT</w:instrText>
                        </w:r>
                        <w:r>
                          <w:rPr>
                            <w:rFonts w:ascii="宋体" w:hAnsi="宋体"/>
                          </w:rPr>
                          <w:fldChar w:fldCharType="separate"/>
                        </w:r>
                        <w:r>
                          <w:rPr>
                            <w:rFonts w:ascii="宋体" w:hAnsi="宋体"/>
                            <w:lang w:val="zh-CN"/>
                          </w:rPr>
                          <w:t>2</w:t>
                        </w:r>
                        <w:r>
                          <w:rPr>
                            <w:rFonts w:ascii="宋体" w:hAnsi="宋体"/>
                          </w:rPr>
                          <w:fldChar w:fldCharType="end"/>
                        </w:r>
                      </w:p>
                    </w:sdtContent>
                  </w:sdt>
                  <w:p w14:paraId="599F3F03">
                    <w:pPr>
                      <w:rPr>
                        <w:rFonts w:ascii="宋体" w:hAnsi="宋体"/>
                      </w:rPr>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20"/>
      </w:pPr>
      <w:r>
        <w:separator/>
      </w:r>
    </w:p>
  </w:footnote>
  <w:footnote w:type="continuationSeparator" w:id="1">
    <w:p>
      <w:pPr>
        <w:spacing w:line="24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AD3DFE">
    <w:pPr>
      <w:pStyle w:val="28"/>
      <w:spacing w:after="0" w:line="284" w:lineRule="exac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2C7DE3">
    <w:pPr>
      <w:pStyle w:val="28"/>
      <w:spacing w:after="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531891">
    <w:pPr>
      <w:pStyle w:val="28"/>
      <w:spacing w:after="0" w:line="284" w:lineRule="exact"/>
      <w:rPr>
        <w:rFonts w:hint="eastAsia" w:ascii="宋体" w:hAnsi="宋体" w:eastAsia="宋体" w:cs="宋体"/>
      </w:rPr>
    </w:pPr>
    <w:r>
      <w:rPr>
        <w:rFonts w:hint="eastAsia" w:ascii="宋体" w:hAnsi="宋体" w:eastAsia="宋体" w:cs="宋体"/>
      </w:rPr>
      <w:t>T/CAGHP XXX-XXXX</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96C645">
    <w:pPr>
      <w:pStyle w:val="28"/>
      <w:spacing w:after="0" w:line="284" w:lineRule="exact"/>
      <w:jc w:val="left"/>
    </w:pPr>
    <w:r>
      <w:t>XX/X XXXXX—XXXX</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D403E2">
    <w:pPr>
      <w:pStyle w:val="8"/>
      <w:ind w:firstLine="36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5F18DA">
    <w:pPr>
      <w:pStyle w:val="28"/>
      <w:spacing w:after="0" w:line="284"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B247982"/>
    <w:multiLevelType w:val="singleLevel"/>
    <w:tmpl w:val="AB247982"/>
    <w:lvl w:ilvl="0" w:tentative="0">
      <w:start w:val="1"/>
      <w:numFmt w:val="lowerLetter"/>
      <w:suff w:val="space"/>
      <w:lvlText w:val="%1)"/>
      <w:lvlJc w:val="left"/>
    </w:lvl>
  </w:abstractNum>
  <w:abstractNum w:abstractNumId="1">
    <w:nsid w:val="2E5E0173"/>
    <w:multiLevelType w:val="multilevel"/>
    <w:tmpl w:val="2E5E0173"/>
    <w:lvl w:ilvl="0" w:tentative="0">
      <w:start w:val="1"/>
      <w:numFmt w:val="decimal"/>
      <w:pStyle w:val="2"/>
      <w:lvlText w:val="%1 "/>
      <w:lvlJc w:val="left"/>
      <w:pPr>
        <w:ind w:left="0" w:firstLine="0"/>
      </w:pPr>
      <w:rPr>
        <w:rFonts w:hint="default" w:ascii="Arial" w:hAnsi="Arial" w:eastAsia="黑体"/>
        <w:b w:val="0"/>
        <w:i w:val="0"/>
        <w:sz w:val="21"/>
      </w:rPr>
    </w:lvl>
    <w:lvl w:ilvl="1" w:tentative="0">
      <w:start w:val="1"/>
      <w:numFmt w:val="decimal"/>
      <w:pStyle w:val="3"/>
      <w:isLgl/>
      <w:lvlText w:val="%1.%2"/>
      <w:lvlJc w:val="left"/>
      <w:pPr>
        <w:ind w:left="0" w:firstLine="0"/>
      </w:pPr>
      <w:rPr>
        <w:rFonts w:hint="default" w:ascii="Arial" w:hAnsi="Arial" w:eastAsia="黑体"/>
        <w:b w:val="0"/>
        <w:i w:val="0"/>
        <w:sz w:val="21"/>
      </w:rPr>
    </w:lvl>
    <w:lvl w:ilvl="2" w:tentative="0">
      <w:start w:val="1"/>
      <w:numFmt w:val="decimal"/>
      <w:pStyle w:val="4"/>
      <w:isLgl/>
      <w:lvlText w:val="%1.%2.%3"/>
      <w:lvlJc w:val="left"/>
      <w:pPr>
        <w:ind w:left="283" w:firstLine="0"/>
      </w:pPr>
      <w:rPr>
        <w:rFonts w:hint="default" w:ascii="Arial" w:hAnsi="Arial" w:eastAsia="黑体"/>
        <w:b w:val="0"/>
        <w:i w:val="0"/>
        <w:sz w:val="21"/>
      </w:rPr>
    </w:lvl>
    <w:lvl w:ilvl="3" w:tentative="0">
      <w:start w:val="1"/>
      <w:numFmt w:val="decimal"/>
      <w:lvlText w:val="%1.%2.%3.%4"/>
      <w:lvlJc w:val="left"/>
      <w:pPr>
        <w:ind w:left="561" w:firstLine="0"/>
      </w:pPr>
      <w:rPr>
        <w:rFonts w:hint="eastAsia"/>
      </w:rPr>
    </w:lvl>
    <w:lvl w:ilvl="4" w:tentative="0">
      <w:start w:val="1"/>
      <w:numFmt w:val="decimal"/>
      <w:lvlText w:val="%1.%2.%3.%4.%5"/>
      <w:lvlJc w:val="left"/>
      <w:pPr>
        <w:ind w:left="561" w:firstLine="0"/>
      </w:pPr>
      <w:rPr>
        <w:rFonts w:hint="eastAsia"/>
      </w:rPr>
    </w:lvl>
    <w:lvl w:ilvl="5" w:tentative="0">
      <w:start w:val="1"/>
      <w:numFmt w:val="decimal"/>
      <w:lvlText w:val="%1.%2.%3.%4.%5.%6"/>
      <w:lvlJc w:val="left"/>
      <w:pPr>
        <w:ind w:left="561" w:firstLine="0"/>
      </w:pPr>
      <w:rPr>
        <w:rFonts w:hint="eastAsia"/>
      </w:rPr>
    </w:lvl>
    <w:lvl w:ilvl="6" w:tentative="0">
      <w:start w:val="1"/>
      <w:numFmt w:val="decimal"/>
      <w:lvlText w:val="%1.%2.%3.%4.%5.%6.%7"/>
      <w:lvlJc w:val="left"/>
      <w:pPr>
        <w:ind w:left="561" w:firstLine="0"/>
      </w:pPr>
      <w:rPr>
        <w:rFonts w:hint="eastAsia"/>
      </w:rPr>
    </w:lvl>
    <w:lvl w:ilvl="7" w:tentative="0">
      <w:start w:val="1"/>
      <w:numFmt w:val="decimal"/>
      <w:lvlRestart w:val="1"/>
      <w:isLgl/>
      <w:suff w:val="space"/>
      <w:lvlText w:val="图%1-%8"/>
      <w:lvlJc w:val="center"/>
      <w:pPr>
        <w:ind w:left="0" w:firstLine="340"/>
      </w:pPr>
      <w:rPr>
        <w:rFonts w:hint="eastAsia"/>
      </w:rPr>
    </w:lvl>
    <w:lvl w:ilvl="8" w:tentative="0">
      <w:start w:val="1"/>
      <w:numFmt w:val="decimal"/>
      <w:lvlRestart w:val="1"/>
      <w:isLgl/>
      <w:suff w:val="space"/>
      <w:lvlText w:val="表%1-%9"/>
      <w:lvlJc w:val="center"/>
      <w:pPr>
        <w:ind w:left="0" w:firstLine="340"/>
      </w:pPr>
      <w:rPr>
        <w:rFonts w:hint="eastAsia"/>
      </w:rPr>
    </w:lvl>
  </w:abstractNum>
  <w:abstractNum w:abstractNumId="2">
    <w:nsid w:val="4C466918"/>
    <w:multiLevelType w:val="multilevel"/>
    <w:tmpl w:val="4C466918"/>
    <w:lvl w:ilvl="0" w:tentative="0">
      <w:start w:val="1"/>
      <w:numFmt w:val="decimal"/>
      <w:lvlText w:val="[%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
    <w:nsid w:val="520A146B"/>
    <w:multiLevelType w:val="multilevel"/>
    <w:tmpl w:val="520A146B"/>
    <w:lvl w:ilvl="0" w:tentative="0">
      <w:start w:val="1"/>
      <w:numFmt w:val="chineseCountingThousand"/>
      <w:suff w:val="space"/>
      <w:lvlText w:val="%1、"/>
      <w:lvlJc w:val="left"/>
      <w:pPr>
        <w:ind w:left="0" w:firstLine="0"/>
      </w:pPr>
      <w:rPr>
        <w:rFonts w:hint="eastAsia"/>
      </w:rPr>
    </w:lvl>
    <w:lvl w:ilvl="1" w:tentative="0">
      <w:start w:val="1"/>
      <w:numFmt w:val="decimal"/>
      <w:isLgl/>
      <w:suff w:val="space"/>
      <w:lvlText w:val="%1.%2"/>
      <w:lvlJc w:val="left"/>
      <w:pPr>
        <w:ind w:left="0" w:firstLine="0"/>
      </w:pPr>
      <w:rPr>
        <w:rFonts w:hint="eastAsia"/>
      </w:rPr>
    </w:lvl>
    <w:lvl w:ilvl="2" w:tentative="0">
      <w:start w:val="1"/>
      <w:numFmt w:val="decimal"/>
      <w:isLgl/>
      <w:suff w:val="space"/>
      <w:lvlText w:val="%1.%2.%3"/>
      <w:lvlJc w:val="left"/>
      <w:pPr>
        <w:ind w:left="0" w:firstLine="0"/>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pStyle w:val="19"/>
      <w:suff w:val="nothing"/>
      <w:lvlText w:val="图%6 "/>
      <w:lvlJc w:val="center"/>
      <w:pPr>
        <w:ind w:left="1271" w:firstLine="288"/>
      </w:pPr>
      <w:rPr>
        <w:rFonts w:hint="eastAsia"/>
      </w:rPr>
    </w:lvl>
    <w:lvl w:ilvl="6" w:tentative="0">
      <w:start w:val="1"/>
      <w:numFmt w:val="decimal"/>
      <w:suff w:val="space"/>
      <w:lvlText w:val="表%7 "/>
      <w:lvlJc w:val="center"/>
      <w:pPr>
        <w:ind w:left="0" w:firstLine="288"/>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56FC936A"/>
    <w:multiLevelType w:val="multilevel"/>
    <w:tmpl w:val="56FC936A"/>
    <w:lvl w:ilvl="0" w:tentative="0">
      <w:start w:val="1"/>
      <w:numFmt w:val="decimal"/>
      <w:pStyle w:val="38"/>
      <w:lvlText w:val="%1."/>
      <w:lvlJc w:val="left"/>
      <w:pPr>
        <w:tabs>
          <w:tab w:val="left" w:pos="432"/>
        </w:tabs>
        <w:ind w:left="432" w:hanging="432"/>
      </w:pPr>
    </w:lvl>
    <w:lvl w:ilvl="1" w:tentative="0">
      <w:start w:val="1"/>
      <w:numFmt w:val="decimal"/>
      <w:lvlText w:val="%1.%2."/>
      <w:lvlJc w:val="left"/>
      <w:pPr>
        <w:tabs>
          <w:tab w:val="left" w:pos="575"/>
        </w:tabs>
        <w:ind w:left="575" w:hanging="575"/>
      </w:pPr>
    </w:lvl>
    <w:lvl w:ilvl="2" w:tentative="0">
      <w:start w:val="1"/>
      <w:numFmt w:val="decimal"/>
      <w:lvlText w:val="%1.%2.%3."/>
      <w:lvlJc w:val="left"/>
      <w:pPr>
        <w:tabs>
          <w:tab w:val="left" w:pos="720"/>
        </w:tabs>
        <w:ind w:left="720" w:hanging="720"/>
      </w:pPr>
    </w:lvl>
    <w:lvl w:ilvl="3" w:tentative="0">
      <w:start w:val="1"/>
      <w:numFmt w:val="decimal"/>
      <w:lvlText w:val="%1.%2.%3.%4."/>
      <w:lvlJc w:val="left"/>
      <w:pPr>
        <w:tabs>
          <w:tab w:val="left" w:pos="864"/>
        </w:tabs>
        <w:ind w:left="864" w:hanging="864"/>
      </w:pPr>
    </w:lvl>
    <w:lvl w:ilvl="4" w:tentative="0">
      <w:start w:val="1"/>
      <w:numFmt w:val="decimal"/>
      <w:lvlText w:val="%1.%2.%3.%4.%5."/>
      <w:lvlJc w:val="left"/>
      <w:pPr>
        <w:tabs>
          <w:tab w:val="left" w:pos="1008"/>
        </w:tabs>
        <w:ind w:left="1008" w:hanging="1008"/>
      </w:pPr>
    </w:lvl>
    <w:lvl w:ilvl="5" w:tentative="0">
      <w:start w:val="1"/>
      <w:numFmt w:val="decimal"/>
      <w:lvlText w:val="%1.%2.%3.%4.%5.%6."/>
      <w:lvlJc w:val="left"/>
      <w:pPr>
        <w:tabs>
          <w:tab w:val="left" w:pos="1151"/>
        </w:tabs>
        <w:ind w:left="1151" w:hanging="1151"/>
      </w:pPr>
    </w:lvl>
    <w:lvl w:ilvl="6" w:tentative="0">
      <w:start w:val="1"/>
      <w:numFmt w:val="decimal"/>
      <w:lvlText w:val="%1.%2.%3.%4.%5.%6.%7."/>
      <w:lvlJc w:val="left"/>
      <w:pPr>
        <w:tabs>
          <w:tab w:val="left" w:pos="1296"/>
        </w:tabs>
        <w:ind w:left="1296" w:hanging="1296"/>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583"/>
        </w:tabs>
        <w:ind w:left="1583" w:hanging="1583"/>
      </w:pPr>
    </w:lvl>
  </w:abstractNum>
  <w:num w:numId="1">
    <w:abstractNumId w:val="1"/>
  </w:num>
  <w:num w:numId="2">
    <w:abstractNumId w:val="3"/>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0"/>
  <w:bordersDoNotSurroundFooter w:val="0"/>
  <w:documentProtection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g4MDUyNDdlZjFkNTRkZDUzZDQzOTVmNjQzODkxN2EifQ=="/>
  </w:docVars>
  <w:rsids>
    <w:rsidRoot w:val="007C38F9"/>
    <w:rsid w:val="00001536"/>
    <w:rsid w:val="0000266D"/>
    <w:rsid w:val="00011242"/>
    <w:rsid w:val="000140E5"/>
    <w:rsid w:val="000140ED"/>
    <w:rsid w:val="00015602"/>
    <w:rsid w:val="00015682"/>
    <w:rsid w:val="00015713"/>
    <w:rsid w:val="000160C7"/>
    <w:rsid w:val="000202D4"/>
    <w:rsid w:val="00024D1D"/>
    <w:rsid w:val="00026115"/>
    <w:rsid w:val="00026DDF"/>
    <w:rsid w:val="00026F37"/>
    <w:rsid w:val="000305FD"/>
    <w:rsid w:val="00031297"/>
    <w:rsid w:val="00034575"/>
    <w:rsid w:val="00034BC9"/>
    <w:rsid w:val="00036000"/>
    <w:rsid w:val="00037358"/>
    <w:rsid w:val="00042660"/>
    <w:rsid w:val="00044B47"/>
    <w:rsid w:val="000531E4"/>
    <w:rsid w:val="00056CAB"/>
    <w:rsid w:val="00057124"/>
    <w:rsid w:val="00057C72"/>
    <w:rsid w:val="00057D10"/>
    <w:rsid w:val="00060A4F"/>
    <w:rsid w:val="00061E9B"/>
    <w:rsid w:val="00064E63"/>
    <w:rsid w:val="00065303"/>
    <w:rsid w:val="00066A9A"/>
    <w:rsid w:val="000674AD"/>
    <w:rsid w:val="0007152F"/>
    <w:rsid w:val="00080334"/>
    <w:rsid w:val="000803B4"/>
    <w:rsid w:val="00081125"/>
    <w:rsid w:val="000827D8"/>
    <w:rsid w:val="000848C9"/>
    <w:rsid w:val="000850B7"/>
    <w:rsid w:val="00085E2B"/>
    <w:rsid w:val="00091FBF"/>
    <w:rsid w:val="000935CE"/>
    <w:rsid w:val="00094FA5"/>
    <w:rsid w:val="000955F8"/>
    <w:rsid w:val="00095EDF"/>
    <w:rsid w:val="000961E6"/>
    <w:rsid w:val="000977D6"/>
    <w:rsid w:val="00097EF6"/>
    <w:rsid w:val="00097F74"/>
    <w:rsid w:val="000A1127"/>
    <w:rsid w:val="000A1DEA"/>
    <w:rsid w:val="000A2859"/>
    <w:rsid w:val="000A3299"/>
    <w:rsid w:val="000A44D7"/>
    <w:rsid w:val="000A4934"/>
    <w:rsid w:val="000A7257"/>
    <w:rsid w:val="000B0E84"/>
    <w:rsid w:val="000B134F"/>
    <w:rsid w:val="000B3E4C"/>
    <w:rsid w:val="000D0029"/>
    <w:rsid w:val="000D10AB"/>
    <w:rsid w:val="000D1BEB"/>
    <w:rsid w:val="000D1F3E"/>
    <w:rsid w:val="000D4B1D"/>
    <w:rsid w:val="000D5C15"/>
    <w:rsid w:val="000D7BD9"/>
    <w:rsid w:val="000E0122"/>
    <w:rsid w:val="000E1E03"/>
    <w:rsid w:val="000E5E16"/>
    <w:rsid w:val="000E633E"/>
    <w:rsid w:val="000F0015"/>
    <w:rsid w:val="000F20B2"/>
    <w:rsid w:val="000F3105"/>
    <w:rsid w:val="000F3DBF"/>
    <w:rsid w:val="000F5B18"/>
    <w:rsid w:val="000F7326"/>
    <w:rsid w:val="00100A7F"/>
    <w:rsid w:val="00102E5E"/>
    <w:rsid w:val="0010594C"/>
    <w:rsid w:val="0010646E"/>
    <w:rsid w:val="00106B17"/>
    <w:rsid w:val="00106CBF"/>
    <w:rsid w:val="0010782C"/>
    <w:rsid w:val="00107E1F"/>
    <w:rsid w:val="0011042F"/>
    <w:rsid w:val="001106BC"/>
    <w:rsid w:val="00111C85"/>
    <w:rsid w:val="001133DF"/>
    <w:rsid w:val="00113881"/>
    <w:rsid w:val="001169EA"/>
    <w:rsid w:val="00116A82"/>
    <w:rsid w:val="001216E2"/>
    <w:rsid w:val="001238E0"/>
    <w:rsid w:val="00123D17"/>
    <w:rsid w:val="00124F3B"/>
    <w:rsid w:val="001253F4"/>
    <w:rsid w:val="0012560B"/>
    <w:rsid w:val="00125AB3"/>
    <w:rsid w:val="00131538"/>
    <w:rsid w:val="00132110"/>
    <w:rsid w:val="00145400"/>
    <w:rsid w:val="00145671"/>
    <w:rsid w:val="001512B2"/>
    <w:rsid w:val="0015167B"/>
    <w:rsid w:val="0015466F"/>
    <w:rsid w:val="001547AB"/>
    <w:rsid w:val="001548E5"/>
    <w:rsid w:val="001553D5"/>
    <w:rsid w:val="00155BE7"/>
    <w:rsid w:val="001633F9"/>
    <w:rsid w:val="001662DA"/>
    <w:rsid w:val="00167769"/>
    <w:rsid w:val="001709F4"/>
    <w:rsid w:val="00173D65"/>
    <w:rsid w:val="00174A97"/>
    <w:rsid w:val="0017645D"/>
    <w:rsid w:val="00176617"/>
    <w:rsid w:val="00176C27"/>
    <w:rsid w:val="00177A5D"/>
    <w:rsid w:val="001813B2"/>
    <w:rsid w:val="00184329"/>
    <w:rsid w:val="001860B3"/>
    <w:rsid w:val="00186E34"/>
    <w:rsid w:val="00187B54"/>
    <w:rsid w:val="0019029B"/>
    <w:rsid w:val="001933A7"/>
    <w:rsid w:val="001941AC"/>
    <w:rsid w:val="00195C49"/>
    <w:rsid w:val="001A0519"/>
    <w:rsid w:val="001A14C5"/>
    <w:rsid w:val="001A3EEB"/>
    <w:rsid w:val="001B0846"/>
    <w:rsid w:val="001B11A9"/>
    <w:rsid w:val="001B2BB0"/>
    <w:rsid w:val="001B4A53"/>
    <w:rsid w:val="001B5FFB"/>
    <w:rsid w:val="001B775B"/>
    <w:rsid w:val="001C17F2"/>
    <w:rsid w:val="001C337C"/>
    <w:rsid w:val="001C3E1B"/>
    <w:rsid w:val="001C4B60"/>
    <w:rsid w:val="001C6AC6"/>
    <w:rsid w:val="001D0DF6"/>
    <w:rsid w:val="001D1213"/>
    <w:rsid w:val="001D1605"/>
    <w:rsid w:val="001D288D"/>
    <w:rsid w:val="001D551F"/>
    <w:rsid w:val="001E1156"/>
    <w:rsid w:val="001E2A47"/>
    <w:rsid w:val="001F2CFD"/>
    <w:rsid w:val="001F375F"/>
    <w:rsid w:val="001F3A33"/>
    <w:rsid w:val="001F3E4E"/>
    <w:rsid w:val="00200025"/>
    <w:rsid w:val="00200204"/>
    <w:rsid w:val="00201542"/>
    <w:rsid w:val="002054B6"/>
    <w:rsid w:val="00205E99"/>
    <w:rsid w:val="002070EB"/>
    <w:rsid w:val="00207BCC"/>
    <w:rsid w:val="0021044E"/>
    <w:rsid w:val="002126EE"/>
    <w:rsid w:val="00213809"/>
    <w:rsid w:val="00213B1E"/>
    <w:rsid w:val="0021627B"/>
    <w:rsid w:val="0022164E"/>
    <w:rsid w:val="00222D95"/>
    <w:rsid w:val="002243E9"/>
    <w:rsid w:val="00225BF4"/>
    <w:rsid w:val="00225EB1"/>
    <w:rsid w:val="00227775"/>
    <w:rsid w:val="002305D3"/>
    <w:rsid w:val="0023201D"/>
    <w:rsid w:val="00233858"/>
    <w:rsid w:val="00233D31"/>
    <w:rsid w:val="00234778"/>
    <w:rsid w:val="00234804"/>
    <w:rsid w:val="00240991"/>
    <w:rsid w:val="00242AC0"/>
    <w:rsid w:val="00245F02"/>
    <w:rsid w:val="00245F66"/>
    <w:rsid w:val="00247197"/>
    <w:rsid w:val="00252055"/>
    <w:rsid w:val="002529D8"/>
    <w:rsid w:val="00252F6A"/>
    <w:rsid w:val="00253866"/>
    <w:rsid w:val="0025434E"/>
    <w:rsid w:val="002566D4"/>
    <w:rsid w:val="00263722"/>
    <w:rsid w:val="00263C7F"/>
    <w:rsid w:val="00263C81"/>
    <w:rsid w:val="002661CB"/>
    <w:rsid w:val="00266541"/>
    <w:rsid w:val="002667A5"/>
    <w:rsid w:val="002669BD"/>
    <w:rsid w:val="00271620"/>
    <w:rsid w:val="002744B0"/>
    <w:rsid w:val="00276D7D"/>
    <w:rsid w:val="002770B4"/>
    <w:rsid w:val="002772DF"/>
    <w:rsid w:val="002815C0"/>
    <w:rsid w:val="00282773"/>
    <w:rsid w:val="00283914"/>
    <w:rsid w:val="002852CC"/>
    <w:rsid w:val="0029285E"/>
    <w:rsid w:val="002936B2"/>
    <w:rsid w:val="002951DD"/>
    <w:rsid w:val="002958D4"/>
    <w:rsid w:val="00295CCF"/>
    <w:rsid w:val="0029737F"/>
    <w:rsid w:val="002A0530"/>
    <w:rsid w:val="002A0F85"/>
    <w:rsid w:val="002B35FE"/>
    <w:rsid w:val="002B4D3A"/>
    <w:rsid w:val="002B643E"/>
    <w:rsid w:val="002B6F92"/>
    <w:rsid w:val="002B7DC8"/>
    <w:rsid w:val="002C1C52"/>
    <w:rsid w:val="002C3940"/>
    <w:rsid w:val="002C4732"/>
    <w:rsid w:val="002C5DFF"/>
    <w:rsid w:val="002C622D"/>
    <w:rsid w:val="002D0BC0"/>
    <w:rsid w:val="002D1523"/>
    <w:rsid w:val="002E0641"/>
    <w:rsid w:val="002E1CAC"/>
    <w:rsid w:val="002E50FB"/>
    <w:rsid w:val="002E776A"/>
    <w:rsid w:val="002F2225"/>
    <w:rsid w:val="002F24DB"/>
    <w:rsid w:val="002F5CC2"/>
    <w:rsid w:val="002F6687"/>
    <w:rsid w:val="002F7ACF"/>
    <w:rsid w:val="00300135"/>
    <w:rsid w:val="00301349"/>
    <w:rsid w:val="00301536"/>
    <w:rsid w:val="00304D33"/>
    <w:rsid w:val="003053F2"/>
    <w:rsid w:val="0030661E"/>
    <w:rsid w:val="00306ECF"/>
    <w:rsid w:val="00307620"/>
    <w:rsid w:val="003109A1"/>
    <w:rsid w:val="00314836"/>
    <w:rsid w:val="00314BC3"/>
    <w:rsid w:val="00315339"/>
    <w:rsid w:val="00320950"/>
    <w:rsid w:val="00322179"/>
    <w:rsid w:val="0032272D"/>
    <w:rsid w:val="00322E18"/>
    <w:rsid w:val="00331C80"/>
    <w:rsid w:val="00332693"/>
    <w:rsid w:val="00332CDD"/>
    <w:rsid w:val="00335C74"/>
    <w:rsid w:val="00336549"/>
    <w:rsid w:val="003404A4"/>
    <w:rsid w:val="00341B89"/>
    <w:rsid w:val="00341F52"/>
    <w:rsid w:val="00341FB9"/>
    <w:rsid w:val="00342450"/>
    <w:rsid w:val="00342B45"/>
    <w:rsid w:val="00343581"/>
    <w:rsid w:val="003447AB"/>
    <w:rsid w:val="00344B70"/>
    <w:rsid w:val="00356E73"/>
    <w:rsid w:val="00360775"/>
    <w:rsid w:val="00360CCF"/>
    <w:rsid w:val="00362710"/>
    <w:rsid w:val="00363EA5"/>
    <w:rsid w:val="00367E5E"/>
    <w:rsid w:val="00373E4F"/>
    <w:rsid w:val="0037458B"/>
    <w:rsid w:val="003759E0"/>
    <w:rsid w:val="003764AD"/>
    <w:rsid w:val="00376B8C"/>
    <w:rsid w:val="00376DA3"/>
    <w:rsid w:val="00381005"/>
    <w:rsid w:val="003850F5"/>
    <w:rsid w:val="00390EB4"/>
    <w:rsid w:val="00391671"/>
    <w:rsid w:val="003919B0"/>
    <w:rsid w:val="0039280F"/>
    <w:rsid w:val="00393C28"/>
    <w:rsid w:val="003944A8"/>
    <w:rsid w:val="0039628C"/>
    <w:rsid w:val="003A055E"/>
    <w:rsid w:val="003A07AA"/>
    <w:rsid w:val="003A0B95"/>
    <w:rsid w:val="003A19A9"/>
    <w:rsid w:val="003A4B2C"/>
    <w:rsid w:val="003A588C"/>
    <w:rsid w:val="003A5DBC"/>
    <w:rsid w:val="003A6255"/>
    <w:rsid w:val="003B1756"/>
    <w:rsid w:val="003B1CD6"/>
    <w:rsid w:val="003B277A"/>
    <w:rsid w:val="003B61F4"/>
    <w:rsid w:val="003B645C"/>
    <w:rsid w:val="003B75CA"/>
    <w:rsid w:val="003B7CE8"/>
    <w:rsid w:val="003C0AE2"/>
    <w:rsid w:val="003C1912"/>
    <w:rsid w:val="003C262D"/>
    <w:rsid w:val="003C37FD"/>
    <w:rsid w:val="003C421E"/>
    <w:rsid w:val="003C4B8C"/>
    <w:rsid w:val="003C65B0"/>
    <w:rsid w:val="003D2B03"/>
    <w:rsid w:val="003D3A92"/>
    <w:rsid w:val="003D6C62"/>
    <w:rsid w:val="003E3B44"/>
    <w:rsid w:val="003E4352"/>
    <w:rsid w:val="003E4A26"/>
    <w:rsid w:val="003E4DBE"/>
    <w:rsid w:val="003E5604"/>
    <w:rsid w:val="003E5644"/>
    <w:rsid w:val="003E6510"/>
    <w:rsid w:val="003E7241"/>
    <w:rsid w:val="003F0362"/>
    <w:rsid w:val="003F259D"/>
    <w:rsid w:val="003F2A32"/>
    <w:rsid w:val="003F5FCB"/>
    <w:rsid w:val="003F773D"/>
    <w:rsid w:val="00402694"/>
    <w:rsid w:val="0040594E"/>
    <w:rsid w:val="00405F34"/>
    <w:rsid w:val="00406DEE"/>
    <w:rsid w:val="0040731D"/>
    <w:rsid w:val="0041688D"/>
    <w:rsid w:val="004175B7"/>
    <w:rsid w:val="00423A97"/>
    <w:rsid w:val="00423AF0"/>
    <w:rsid w:val="00426C88"/>
    <w:rsid w:val="00427802"/>
    <w:rsid w:val="00427E0A"/>
    <w:rsid w:val="004328BD"/>
    <w:rsid w:val="00434A92"/>
    <w:rsid w:val="00436E9F"/>
    <w:rsid w:val="00437A94"/>
    <w:rsid w:val="004419CD"/>
    <w:rsid w:val="00441B41"/>
    <w:rsid w:val="004439B4"/>
    <w:rsid w:val="004448BC"/>
    <w:rsid w:val="004523E2"/>
    <w:rsid w:val="00455338"/>
    <w:rsid w:val="00460F64"/>
    <w:rsid w:val="00464999"/>
    <w:rsid w:val="004656FD"/>
    <w:rsid w:val="00465700"/>
    <w:rsid w:val="00470725"/>
    <w:rsid w:val="00471CDA"/>
    <w:rsid w:val="004744A0"/>
    <w:rsid w:val="004756D5"/>
    <w:rsid w:val="00475CE8"/>
    <w:rsid w:val="00475D91"/>
    <w:rsid w:val="00477910"/>
    <w:rsid w:val="00480F8A"/>
    <w:rsid w:val="0048489D"/>
    <w:rsid w:val="00485F32"/>
    <w:rsid w:val="004876DF"/>
    <w:rsid w:val="00491F01"/>
    <w:rsid w:val="0049233D"/>
    <w:rsid w:val="004928C7"/>
    <w:rsid w:val="0049379B"/>
    <w:rsid w:val="00494E18"/>
    <w:rsid w:val="00495B90"/>
    <w:rsid w:val="00496C2C"/>
    <w:rsid w:val="00496F2E"/>
    <w:rsid w:val="004972D3"/>
    <w:rsid w:val="00497EE3"/>
    <w:rsid w:val="004A1B17"/>
    <w:rsid w:val="004A21C7"/>
    <w:rsid w:val="004A2AAD"/>
    <w:rsid w:val="004A390F"/>
    <w:rsid w:val="004A6BE7"/>
    <w:rsid w:val="004A6F12"/>
    <w:rsid w:val="004B0E47"/>
    <w:rsid w:val="004B2D35"/>
    <w:rsid w:val="004B469A"/>
    <w:rsid w:val="004B7225"/>
    <w:rsid w:val="004B7760"/>
    <w:rsid w:val="004C2FA7"/>
    <w:rsid w:val="004C3836"/>
    <w:rsid w:val="004D07AB"/>
    <w:rsid w:val="004D31B3"/>
    <w:rsid w:val="004D5486"/>
    <w:rsid w:val="004D6516"/>
    <w:rsid w:val="004D6C83"/>
    <w:rsid w:val="004D7030"/>
    <w:rsid w:val="004D774C"/>
    <w:rsid w:val="004D7974"/>
    <w:rsid w:val="004E055B"/>
    <w:rsid w:val="004E2397"/>
    <w:rsid w:val="004E2DA9"/>
    <w:rsid w:val="004E3520"/>
    <w:rsid w:val="004E4ED9"/>
    <w:rsid w:val="004E6029"/>
    <w:rsid w:val="004E6CEE"/>
    <w:rsid w:val="004E79CA"/>
    <w:rsid w:val="004F0418"/>
    <w:rsid w:val="004F09B6"/>
    <w:rsid w:val="004F1F27"/>
    <w:rsid w:val="004F2F86"/>
    <w:rsid w:val="004F38B6"/>
    <w:rsid w:val="004F39AB"/>
    <w:rsid w:val="0050185D"/>
    <w:rsid w:val="00501B79"/>
    <w:rsid w:val="00504CD0"/>
    <w:rsid w:val="005066E4"/>
    <w:rsid w:val="00506D69"/>
    <w:rsid w:val="00506E38"/>
    <w:rsid w:val="00510C25"/>
    <w:rsid w:val="005146B1"/>
    <w:rsid w:val="00515354"/>
    <w:rsid w:val="0052020D"/>
    <w:rsid w:val="005206D3"/>
    <w:rsid w:val="005221C3"/>
    <w:rsid w:val="00523C76"/>
    <w:rsid w:val="005252E8"/>
    <w:rsid w:val="00525F21"/>
    <w:rsid w:val="005267FD"/>
    <w:rsid w:val="00526CE9"/>
    <w:rsid w:val="00527C9C"/>
    <w:rsid w:val="0053002A"/>
    <w:rsid w:val="00530FCA"/>
    <w:rsid w:val="00531A77"/>
    <w:rsid w:val="005366EF"/>
    <w:rsid w:val="005425BE"/>
    <w:rsid w:val="005429AA"/>
    <w:rsid w:val="00542D29"/>
    <w:rsid w:val="00543DB7"/>
    <w:rsid w:val="00544D78"/>
    <w:rsid w:val="00545183"/>
    <w:rsid w:val="00550359"/>
    <w:rsid w:val="00550F99"/>
    <w:rsid w:val="00552015"/>
    <w:rsid w:val="00552DC2"/>
    <w:rsid w:val="00553EDF"/>
    <w:rsid w:val="00554436"/>
    <w:rsid w:val="0055524B"/>
    <w:rsid w:val="00556E02"/>
    <w:rsid w:val="00561688"/>
    <w:rsid w:val="00561B1A"/>
    <w:rsid w:val="005654BB"/>
    <w:rsid w:val="005731B1"/>
    <w:rsid w:val="0058053E"/>
    <w:rsid w:val="00582521"/>
    <w:rsid w:val="0058331C"/>
    <w:rsid w:val="0058354A"/>
    <w:rsid w:val="00583E8B"/>
    <w:rsid w:val="0058528B"/>
    <w:rsid w:val="00586B08"/>
    <w:rsid w:val="005875F7"/>
    <w:rsid w:val="005902A7"/>
    <w:rsid w:val="00591925"/>
    <w:rsid w:val="00593A67"/>
    <w:rsid w:val="00593F4B"/>
    <w:rsid w:val="005966B4"/>
    <w:rsid w:val="005A0879"/>
    <w:rsid w:val="005A0AD6"/>
    <w:rsid w:val="005A0D78"/>
    <w:rsid w:val="005A1728"/>
    <w:rsid w:val="005A1F1B"/>
    <w:rsid w:val="005A26FF"/>
    <w:rsid w:val="005A60A9"/>
    <w:rsid w:val="005A7974"/>
    <w:rsid w:val="005B0A3D"/>
    <w:rsid w:val="005B2359"/>
    <w:rsid w:val="005B3681"/>
    <w:rsid w:val="005C1314"/>
    <w:rsid w:val="005C17B7"/>
    <w:rsid w:val="005C23A0"/>
    <w:rsid w:val="005C2A31"/>
    <w:rsid w:val="005D0765"/>
    <w:rsid w:val="005D1538"/>
    <w:rsid w:val="005D43EA"/>
    <w:rsid w:val="005D60F9"/>
    <w:rsid w:val="005D6746"/>
    <w:rsid w:val="005D6D7C"/>
    <w:rsid w:val="005E0798"/>
    <w:rsid w:val="005E237A"/>
    <w:rsid w:val="005E2731"/>
    <w:rsid w:val="005E2A01"/>
    <w:rsid w:val="005E42ED"/>
    <w:rsid w:val="005E4822"/>
    <w:rsid w:val="005F16DA"/>
    <w:rsid w:val="005F2398"/>
    <w:rsid w:val="005F4A98"/>
    <w:rsid w:val="005F4C2D"/>
    <w:rsid w:val="005F4E70"/>
    <w:rsid w:val="005F5DF1"/>
    <w:rsid w:val="005F5F54"/>
    <w:rsid w:val="005F5F7C"/>
    <w:rsid w:val="005F7690"/>
    <w:rsid w:val="005F7850"/>
    <w:rsid w:val="006007DE"/>
    <w:rsid w:val="00600B9C"/>
    <w:rsid w:val="00602310"/>
    <w:rsid w:val="00606706"/>
    <w:rsid w:val="006067CA"/>
    <w:rsid w:val="00606E3C"/>
    <w:rsid w:val="00606EC0"/>
    <w:rsid w:val="00610883"/>
    <w:rsid w:val="006115C5"/>
    <w:rsid w:val="0061163C"/>
    <w:rsid w:val="00611A0F"/>
    <w:rsid w:val="00611C55"/>
    <w:rsid w:val="00617E54"/>
    <w:rsid w:val="00620DD0"/>
    <w:rsid w:val="00621EAB"/>
    <w:rsid w:val="006226C0"/>
    <w:rsid w:val="0062410F"/>
    <w:rsid w:val="006249BE"/>
    <w:rsid w:val="00630A47"/>
    <w:rsid w:val="00635D19"/>
    <w:rsid w:val="00635E67"/>
    <w:rsid w:val="006407A5"/>
    <w:rsid w:val="00640BEE"/>
    <w:rsid w:val="006432ED"/>
    <w:rsid w:val="00645015"/>
    <w:rsid w:val="00646688"/>
    <w:rsid w:val="00651C27"/>
    <w:rsid w:val="0065352B"/>
    <w:rsid w:val="00653813"/>
    <w:rsid w:val="00653E19"/>
    <w:rsid w:val="00654047"/>
    <w:rsid w:val="00654FE6"/>
    <w:rsid w:val="006624FF"/>
    <w:rsid w:val="00662B13"/>
    <w:rsid w:val="006647D3"/>
    <w:rsid w:val="00667A43"/>
    <w:rsid w:val="0067084B"/>
    <w:rsid w:val="0067355C"/>
    <w:rsid w:val="006735F5"/>
    <w:rsid w:val="00674423"/>
    <w:rsid w:val="006758BB"/>
    <w:rsid w:val="00682E24"/>
    <w:rsid w:val="006862B0"/>
    <w:rsid w:val="006878AD"/>
    <w:rsid w:val="00690236"/>
    <w:rsid w:val="00691BB9"/>
    <w:rsid w:val="006935FA"/>
    <w:rsid w:val="00694236"/>
    <w:rsid w:val="00694E6B"/>
    <w:rsid w:val="00696038"/>
    <w:rsid w:val="0069618B"/>
    <w:rsid w:val="006968EC"/>
    <w:rsid w:val="006A0E02"/>
    <w:rsid w:val="006A3F63"/>
    <w:rsid w:val="006A6A5A"/>
    <w:rsid w:val="006A72EF"/>
    <w:rsid w:val="006A794D"/>
    <w:rsid w:val="006B0CB5"/>
    <w:rsid w:val="006B3511"/>
    <w:rsid w:val="006B6D33"/>
    <w:rsid w:val="006B7424"/>
    <w:rsid w:val="006C4199"/>
    <w:rsid w:val="006C6083"/>
    <w:rsid w:val="006C791A"/>
    <w:rsid w:val="006D2EC2"/>
    <w:rsid w:val="006D47DF"/>
    <w:rsid w:val="006D6EA9"/>
    <w:rsid w:val="006D79CC"/>
    <w:rsid w:val="006E0D18"/>
    <w:rsid w:val="006E2CA3"/>
    <w:rsid w:val="006E32B9"/>
    <w:rsid w:val="006E37E9"/>
    <w:rsid w:val="006E49A2"/>
    <w:rsid w:val="006E52CB"/>
    <w:rsid w:val="006E561A"/>
    <w:rsid w:val="006F20FE"/>
    <w:rsid w:val="006F4288"/>
    <w:rsid w:val="006F4BFD"/>
    <w:rsid w:val="006F4D97"/>
    <w:rsid w:val="006F522F"/>
    <w:rsid w:val="006F5977"/>
    <w:rsid w:val="006F676B"/>
    <w:rsid w:val="00700977"/>
    <w:rsid w:val="00702079"/>
    <w:rsid w:val="00702FE1"/>
    <w:rsid w:val="00707634"/>
    <w:rsid w:val="0070789C"/>
    <w:rsid w:val="007127A7"/>
    <w:rsid w:val="00712CF4"/>
    <w:rsid w:val="00713764"/>
    <w:rsid w:val="007146D9"/>
    <w:rsid w:val="007150E8"/>
    <w:rsid w:val="00715E9E"/>
    <w:rsid w:val="00717624"/>
    <w:rsid w:val="00717990"/>
    <w:rsid w:val="007179F8"/>
    <w:rsid w:val="00721639"/>
    <w:rsid w:val="007220A2"/>
    <w:rsid w:val="00722439"/>
    <w:rsid w:val="00723C5A"/>
    <w:rsid w:val="00723D0F"/>
    <w:rsid w:val="00725824"/>
    <w:rsid w:val="00726611"/>
    <w:rsid w:val="0073066E"/>
    <w:rsid w:val="00730FA5"/>
    <w:rsid w:val="00731DE5"/>
    <w:rsid w:val="00731F8B"/>
    <w:rsid w:val="00731F93"/>
    <w:rsid w:val="00733353"/>
    <w:rsid w:val="007374F3"/>
    <w:rsid w:val="00737614"/>
    <w:rsid w:val="0074439A"/>
    <w:rsid w:val="00750225"/>
    <w:rsid w:val="00752835"/>
    <w:rsid w:val="00754754"/>
    <w:rsid w:val="00754ADA"/>
    <w:rsid w:val="00762C04"/>
    <w:rsid w:val="00764EF1"/>
    <w:rsid w:val="0077425D"/>
    <w:rsid w:val="007744C9"/>
    <w:rsid w:val="007773C1"/>
    <w:rsid w:val="007824A4"/>
    <w:rsid w:val="00782555"/>
    <w:rsid w:val="0078463F"/>
    <w:rsid w:val="00784A53"/>
    <w:rsid w:val="007914F0"/>
    <w:rsid w:val="00791D05"/>
    <w:rsid w:val="00792836"/>
    <w:rsid w:val="007A0952"/>
    <w:rsid w:val="007A10F5"/>
    <w:rsid w:val="007A35A1"/>
    <w:rsid w:val="007A37D0"/>
    <w:rsid w:val="007A4004"/>
    <w:rsid w:val="007A5956"/>
    <w:rsid w:val="007A5E34"/>
    <w:rsid w:val="007A6DAE"/>
    <w:rsid w:val="007A7F2B"/>
    <w:rsid w:val="007B30D5"/>
    <w:rsid w:val="007B35A0"/>
    <w:rsid w:val="007B3E08"/>
    <w:rsid w:val="007B55E7"/>
    <w:rsid w:val="007B676E"/>
    <w:rsid w:val="007B693D"/>
    <w:rsid w:val="007C020C"/>
    <w:rsid w:val="007C20B5"/>
    <w:rsid w:val="007C31CF"/>
    <w:rsid w:val="007C33B0"/>
    <w:rsid w:val="007C3809"/>
    <w:rsid w:val="007C38F9"/>
    <w:rsid w:val="007C436E"/>
    <w:rsid w:val="007C74AD"/>
    <w:rsid w:val="007D18E0"/>
    <w:rsid w:val="007D6F73"/>
    <w:rsid w:val="007D723A"/>
    <w:rsid w:val="007D7E56"/>
    <w:rsid w:val="007E187C"/>
    <w:rsid w:val="007E1ED6"/>
    <w:rsid w:val="007E221F"/>
    <w:rsid w:val="007E6B0C"/>
    <w:rsid w:val="007E748C"/>
    <w:rsid w:val="007E7BA4"/>
    <w:rsid w:val="007F07DA"/>
    <w:rsid w:val="007F2F5B"/>
    <w:rsid w:val="007F31DB"/>
    <w:rsid w:val="007F36EA"/>
    <w:rsid w:val="007F3EF2"/>
    <w:rsid w:val="007F4253"/>
    <w:rsid w:val="007F50B4"/>
    <w:rsid w:val="007F5817"/>
    <w:rsid w:val="007F7340"/>
    <w:rsid w:val="0080168D"/>
    <w:rsid w:val="00801AE9"/>
    <w:rsid w:val="00801AEC"/>
    <w:rsid w:val="00805DDF"/>
    <w:rsid w:val="00811CD3"/>
    <w:rsid w:val="0081425F"/>
    <w:rsid w:val="00814AF0"/>
    <w:rsid w:val="00815AF5"/>
    <w:rsid w:val="00815E63"/>
    <w:rsid w:val="00816477"/>
    <w:rsid w:val="008200B8"/>
    <w:rsid w:val="0082112E"/>
    <w:rsid w:val="00822BB4"/>
    <w:rsid w:val="00824E6D"/>
    <w:rsid w:val="00825B19"/>
    <w:rsid w:val="0082630E"/>
    <w:rsid w:val="00826DB3"/>
    <w:rsid w:val="00827B10"/>
    <w:rsid w:val="00830769"/>
    <w:rsid w:val="00835AF7"/>
    <w:rsid w:val="0084177D"/>
    <w:rsid w:val="00850649"/>
    <w:rsid w:val="00850829"/>
    <w:rsid w:val="00851DC5"/>
    <w:rsid w:val="008534B1"/>
    <w:rsid w:val="00853A7E"/>
    <w:rsid w:val="008557A4"/>
    <w:rsid w:val="00855902"/>
    <w:rsid w:val="00860B92"/>
    <w:rsid w:val="0086437A"/>
    <w:rsid w:val="00864DA2"/>
    <w:rsid w:val="00864DB4"/>
    <w:rsid w:val="00865908"/>
    <w:rsid w:val="00865E19"/>
    <w:rsid w:val="008676D2"/>
    <w:rsid w:val="008745D4"/>
    <w:rsid w:val="008757CD"/>
    <w:rsid w:val="00880478"/>
    <w:rsid w:val="0088341C"/>
    <w:rsid w:val="00883B9E"/>
    <w:rsid w:val="00883C75"/>
    <w:rsid w:val="008843CF"/>
    <w:rsid w:val="008849DF"/>
    <w:rsid w:val="0088673B"/>
    <w:rsid w:val="0088749E"/>
    <w:rsid w:val="008934FA"/>
    <w:rsid w:val="0089490A"/>
    <w:rsid w:val="008954A7"/>
    <w:rsid w:val="008A0219"/>
    <w:rsid w:val="008A2D46"/>
    <w:rsid w:val="008A4A73"/>
    <w:rsid w:val="008A669A"/>
    <w:rsid w:val="008A6CAD"/>
    <w:rsid w:val="008B0C8D"/>
    <w:rsid w:val="008B1711"/>
    <w:rsid w:val="008B4DBD"/>
    <w:rsid w:val="008C0D9C"/>
    <w:rsid w:val="008C0E9C"/>
    <w:rsid w:val="008C124D"/>
    <w:rsid w:val="008C13AA"/>
    <w:rsid w:val="008C1F72"/>
    <w:rsid w:val="008C45C2"/>
    <w:rsid w:val="008C5BAD"/>
    <w:rsid w:val="008C6CFA"/>
    <w:rsid w:val="008D1C6A"/>
    <w:rsid w:val="008D1EB6"/>
    <w:rsid w:val="008D2FCE"/>
    <w:rsid w:val="008D37B6"/>
    <w:rsid w:val="008D44E8"/>
    <w:rsid w:val="008D7BC1"/>
    <w:rsid w:val="008E006E"/>
    <w:rsid w:val="008E00BC"/>
    <w:rsid w:val="008E0B5B"/>
    <w:rsid w:val="008E18E3"/>
    <w:rsid w:val="008E265B"/>
    <w:rsid w:val="008E2D80"/>
    <w:rsid w:val="008E6E08"/>
    <w:rsid w:val="008F33BE"/>
    <w:rsid w:val="008F3E39"/>
    <w:rsid w:val="008F45B1"/>
    <w:rsid w:val="008F4B7B"/>
    <w:rsid w:val="008F5CD7"/>
    <w:rsid w:val="00901044"/>
    <w:rsid w:val="009025E5"/>
    <w:rsid w:val="00902E2E"/>
    <w:rsid w:val="009047D7"/>
    <w:rsid w:val="00906124"/>
    <w:rsid w:val="0090614E"/>
    <w:rsid w:val="009067D1"/>
    <w:rsid w:val="00907B5F"/>
    <w:rsid w:val="00910E40"/>
    <w:rsid w:val="0091176A"/>
    <w:rsid w:val="00911E6B"/>
    <w:rsid w:val="00912B69"/>
    <w:rsid w:val="00912F8F"/>
    <w:rsid w:val="009135FF"/>
    <w:rsid w:val="0091398E"/>
    <w:rsid w:val="00914D1D"/>
    <w:rsid w:val="00914EC7"/>
    <w:rsid w:val="00915292"/>
    <w:rsid w:val="0091532A"/>
    <w:rsid w:val="0091561E"/>
    <w:rsid w:val="00926137"/>
    <w:rsid w:val="00926F13"/>
    <w:rsid w:val="00927836"/>
    <w:rsid w:val="00931216"/>
    <w:rsid w:val="00931CAD"/>
    <w:rsid w:val="009329E4"/>
    <w:rsid w:val="00942C53"/>
    <w:rsid w:val="0094424D"/>
    <w:rsid w:val="009450D9"/>
    <w:rsid w:val="00946BF6"/>
    <w:rsid w:val="009470AF"/>
    <w:rsid w:val="0094775F"/>
    <w:rsid w:val="00947B1F"/>
    <w:rsid w:val="00950021"/>
    <w:rsid w:val="00950115"/>
    <w:rsid w:val="0095295E"/>
    <w:rsid w:val="009626E4"/>
    <w:rsid w:val="009628BB"/>
    <w:rsid w:val="00965390"/>
    <w:rsid w:val="00965591"/>
    <w:rsid w:val="00965EC0"/>
    <w:rsid w:val="00966745"/>
    <w:rsid w:val="00967CF0"/>
    <w:rsid w:val="009711E8"/>
    <w:rsid w:val="009720A7"/>
    <w:rsid w:val="00975074"/>
    <w:rsid w:val="009767FC"/>
    <w:rsid w:val="00976938"/>
    <w:rsid w:val="0097731E"/>
    <w:rsid w:val="009815B3"/>
    <w:rsid w:val="00981E87"/>
    <w:rsid w:val="00985669"/>
    <w:rsid w:val="00986287"/>
    <w:rsid w:val="009874F8"/>
    <w:rsid w:val="00991B5A"/>
    <w:rsid w:val="0099364F"/>
    <w:rsid w:val="00993770"/>
    <w:rsid w:val="00996A93"/>
    <w:rsid w:val="009973F3"/>
    <w:rsid w:val="00997F5D"/>
    <w:rsid w:val="009A300E"/>
    <w:rsid w:val="009A339F"/>
    <w:rsid w:val="009A6142"/>
    <w:rsid w:val="009B0432"/>
    <w:rsid w:val="009B0A28"/>
    <w:rsid w:val="009B2FFA"/>
    <w:rsid w:val="009B35D7"/>
    <w:rsid w:val="009B50ED"/>
    <w:rsid w:val="009B6E74"/>
    <w:rsid w:val="009B79C8"/>
    <w:rsid w:val="009C062B"/>
    <w:rsid w:val="009C0848"/>
    <w:rsid w:val="009C3E58"/>
    <w:rsid w:val="009C3F4F"/>
    <w:rsid w:val="009C6CB0"/>
    <w:rsid w:val="009C7252"/>
    <w:rsid w:val="009C7740"/>
    <w:rsid w:val="009D1C39"/>
    <w:rsid w:val="009D295E"/>
    <w:rsid w:val="009D38B9"/>
    <w:rsid w:val="009D46DC"/>
    <w:rsid w:val="009D494F"/>
    <w:rsid w:val="009D5700"/>
    <w:rsid w:val="009D5993"/>
    <w:rsid w:val="009E02C7"/>
    <w:rsid w:val="009E034C"/>
    <w:rsid w:val="009E111F"/>
    <w:rsid w:val="009E26EC"/>
    <w:rsid w:val="009E3190"/>
    <w:rsid w:val="009E4527"/>
    <w:rsid w:val="009E5E33"/>
    <w:rsid w:val="009E609B"/>
    <w:rsid w:val="009F062F"/>
    <w:rsid w:val="009F0E88"/>
    <w:rsid w:val="009F1045"/>
    <w:rsid w:val="009F2309"/>
    <w:rsid w:val="009F2825"/>
    <w:rsid w:val="009F44B9"/>
    <w:rsid w:val="009F6EE3"/>
    <w:rsid w:val="009F7D63"/>
    <w:rsid w:val="00A006D6"/>
    <w:rsid w:val="00A009D6"/>
    <w:rsid w:val="00A03DD0"/>
    <w:rsid w:val="00A10541"/>
    <w:rsid w:val="00A10BF4"/>
    <w:rsid w:val="00A11D9E"/>
    <w:rsid w:val="00A12098"/>
    <w:rsid w:val="00A1362F"/>
    <w:rsid w:val="00A1393B"/>
    <w:rsid w:val="00A13EAB"/>
    <w:rsid w:val="00A1709D"/>
    <w:rsid w:val="00A17337"/>
    <w:rsid w:val="00A206E2"/>
    <w:rsid w:val="00A22B02"/>
    <w:rsid w:val="00A251D2"/>
    <w:rsid w:val="00A25EC5"/>
    <w:rsid w:val="00A26535"/>
    <w:rsid w:val="00A26E63"/>
    <w:rsid w:val="00A3094C"/>
    <w:rsid w:val="00A30F01"/>
    <w:rsid w:val="00A42799"/>
    <w:rsid w:val="00A46BE1"/>
    <w:rsid w:val="00A50096"/>
    <w:rsid w:val="00A543F6"/>
    <w:rsid w:val="00A54B7F"/>
    <w:rsid w:val="00A564B9"/>
    <w:rsid w:val="00A57597"/>
    <w:rsid w:val="00A578D6"/>
    <w:rsid w:val="00A60AF7"/>
    <w:rsid w:val="00A634CB"/>
    <w:rsid w:val="00A64063"/>
    <w:rsid w:val="00A679C3"/>
    <w:rsid w:val="00A71D4E"/>
    <w:rsid w:val="00A72378"/>
    <w:rsid w:val="00A75363"/>
    <w:rsid w:val="00A76932"/>
    <w:rsid w:val="00A76EE6"/>
    <w:rsid w:val="00A774B5"/>
    <w:rsid w:val="00A77934"/>
    <w:rsid w:val="00A817DD"/>
    <w:rsid w:val="00A81BC5"/>
    <w:rsid w:val="00A858B3"/>
    <w:rsid w:val="00A87BCC"/>
    <w:rsid w:val="00A90805"/>
    <w:rsid w:val="00A9214C"/>
    <w:rsid w:val="00A9250E"/>
    <w:rsid w:val="00A92A67"/>
    <w:rsid w:val="00A93040"/>
    <w:rsid w:val="00A93487"/>
    <w:rsid w:val="00A95C4A"/>
    <w:rsid w:val="00AA1351"/>
    <w:rsid w:val="00AA3A25"/>
    <w:rsid w:val="00AA4417"/>
    <w:rsid w:val="00AA5805"/>
    <w:rsid w:val="00AA7A81"/>
    <w:rsid w:val="00AB17E4"/>
    <w:rsid w:val="00AC2D42"/>
    <w:rsid w:val="00AC5E08"/>
    <w:rsid w:val="00AC7B84"/>
    <w:rsid w:val="00AD0C99"/>
    <w:rsid w:val="00AD167D"/>
    <w:rsid w:val="00AD254F"/>
    <w:rsid w:val="00AD292A"/>
    <w:rsid w:val="00AD3190"/>
    <w:rsid w:val="00AD47BE"/>
    <w:rsid w:val="00AD4A28"/>
    <w:rsid w:val="00AD64FB"/>
    <w:rsid w:val="00AD6A0D"/>
    <w:rsid w:val="00AD7C63"/>
    <w:rsid w:val="00AE1860"/>
    <w:rsid w:val="00AE1F4F"/>
    <w:rsid w:val="00AE2EF1"/>
    <w:rsid w:val="00AE340D"/>
    <w:rsid w:val="00AE48AD"/>
    <w:rsid w:val="00AE6645"/>
    <w:rsid w:val="00AE7033"/>
    <w:rsid w:val="00AF1251"/>
    <w:rsid w:val="00AF487D"/>
    <w:rsid w:val="00AF74BD"/>
    <w:rsid w:val="00B03D8A"/>
    <w:rsid w:val="00B060A0"/>
    <w:rsid w:val="00B12524"/>
    <w:rsid w:val="00B12A7C"/>
    <w:rsid w:val="00B1320C"/>
    <w:rsid w:val="00B205B0"/>
    <w:rsid w:val="00B21C16"/>
    <w:rsid w:val="00B229AE"/>
    <w:rsid w:val="00B2586B"/>
    <w:rsid w:val="00B2725D"/>
    <w:rsid w:val="00B317CB"/>
    <w:rsid w:val="00B32189"/>
    <w:rsid w:val="00B3250A"/>
    <w:rsid w:val="00B3436F"/>
    <w:rsid w:val="00B36D7F"/>
    <w:rsid w:val="00B4244E"/>
    <w:rsid w:val="00B44451"/>
    <w:rsid w:val="00B4471E"/>
    <w:rsid w:val="00B45934"/>
    <w:rsid w:val="00B46B03"/>
    <w:rsid w:val="00B47602"/>
    <w:rsid w:val="00B47770"/>
    <w:rsid w:val="00B4786C"/>
    <w:rsid w:val="00B52153"/>
    <w:rsid w:val="00B548FA"/>
    <w:rsid w:val="00B54974"/>
    <w:rsid w:val="00B54ABF"/>
    <w:rsid w:val="00B55F05"/>
    <w:rsid w:val="00B61EB7"/>
    <w:rsid w:val="00B63815"/>
    <w:rsid w:val="00B64E40"/>
    <w:rsid w:val="00B64E49"/>
    <w:rsid w:val="00B66B20"/>
    <w:rsid w:val="00B677B2"/>
    <w:rsid w:val="00B6795A"/>
    <w:rsid w:val="00B7015D"/>
    <w:rsid w:val="00B70584"/>
    <w:rsid w:val="00B71D17"/>
    <w:rsid w:val="00B73B30"/>
    <w:rsid w:val="00B81072"/>
    <w:rsid w:val="00B8264E"/>
    <w:rsid w:val="00B83070"/>
    <w:rsid w:val="00B834FD"/>
    <w:rsid w:val="00B83BC6"/>
    <w:rsid w:val="00B85A4E"/>
    <w:rsid w:val="00B8792A"/>
    <w:rsid w:val="00B910D5"/>
    <w:rsid w:val="00B924BC"/>
    <w:rsid w:val="00B92BC4"/>
    <w:rsid w:val="00B92D37"/>
    <w:rsid w:val="00B948F8"/>
    <w:rsid w:val="00B94D56"/>
    <w:rsid w:val="00B96755"/>
    <w:rsid w:val="00B96940"/>
    <w:rsid w:val="00BA0F99"/>
    <w:rsid w:val="00BA136E"/>
    <w:rsid w:val="00BA28A1"/>
    <w:rsid w:val="00BA59E7"/>
    <w:rsid w:val="00BA686E"/>
    <w:rsid w:val="00BB10A3"/>
    <w:rsid w:val="00BB33B9"/>
    <w:rsid w:val="00BB3DE2"/>
    <w:rsid w:val="00BB6A43"/>
    <w:rsid w:val="00BB6B1B"/>
    <w:rsid w:val="00BB6C28"/>
    <w:rsid w:val="00BB712C"/>
    <w:rsid w:val="00BC088D"/>
    <w:rsid w:val="00BC0C91"/>
    <w:rsid w:val="00BC4B29"/>
    <w:rsid w:val="00BC52CF"/>
    <w:rsid w:val="00BC765B"/>
    <w:rsid w:val="00BC7EBC"/>
    <w:rsid w:val="00BD0055"/>
    <w:rsid w:val="00BD0611"/>
    <w:rsid w:val="00BD1602"/>
    <w:rsid w:val="00BD1F6E"/>
    <w:rsid w:val="00BD2B9B"/>
    <w:rsid w:val="00BD3D4E"/>
    <w:rsid w:val="00BD517A"/>
    <w:rsid w:val="00BE0932"/>
    <w:rsid w:val="00BE0E32"/>
    <w:rsid w:val="00BE5B68"/>
    <w:rsid w:val="00BE6F40"/>
    <w:rsid w:val="00BE7802"/>
    <w:rsid w:val="00BE7B1E"/>
    <w:rsid w:val="00BF0DA2"/>
    <w:rsid w:val="00BF1E3C"/>
    <w:rsid w:val="00BF3757"/>
    <w:rsid w:val="00BF38D4"/>
    <w:rsid w:val="00BF4680"/>
    <w:rsid w:val="00BF56AD"/>
    <w:rsid w:val="00BF77B3"/>
    <w:rsid w:val="00BF7C15"/>
    <w:rsid w:val="00C00A3C"/>
    <w:rsid w:val="00C01C02"/>
    <w:rsid w:val="00C03C15"/>
    <w:rsid w:val="00C0428C"/>
    <w:rsid w:val="00C07215"/>
    <w:rsid w:val="00C10224"/>
    <w:rsid w:val="00C134B5"/>
    <w:rsid w:val="00C13BCE"/>
    <w:rsid w:val="00C143C5"/>
    <w:rsid w:val="00C1711D"/>
    <w:rsid w:val="00C176D7"/>
    <w:rsid w:val="00C243E7"/>
    <w:rsid w:val="00C26830"/>
    <w:rsid w:val="00C26839"/>
    <w:rsid w:val="00C26EF8"/>
    <w:rsid w:val="00C2719B"/>
    <w:rsid w:val="00C279AC"/>
    <w:rsid w:val="00C30F60"/>
    <w:rsid w:val="00C31993"/>
    <w:rsid w:val="00C31B09"/>
    <w:rsid w:val="00C41750"/>
    <w:rsid w:val="00C422F3"/>
    <w:rsid w:val="00C42644"/>
    <w:rsid w:val="00C444C1"/>
    <w:rsid w:val="00C45692"/>
    <w:rsid w:val="00C47C25"/>
    <w:rsid w:val="00C50E34"/>
    <w:rsid w:val="00C51724"/>
    <w:rsid w:val="00C51E1B"/>
    <w:rsid w:val="00C525DF"/>
    <w:rsid w:val="00C5294D"/>
    <w:rsid w:val="00C540BC"/>
    <w:rsid w:val="00C56995"/>
    <w:rsid w:val="00C57E15"/>
    <w:rsid w:val="00C618D1"/>
    <w:rsid w:val="00C6504B"/>
    <w:rsid w:val="00C65267"/>
    <w:rsid w:val="00C66BE6"/>
    <w:rsid w:val="00C6750F"/>
    <w:rsid w:val="00C71328"/>
    <w:rsid w:val="00C72043"/>
    <w:rsid w:val="00C74F6A"/>
    <w:rsid w:val="00C7631F"/>
    <w:rsid w:val="00C77A23"/>
    <w:rsid w:val="00C8021B"/>
    <w:rsid w:val="00C8082A"/>
    <w:rsid w:val="00C84DF3"/>
    <w:rsid w:val="00C86A68"/>
    <w:rsid w:val="00C909A8"/>
    <w:rsid w:val="00C90DBC"/>
    <w:rsid w:val="00C92419"/>
    <w:rsid w:val="00C92967"/>
    <w:rsid w:val="00C9309E"/>
    <w:rsid w:val="00C93594"/>
    <w:rsid w:val="00C93F4D"/>
    <w:rsid w:val="00C9468D"/>
    <w:rsid w:val="00C97D83"/>
    <w:rsid w:val="00C97EE3"/>
    <w:rsid w:val="00CA0B07"/>
    <w:rsid w:val="00CA1C26"/>
    <w:rsid w:val="00CA3E17"/>
    <w:rsid w:val="00CA42D2"/>
    <w:rsid w:val="00CA4E46"/>
    <w:rsid w:val="00CA5F3F"/>
    <w:rsid w:val="00CB1400"/>
    <w:rsid w:val="00CB17A1"/>
    <w:rsid w:val="00CB39C1"/>
    <w:rsid w:val="00CB4B9D"/>
    <w:rsid w:val="00CB4C66"/>
    <w:rsid w:val="00CB7978"/>
    <w:rsid w:val="00CB7F77"/>
    <w:rsid w:val="00CC3EDE"/>
    <w:rsid w:val="00CC6FAB"/>
    <w:rsid w:val="00CD119E"/>
    <w:rsid w:val="00CD16B7"/>
    <w:rsid w:val="00CD2F16"/>
    <w:rsid w:val="00CD3187"/>
    <w:rsid w:val="00CD5884"/>
    <w:rsid w:val="00CE1D88"/>
    <w:rsid w:val="00CE38D6"/>
    <w:rsid w:val="00CE653F"/>
    <w:rsid w:val="00CE7D91"/>
    <w:rsid w:val="00D006C0"/>
    <w:rsid w:val="00D0122A"/>
    <w:rsid w:val="00D01C9F"/>
    <w:rsid w:val="00D02A08"/>
    <w:rsid w:val="00D02D38"/>
    <w:rsid w:val="00D0339D"/>
    <w:rsid w:val="00D06FB5"/>
    <w:rsid w:val="00D121D1"/>
    <w:rsid w:val="00D145CF"/>
    <w:rsid w:val="00D16CF0"/>
    <w:rsid w:val="00D21F60"/>
    <w:rsid w:val="00D23547"/>
    <w:rsid w:val="00D30409"/>
    <w:rsid w:val="00D3133C"/>
    <w:rsid w:val="00D332CE"/>
    <w:rsid w:val="00D346D1"/>
    <w:rsid w:val="00D36CB7"/>
    <w:rsid w:val="00D3707C"/>
    <w:rsid w:val="00D37525"/>
    <w:rsid w:val="00D37F36"/>
    <w:rsid w:val="00D421CB"/>
    <w:rsid w:val="00D4240A"/>
    <w:rsid w:val="00D43130"/>
    <w:rsid w:val="00D47C7C"/>
    <w:rsid w:val="00D500DF"/>
    <w:rsid w:val="00D5040F"/>
    <w:rsid w:val="00D507A2"/>
    <w:rsid w:val="00D51213"/>
    <w:rsid w:val="00D52058"/>
    <w:rsid w:val="00D53612"/>
    <w:rsid w:val="00D55DBE"/>
    <w:rsid w:val="00D56D31"/>
    <w:rsid w:val="00D62053"/>
    <w:rsid w:val="00D64151"/>
    <w:rsid w:val="00D65865"/>
    <w:rsid w:val="00D677AD"/>
    <w:rsid w:val="00D70D57"/>
    <w:rsid w:val="00D76BBF"/>
    <w:rsid w:val="00D775F5"/>
    <w:rsid w:val="00D81928"/>
    <w:rsid w:val="00D82099"/>
    <w:rsid w:val="00D82638"/>
    <w:rsid w:val="00D83626"/>
    <w:rsid w:val="00D83D64"/>
    <w:rsid w:val="00D847E2"/>
    <w:rsid w:val="00D84C29"/>
    <w:rsid w:val="00D9047B"/>
    <w:rsid w:val="00D90AB9"/>
    <w:rsid w:val="00D92FAA"/>
    <w:rsid w:val="00D93C57"/>
    <w:rsid w:val="00D94785"/>
    <w:rsid w:val="00D9580E"/>
    <w:rsid w:val="00DA19CB"/>
    <w:rsid w:val="00DA332E"/>
    <w:rsid w:val="00DA72CF"/>
    <w:rsid w:val="00DB5876"/>
    <w:rsid w:val="00DC02BE"/>
    <w:rsid w:val="00DC4B8F"/>
    <w:rsid w:val="00DD35D7"/>
    <w:rsid w:val="00DD362B"/>
    <w:rsid w:val="00DD476A"/>
    <w:rsid w:val="00DE590E"/>
    <w:rsid w:val="00DE6468"/>
    <w:rsid w:val="00DE73F6"/>
    <w:rsid w:val="00DF1DE8"/>
    <w:rsid w:val="00DF552C"/>
    <w:rsid w:val="00DF5781"/>
    <w:rsid w:val="00E0019F"/>
    <w:rsid w:val="00E01038"/>
    <w:rsid w:val="00E019C9"/>
    <w:rsid w:val="00E01DA7"/>
    <w:rsid w:val="00E063CA"/>
    <w:rsid w:val="00E07BAA"/>
    <w:rsid w:val="00E11463"/>
    <w:rsid w:val="00E11F39"/>
    <w:rsid w:val="00E11F5D"/>
    <w:rsid w:val="00E162A2"/>
    <w:rsid w:val="00E17A49"/>
    <w:rsid w:val="00E20A3F"/>
    <w:rsid w:val="00E20E62"/>
    <w:rsid w:val="00E221C8"/>
    <w:rsid w:val="00E24A88"/>
    <w:rsid w:val="00E30BE9"/>
    <w:rsid w:val="00E32D7E"/>
    <w:rsid w:val="00E34836"/>
    <w:rsid w:val="00E348DB"/>
    <w:rsid w:val="00E34F2D"/>
    <w:rsid w:val="00E36EC5"/>
    <w:rsid w:val="00E37B83"/>
    <w:rsid w:val="00E40FD4"/>
    <w:rsid w:val="00E44865"/>
    <w:rsid w:val="00E4625B"/>
    <w:rsid w:val="00E47A6F"/>
    <w:rsid w:val="00E50551"/>
    <w:rsid w:val="00E50B8F"/>
    <w:rsid w:val="00E50BB7"/>
    <w:rsid w:val="00E53470"/>
    <w:rsid w:val="00E54B3C"/>
    <w:rsid w:val="00E55D23"/>
    <w:rsid w:val="00E57AF3"/>
    <w:rsid w:val="00E57CB1"/>
    <w:rsid w:val="00E60187"/>
    <w:rsid w:val="00E60C1F"/>
    <w:rsid w:val="00E6161B"/>
    <w:rsid w:val="00E6267E"/>
    <w:rsid w:val="00E62BAC"/>
    <w:rsid w:val="00E6313A"/>
    <w:rsid w:val="00E643D8"/>
    <w:rsid w:val="00E655D6"/>
    <w:rsid w:val="00E65CE7"/>
    <w:rsid w:val="00E70D8D"/>
    <w:rsid w:val="00E72FB2"/>
    <w:rsid w:val="00E73A70"/>
    <w:rsid w:val="00E74555"/>
    <w:rsid w:val="00E74CFD"/>
    <w:rsid w:val="00E757F4"/>
    <w:rsid w:val="00E77292"/>
    <w:rsid w:val="00E77FD2"/>
    <w:rsid w:val="00E80F90"/>
    <w:rsid w:val="00E81A5A"/>
    <w:rsid w:val="00E81FD0"/>
    <w:rsid w:val="00E82724"/>
    <w:rsid w:val="00E82FA8"/>
    <w:rsid w:val="00E84AFB"/>
    <w:rsid w:val="00E865F2"/>
    <w:rsid w:val="00E9199B"/>
    <w:rsid w:val="00E937E9"/>
    <w:rsid w:val="00E93FD0"/>
    <w:rsid w:val="00E94EC1"/>
    <w:rsid w:val="00E958C3"/>
    <w:rsid w:val="00E96716"/>
    <w:rsid w:val="00EA1471"/>
    <w:rsid w:val="00EB3360"/>
    <w:rsid w:val="00EB53A5"/>
    <w:rsid w:val="00EC1335"/>
    <w:rsid w:val="00EC2557"/>
    <w:rsid w:val="00EC533D"/>
    <w:rsid w:val="00ED0CF1"/>
    <w:rsid w:val="00ED3E19"/>
    <w:rsid w:val="00ED408A"/>
    <w:rsid w:val="00EE1452"/>
    <w:rsid w:val="00EE2597"/>
    <w:rsid w:val="00EE32B4"/>
    <w:rsid w:val="00EE5A2D"/>
    <w:rsid w:val="00EE5B95"/>
    <w:rsid w:val="00EE6570"/>
    <w:rsid w:val="00EE7FA7"/>
    <w:rsid w:val="00EF005F"/>
    <w:rsid w:val="00EF04BD"/>
    <w:rsid w:val="00EF07D0"/>
    <w:rsid w:val="00EF189A"/>
    <w:rsid w:val="00EF28B4"/>
    <w:rsid w:val="00EF6DBB"/>
    <w:rsid w:val="00EF7024"/>
    <w:rsid w:val="00EF7A8D"/>
    <w:rsid w:val="00EF7A9B"/>
    <w:rsid w:val="00F0090F"/>
    <w:rsid w:val="00F0099A"/>
    <w:rsid w:val="00F00BA0"/>
    <w:rsid w:val="00F01083"/>
    <w:rsid w:val="00F0219F"/>
    <w:rsid w:val="00F03348"/>
    <w:rsid w:val="00F04D50"/>
    <w:rsid w:val="00F062F4"/>
    <w:rsid w:val="00F11028"/>
    <w:rsid w:val="00F16D27"/>
    <w:rsid w:val="00F17FDF"/>
    <w:rsid w:val="00F2050A"/>
    <w:rsid w:val="00F216B5"/>
    <w:rsid w:val="00F262FB"/>
    <w:rsid w:val="00F26F9A"/>
    <w:rsid w:val="00F31864"/>
    <w:rsid w:val="00F31D22"/>
    <w:rsid w:val="00F33C7E"/>
    <w:rsid w:val="00F358F5"/>
    <w:rsid w:val="00F35D7A"/>
    <w:rsid w:val="00F42473"/>
    <w:rsid w:val="00F4335F"/>
    <w:rsid w:val="00F45EA0"/>
    <w:rsid w:val="00F46C9E"/>
    <w:rsid w:val="00F475C8"/>
    <w:rsid w:val="00F509BB"/>
    <w:rsid w:val="00F55FE8"/>
    <w:rsid w:val="00F60A09"/>
    <w:rsid w:val="00F6213C"/>
    <w:rsid w:val="00F62EAF"/>
    <w:rsid w:val="00F665A0"/>
    <w:rsid w:val="00F71AB4"/>
    <w:rsid w:val="00F72DEB"/>
    <w:rsid w:val="00F731D9"/>
    <w:rsid w:val="00F7391C"/>
    <w:rsid w:val="00F74D61"/>
    <w:rsid w:val="00F75874"/>
    <w:rsid w:val="00F776D6"/>
    <w:rsid w:val="00F80D56"/>
    <w:rsid w:val="00F84A4F"/>
    <w:rsid w:val="00F84E3F"/>
    <w:rsid w:val="00F8511E"/>
    <w:rsid w:val="00F919D7"/>
    <w:rsid w:val="00F94439"/>
    <w:rsid w:val="00F95993"/>
    <w:rsid w:val="00F95F79"/>
    <w:rsid w:val="00FA2AFB"/>
    <w:rsid w:val="00FA34D7"/>
    <w:rsid w:val="00FA4087"/>
    <w:rsid w:val="00FA63B3"/>
    <w:rsid w:val="00FB0055"/>
    <w:rsid w:val="00FB4E81"/>
    <w:rsid w:val="00FC0ACA"/>
    <w:rsid w:val="00FC1B32"/>
    <w:rsid w:val="00FC2F6D"/>
    <w:rsid w:val="00FC3E20"/>
    <w:rsid w:val="00FC503E"/>
    <w:rsid w:val="00FC67EC"/>
    <w:rsid w:val="00FC7EF2"/>
    <w:rsid w:val="00FD2EAA"/>
    <w:rsid w:val="00FD4991"/>
    <w:rsid w:val="00FD5C0A"/>
    <w:rsid w:val="00FD6AE1"/>
    <w:rsid w:val="00FE02B4"/>
    <w:rsid w:val="00FE0D21"/>
    <w:rsid w:val="00FE0D6E"/>
    <w:rsid w:val="00FE2E31"/>
    <w:rsid w:val="00FE2FE2"/>
    <w:rsid w:val="00FE3E71"/>
    <w:rsid w:val="00FE7160"/>
    <w:rsid w:val="00FE7F10"/>
    <w:rsid w:val="00FF11A9"/>
    <w:rsid w:val="00FF1E62"/>
    <w:rsid w:val="00FF7223"/>
    <w:rsid w:val="01CB0C4F"/>
    <w:rsid w:val="049A1967"/>
    <w:rsid w:val="07BA62B3"/>
    <w:rsid w:val="0E8777FC"/>
    <w:rsid w:val="116342B2"/>
    <w:rsid w:val="16544164"/>
    <w:rsid w:val="16AA48F2"/>
    <w:rsid w:val="1A864550"/>
    <w:rsid w:val="1C16141D"/>
    <w:rsid w:val="1F0E4431"/>
    <w:rsid w:val="20653333"/>
    <w:rsid w:val="228E368B"/>
    <w:rsid w:val="268D5392"/>
    <w:rsid w:val="26C8536B"/>
    <w:rsid w:val="27000EFC"/>
    <w:rsid w:val="27A43A41"/>
    <w:rsid w:val="29B570DA"/>
    <w:rsid w:val="2B67592A"/>
    <w:rsid w:val="2C091017"/>
    <w:rsid w:val="2C486535"/>
    <w:rsid w:val="2F7B7265"/>
    <w:rsid w:val="3413690A"/>
    <w:rsid w:val="35654F55"/>
    <w:rsid w:val="366C3660"/>
    <w:rsid w:val="37844317"/>
    <w:rsid w:val="37D6701E"/>
    <w:rsid w:val="39927478"/>
    <w:rsid w:val="3BB31A99"/>
    <w:rsid w:val="3CD56241"/>
    <w:rsid w:val="3FE44DD2"/>
    <w:rsid w:val="3FEC4A80"/>
    <w:rsid w:val="44D07B86"/>
    <w:rsid w:val="48AE0586"/>
    <w:rsid w:val="49FF36A4"/>
    <w:rsid w:val="4B1451B1"/>
    <w:rsid w:val="4C40062D"/>
    <w:rsid w:val="4DE927B6"/>
    <w:rsid w:val="501160E5"/>
    <w:rsid w:val="530E2494"/>
    <w:rsid w:val="5363629A"/>
    <w:rsid w:val="541969E6"/>
    <w:rsid w:val="55E42E90"/>
    <w:rsid w:val="565B07EE"/>
    <w:rsid w:val="569F0646"/>
    <w:rsid w:val="57BF3072"/>
    <w:rsid w:val="589074D9"/>
    <w:rsid w:val="597048BB"/>
    <w:rsid w:val="5E990CA6"/>
    <w:rsid w:val="5F4E4A6A"/>
    <w:rsid w:val="5F5B0FDE"/>
    <w:rsid w:val="6ABE3E35"/>
    <w:rsid w:val="6AFE3735"/>
    <w:rsid w:val="6B1048E1"/>
    <w:rsid w:val="6BB51D09"/>
    <w:rsid w:val="6CCE4B92"/>
    <w:rsid w:val="6D540033"/>
    <w:rsid w:val="6F0B0E08"/>
    <w:rsid w:val="72B321D9"/>
    <w:rsid w:val="76E12E99"/>
    <w:rsid w:val="798278E9"/>
    <w:rsid w:val="7B902188"/>
    <w:rsid w:val="7BBD134D"/>
    <w:rsid w:val="7DD37A99"/>
    <w:rsid w:val="7FDD2E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400" w:lineRule="exact"/>
      <w:ind w:firstLine="200" w:firstLineChars="200"/>
      <w:jc w:val="both"/>
    </w:pPr>
    <w:rPr>
      <w:rFonts w:ascii="Times New Roman" w:hAnsi="Times New Roman" w:eastAsia="宋体" w:cstheme="minorBidi"/>
      <w:color w:val="000000"/>
      <w:kern w:val="2"/>
      <w:sz w:val="21"/>
      <w:szCs w:val="22"/>
      <w:lang w:val="en-US" w:eastAsia="zh-CN" w:bidi="ar-SA"/>
    </w:rPr>
  </w:style>
  <w:style w:type="paragraph" w:styleId="2">
    <w:name w:val="heading 1"/>
    <w:basedOn w:val="1"/>
    <w:next w:val="1"/>
    <w:link w:val="21"/>
    <w:autoRedefine/>
    <w:qFormat/>
    <w:uiPriority w:val="9"/>
    <w:pPr>
      <w:keepNext/>
      <w:keepLines/>
      <w:numPr>
        <w:ilvl w:val="0"/>
        <w:numId w:val="1"/>
      </w:numPr>
      <w:spacing w:before="312" w:beforeLines="100" w:after="312" w:afterLines="100" w:line="240" w:lineRule="auto"/>
      <w:ind w:firstLineChars="0"/>
      <w:outlineLvl w:val="0"/>
    </w:pPr>
    <w:rPr>
      <w:rFonts w:eastAsia="黑体"/>
      <w:bCs/>
      <w:kern w:val="44"/>
      <w:szCs w:val="44"/>
    </w:rPr>
  </w:style>
  <w:style w:type="paragraph" w:styleId="3">
    <w:name w:val="heading 2"/>
    <w:basedOn w:val="1"/>
    <w:next w:val="1"/>
    <w:link w:val="22"/>
    <w:autoRedefine/>
    <w:unhideWhenUsed/>
    <w:qFormat/>
    <w:uiPriority w:val="9"/>
    <w:pPr>
      <w:numPr>
        <w:ilvl w:val="1"/>
        <w:numId w:val="1"/>
      </w:numPr>
      <w:spacing w:before="156" w:beforeLines="50" w:after="156" w:afterLines="50" w:line="240" w:lineRule="auto"/>
      <w:ind w:firstLineChars="0"/>
      <w:outlineLvl w:val="1"/>
    </w:pPr>
    <w:rPr>
      <w:rFonts w:cstheme="majorBidi"/>
      <w:bCs/>
      <w:color w:val="auto"/>
      <w:szCs w:val="32"/>
    </w:rPr>
  </w:style>
  <w:style w:type="paragraph" w:styleId="4">
    <w:name w:val="heading 3"/>
    <w:basedOn w:val="1"/>
    <w:next w:val="1"/>
    <w:link w:val="26"/>
    <w:autoRedefine/>
    <w:unhideWhenUsed/>
    <w:qFormat/>
    <w:uiPriority w:val="9"/>
    <w:pPr>
      <w:numPr>
        <w:ilvl w:val="2"/>
        <w:numId w:val="1"/>
      </w:numPr>
      <w:ind w:left="0" w:firstLineChars="0"/>
      <w:outlineLvl w:val="2"/>
    </w:pPr>
    <w:rPr>
      <w:bCs/>
      <w:szCs w:val="32"/>
    </w:rPr>
  </w:style>
  <w:style w:type="character" w:default="1" w:styleId="15">
    <w:name w:val="Default Paragraph Font"/>
    <w:autoRedefine/>
    <w:semiHidden/>
    <w:unhideWhenUsed/>
    <w:qFormat/>
    <w:uiPriority w:val="1"/>
  </w:style>
  <w:style w:type="table" w:default="1" w:styleId="13">
    <w:name w:val="Normal Table"/>
    <w:autoRedefine/>
    <w:semiHidden/>
    <w:unhideWhenUsed/>
    <w:qFormat/>
    <w:uiPriority w:val="99"/>
    <w:tblPr>
      <w:tblCellMar>
        <w:top w:w="0" w:type="dxa"/>
        <w:left w:w="108" w:type="dxa"/>
        <w:bottom w:w="0" w:type="dxa"/>
        <w:right w:w="108" w:type="dxa"/>
      </w:tblCellMar>
    </w:tblPr>
  </w:style>
  <w:style w:type="paragraph" w:styleId="5">
    <w:name w:val="annotation text"/>
    <w:basedOn w:val="1"/>
    <w:link w:val="32"/>
    <w:autoRedefine/>
    <w:semiHidden/>
    <w:unhideWhenUsed/>
    <w:qFormat/>
    <w:uiPriority w:val="99"/>
    <w:pPr>
      <w:jc w:val="left"/>
    </w:pPr>
  </w:style>
  <w:style w:type="paragraph" w:styleId="6">
    <w:name w:val="Date"/>
    <w:basedOn w:val="1"/>
    <w:next w:val="1"/>
    <w:link w:val="25"/>
    <w:autoRedefine/>
    <w:semiHidden/>
    <w:unhideWhenUsed/>
    <w:qFormat/>
    <w:uiPriority w:val="99"/>
    <w:pPr>
      <w:ind w:left="100" w:leftChars="2500"/>
    </w:pPr>
  </w:style>
  <w:style w:type="paragraph" w:styleId="7">
    <w:name w:val="footer"/>
    <w:basedOn w:val="1"/>
    <w:link w:val="24"/>
    <w:autoRedefine/>
    <w:unhideWhenUsed/>
    <w:qFormat/>
    <w:uiPriority w:val="99"/>
    <w:pPr>
      <w:tabs>
        <w:tab w:val="center" w:pos="4153"/>
        <w:tab w:val="right" w:pos="8306"/>
      </w:tabs>
      <w:snapToGrid w:val="0"/>
      <w:spacing w:line="240" w:lineRule="atLeast"/>
      <w:jc w:val="left"/>
    </w:pPr>
    <w:rPr>
      <w:sz w:val="18"/>
      <w:szCs w:val="18"/>
    </w:rPr>
  </w:style>
  <w:style w:type="paragraph" w:styleId="8">
    <w:name w:val="header"/>
    <w:basedOn w:val="1"/>
    <w:link w:val="23"/>
    <w:autoRedefine/>
    <w:unhideWhenUsed/>
    <w:qFormat/>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9">
    <w:name w:val="toc 1"/>
    <w:basedOn w:val="1"/>
    <w:next w:val="1"/>
    <w:autoRedefine/>
    <w:unhideWhenUsed/>
    <w:qFormat/>
    <w:uiPriority w:val="39"/>
    <w:pPr>
      <w:ind w:firstLine="0" w:firstLineChars="0"/>
    </w:pPr>
  </w:style>
  <w:style w:type="paragraph" w:styleId="10">
    <w:name w:val="toc 2"/>
    <w:basedOn w:val="1"/>
    <w:next w:val="1"/>
    <w:autoRedefine/>
    <w:unhideWhenUsed/>
    <w:qFormat/>
    <w:uiPriority w:val="39"/>
    <w:pPr>
      <w:ind w:left="100" w:leftChars="100"/>
    </w:pPr>
  </w:style>
  <w:style w:type="paragraph" w:styleId="11">
    <w:name w:val="Normal (Web)"/>
    <w:basedOn w:val="1"/>
    <w:autoRedefine/>
    <w:qFormat/>
    <w:uiPriority w:val="0"/>
    <w:pPr>
      <w:spacing w:beforeAutospacing="1" w:afterAutospacing="1" w:line="440" w:lineRule="exact"/>
      <w:ind w:firstLine="420"/>
      <w:jc w:val="left"/>
    </w:pPr>
    <w:rPr>
      <w:rFonts w:cs="Times New Roman"/>
      <w:color w:val="auto"/>
      <w:kern w:val="0"/>
      <w:sz w:val="24"/>
      <w:szCs w:val="24"/>
    </w:rPr>
  </w:style>
  <w:style w:type="paragraph" w:styleId="12">
    <w:name w:val="annotation subject"/>
    <w:basedOn w:val="5"/>
    <w:next w:val="5"/>
    <w:link w:val="33"/>
    <w:autoRedefine/>
    <w:semiHidden/>
    <w:unhideWhenUsed/>
    <w:qFormat/>
    <w:uiPriority w:val="99"/>
    <w:rPr>
      <w:b/>
      <w:bCs/>
    </w:rPr>
  </w:style>
  <w:style w:type="table" w:styleId="14">
    <w:name w:val="Table Grid"/>
    <w:basedOn w:val="13"/>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FollowedHyperlink"/>
    <w:basedOn w:val="15"/>
    <w:autoRedefine/>
    <w:semiHidden/>
    <w:unhideWhenUsed/>
    <w:qFormat/>
    <w:uiPriority w:val="99"/>
    <w:rPr>
      <w:color w:val="333333"/>
      <w:u w:val="none"/>
    </w:rPr>
  </w:style>
  <w:style w:type="character" w:styleId="17">
    <w:name w:val="Hyperlink"/>
    <w:basedOn w:val="15"/>
    <w:autoRedefine/>
    <w:unhideWhenUsed/>
    <w:qFormat/>
    <w:uiPriority w:val="99"/>
    <w:rPr>
      <w:color w:val="0000FF"/>
      <w:u w:val="single"/>
    </w:rPr>
  </w:style>
  <w:style w:type="character" w:styleId="18">
    <w:name w:val="annotation reference"/>
    <w:basedOn w:val="15"/>
    <w:autoRedefine/>
    <w:semiHidden/>
    <w:unhideWhenUsed/>
    <w:qFormat/>
    <w:uiPriority w:val="99"/>
    <w:rPr>
      <w:sz w:val="21"/>
      <w:szCs w:val="21"/>
    </w:rPr>
  </w:style>
  <w:style w:type="paragraph" w:customStyle="1" w:styleId="19">
    <w:name w:val="图"/>
    <w:basedOn w:val="2"/>
    <w:next w:val="1"/>
    <w:link w:val="20"/>
    <w:autoRedefine/>
    <w:qFormat/>
    <w:uiPriority w:val="0"/>
    <w:pPr>
      <w:numPr>
        <w:ilvl w:val="5"/>
        <w:numId w:val="2"/>
      </w:numPr>
      <w:spacing w:before="0" w:after="0"/>
      <w:jc w:val="center"/>
    </w:pPr>
    <w:rPr>
      <w:b/>
    </w:rPr>
  </w:style>
  <w:style w:type="character" w:customStyle="1" w:styleId="20">
    <w:name w:val="图 字符"/>
    <w:basedOn w:val="21"/>
    <w:link w:val="19"/>
    <w:autoRedefine/>
    <w:qFormat/>
    <w:uiPriority w:val="0"/>
    <w:rPr>
      <w:rFonts w:ascii="Times New Roman" w:hAnsi="Times New Roman" w:eastAsia="黑体"/>
      <w:b/>
      <w:color w:val="000000"/>
      <w:kern w:val="44"/>
      <w:sz w:val="44"/>
      <w:szCs w:val="44"/>
    </w:rPr>
  </w:style>
  <w:style w:type="character" w:customStyle="1" w:styleId="21">
    <w:name w:val="标题 1 字符"/>
    <w:basedOn w:val="15"/>
    <w:link w:val="2"/>
    <w:autoRedefine/>
    <w:qFormat/>
    <w:uiPriority w:val="9"/>
    <w:rPr>
      <w:rFonts w:ascii="Times New Roman" w:hAnsi="Times New Roman" w:eastAsia="黑体"/>
      <w:bCs/>
      <w:color w:val="000000"/>
      <w:kern w:val="44"/>
      <w:szCs w:val="44"/>
    </w:rPr>
  </w:style>
  <w:style w:type="character" w:customStyle="1" w:styleId="22">
    <w:name w:val="标题 2 字符"/>
    <w:basedOn w:val="15"/>
    <w:link w:val="3"/>
    <w:autoRedefine/>
    <w:qFormat/>
    <w:uiPriority w:val="9"/>
    <w:rPr>
      <w:rFonts w:ascii="Times New Roman" w:hAnsi="Times New Roman" w:eastAsia="宋体" w:cstheme="majorBidi"/>
      <w:bCs/>
      <w:szCs w:val="32"/>
    </w:rPr>
  </w:style>
  <w:style w:type="character" w:customStyle="1" w:styleId="23">
    <w:name w:val="页眉 字符"/>
    <w:basedOn w:val="15"/>
    <w:link w:val="8"/>
    <w:autoRedefine/>
    <w:qFormat/>
    <w:uiPriority w:val="99"/>
    <w:rPr>
      <w:rFonts w:ascii="Times New Roman" w:hAnsi="Times New Roman" w:eastAsia="仿宋_GB2312"/>
      <w:color w:val="000000"/>
      <w:sz w:val="18"/>
      <w:szCs w:val="18"/>
    </w:rPr>
  </w:style>
  <w:style w:type="character" w:customStyle="1" w:styleId="24">
    <w:name w:val="页脚 字符"/>
    <w:basedOn w:val="15"/>
    <w:link w:val="7"/>
    <w:autoRedefine/>
    <w:qFormat/>
    <w:uiPriority w:val="99"/>
    <w:rPr>
      <w:rFonts w:ascii="Times New Roman" w:hAnsi="Times New Roman" w:eastAsia="仿宋_GB2312"/>
      <w:color w:val="000000"/>
      <w:sz w:val="18"/>
      <w:szCs w:val="18"/>
    </w:rPr>
  </w:style>
  <w:style w:type="character" w:customStyle="1" w:styleId="25">
    <w:name w:val="日期 字符"/>
    <w:basedOn w:val="15"/>
    <w:link w:val="6"/>
    <w:autoRedefine/>
    <w:semiHidden/>
    <w:qFormat/>
    <w:uiPriority w:val="99"/>
    <w:rPr>
      <w:rFonts w:ascii="Times New Roman" w:hAnsi="Times New Roman" w:eastAsia="仿宋_GB2312"/>
      <w:color w:val="000000"/>
      <w:sz w:val="32"/>
    </w:rPr>
  </w:style>
  <w:style w:type="character" w:customStyle="1" w:styleId="26">
    <w:name w:val="标题 3 字符"/>
    <w:basedOn w:val="15"/>
    <w:link w:val="4"/>
    <w:autoRedefine/>
    <w:qFormat/>
    <w:uiPriority w:val="9"/>
    <w:rPr>
      <w:rFonts w:ascii="Times New Roman" w:hAnsi="Times New Roman" w:eastAsia="宋体"/>
      <w:bCs/>
      <w:color w:val="000000"/>
      <w:szCs w:val="32"/>
    </w:rPr>
  </w:style>
  <w:style w:type="paragraph" w:styleId="27">
    <w:name w:val="List Paragraph"/>
    <w:basedOn w:val="1"/>
    <w:autoRedefine/>
    <w:qFormat/>
    <w:uiPriority w:val="34"/>
    <w:pPr>
      <w:ind w:firstLine="420"/>
    </w:pPr>
  </w:style>
  <w:style w:type="paragraph" w:customStyle="1" w:styleId="28">
    <w:name w:val="标准书眉_奇数页"/>
    <w:next w:val="1"/>
    <w:autoRedefine/>
    <w:qFormat/>
    <w:uiPriority w:val="0"/>
    <w:pPr>
      <w:tabs>
        <w:tab w:val="center" w:pos="4154"/>
        <w:tab w:val="right" w:pos="8306"/>
      </w:tabs>
      <w:spacing w:after="220"/>
      <w:jc w:val="right"/>
    </w:pPr>
    <w:rPr>
      <w:rFonts w:ascii="黑体" w:hAnsi="Times New Roman" w:eastAsia="黑体" w:cs="Times New Roman"/>
      <w:kern w:val="0"/>
      <w:sz w:val="21"/>
      <w:szCs w:val="21"/>
      <w:lang w:val="en-US" w:eastAsia="zh-CN" w:bidi="ar-SA"/>
    </w:rPr>
  </w:style>
  <w:style w:type="paragraph" w:customStyle="1" w:styleId="29">
    <w:name w:val="封面标准英文名称"/>
    <w:autoRedefine/>
    <w:qFormat/>
    <w:uiPriority w:val="0"/>
    <w:pPr>
      <w:widowControl w:val="0"/>
      <w:spacing w:before="370" w:line="400" w:lineRule="exact"/>
      <w:jc w:val="center"/>
    </w:pPr>
    <w:rPr>
      <w:rFonts w:ascii="Times New Roman" w:hAnsi="Times New Roman" w:eastAsia="宋体" w:cs="Times New Roman"/>
      <w:kern w:val="0"/>
      <w:sz w:val="28"/>
      <w:szCs w:val="20"/>
      <w:lang w:val="en-US" w:eastAsia="zh-CN" w:bidi="ar-SA"/>
    </w:rPr>
  </w:style>
  <w:style w:type="paragraph" w:customStyle="1" w:styleId="30">
    <w:name w:val="发布日期"/>
    <w:autoRedefine/>
    <w:qFormat/>
    <w:uiPriority w:val="0"/>
    <w:pPr>
      <w:framePr w:w="4000" w:h="473" w:hRule="exact" w:hSpace="180" w:vSpace="180" w:wrap="around" w:vAnchor="margin" w:hAnchor="margin" w:y="13511" w:anchorLock="1"/>
    </w:pPr>
    <w:rPr>
      <w:rFonts w:ascii="Times New Roman" w:hAnsi="Times New Roman" w:eastAsia="黑体" w:cs="Times New Roman"/>
      <w:kern w:val="0"/>
      <w:sz w:val="28"/>
      <w:szCs w:val="20"/>
      <w:lang w:val="en-US" w:eastAsia="zh-CN" w:bidi="ar-SA"/>
    </w:rPr>
  </w:style>
  <w:style w:type="paragraph" w:customStyle="1" w:styleId="31">
    <w:name w:val="实施日期"/>
    <w:basedOn w:val="30"/>
    <w:autoRedefine/>
    <w:qFormat/>
    <w:uiPriority w:val="0"/>
    <w:pPr>
      <w:framePr w:hSpace="0" w:wrap="around" w:xAlign="right"/>
      <w:jc w:val="right"/>
    </w:pPr>
  </w:style>
  <w:style w:type="character" w:customStyle="1" w:styleId="32">
    <w:name w:val="批注文字 字符"/>
    <w:basedOn w:val="15"/>
    <w:link w:val="5"/>
    <w:autoRedefine/>
    <w:semiHidden/>
    <w:qFormat/>
    <w:uiPriority w:val="99"/>
    <w:rPr>
      <w:rFonts w:ascii="Times New Roman" w:hAnsi="Times New Roman" w:eastAsia="宋体"/>
      <w:color w:val="000000"/>
    </w:rPr>
  </w:style>
  <w:style w:type="character" w:customStyle="1" w:styleId="33">
    <w:name w:val="批注主题 字符"/>
    <w:basedOn w:val="32"/>
    <w:link w:val="12"/>
    <w:autoRedefine/>
    <w:semiHidden/>
    <w:qFormat/>
    <w:uiPriority w:val="99"/>
    <w:rPr>
      <w:rFonts w:ascii="Times New Roman" w:hAnsi="Times New Roman" w:eastAsia="宋体"/>
      <w:b/>
      <w:bCs/>
      <w:color w:val="000000"/>
    </w:rPr>
  </w:style>
  <w:style w:type="paragraph" w:customStyle="1" w:styleId="34">
    <w:name w:val="Revision"/>
    <w:autoRedefine/>
    <w:hidden/>
    <w:semiHidden/>
    <w:qFormat/>
    <w:uiPriority w:val="99"/>
    <w:rPr>
      <w:rFonts w:ascii="Times New Roman" w:hAnsi="Times New Roman" w:eastAsia="宋体" w:cstheme="minorBidi"/>
      <w:color w:val="000000"/>
      <w:kern w:val="2"/>
      <w:sz w:val="21"/>
      <w:szCs w:val="22"/>
      <w:lang w:val="en-US" w:eastAsia="zh-CN" w:bidi="ar-SA"/>
    </w:rPr>
  </w:style>
  <w:style w:type="character" w:customStyle="1" w:styleId="35">
    <w:name w:val="tiaozhuan"/>
    <w:basedOn w:val="15"/>
    <w:autoRedefine/>
    <w:qFormat/>
    <w:uiPriority w:val="0"/>
    <w:rPr>
      <w:shd w:val="clear" w:fill="F1F1F1"/>
    </w:rPr>
  </w:style>
  <w:style w:type="character" w:customStyle="1" w:styleId="36">
    <w:name w:val="font11"/>
    <w:basedOn w:val="15"/>
    <w:autoRedefine/>
    <w:qFormat/>
    <w:uiPriority w:val="0"/>
    <w:rPr>
      <w:rFonts w:hint="eastAsia" w:ascii="宋体" w:hAnsi="宋体" w:eastAsia="宋体" w:cs="宋体"/>
      <w:color w:val="000000"/>
      <w:sz w:val="21"/>
      <w:szCs w:val="21"/>
      <w:u w:val="none"/>
    </w:rPr>
  </w:style>
  <w:style w:type="character" w:customStyle="1" w:styleId="37">
    <w:name w:val="font21"/>
    <w:basedOn w:val="15"/>
    <w:autoRedefine/>
    <w:qFormat/>
    <w:uiPriority w:val="0"/>
    <w:rPr>
      <w:rFonts w:hint="default" w:ascii="Times New Roman" w:hAnsi="Times New Roman" w:cs="Times New Roman"/>
      <w:color w:val="000000"/>
      <w:sz w:val="21"/>
      <w:szCs w:val="21"/>
      <w:u w:val="none"/>
    </w:rPr>
  </w:style>
  <w:style w:type="paragraph" w:customStyle="1" w:styleId="38">
    <w:name w:val="附录标识"/>
    <w:basedOn w:val="1"/>
    <w:next w:val="39"/>
    <w:autoRedefine/>
    <w:qFormat/>
    <w:uiPriority w:val="0"/>
    <w:pPr>
      <w:keepNext/>
      <w:widowControl/>
      <w:numPr>
        <w:ilvl w:val="0"/>
        <w:numId w:val="3"/>
      </w:numPr>
      <w:shd w:val="clear" w:color="FFFFFF" w:fill="FFFFFF"/>
      <w:tabs>
        <w:tab w:val="left" w:pos="360"/>
        <w:tab w:val="left" w:pos="6405"/>
      </w:tabs>
      <w:spacing w:before="640" w:after="280"/>
      <w:jc w:val="center"/>
      <w:outlineLvl w:val="0"/>
    </w:pPr>
    <w:rPr>
      <w:rFonts w:ascii="黑体" w:hAnsi="Times New Roman" w:eastAsia="黑体" w:cs="Times New Roman"/>
      <w:kern w:val="0"/>
      <w:szCs w:val="20"/>
    </w:rPr>
  </w:style>
  <w:style w:type="paragraph" w:customStyle="1" w:styleId="39">
    <w:name w:val="段"/>
    <w:autoRedefine/>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kern w:val="0"/>
      <w:sz w:val="21"/>
      <w:szCs w:val="20"/>
      <w:lang w:val="en-US" w:eastAsia="zh-CN" w:bidi="ar-SA"/>
    </w:rPr>
  </w:style>
  <w:style w:type="paragraph" w:customStyle="1" w:styleId="40">
    <w:name w:val="目次、标准名称标题"/>
    <w:basedOn w:val="1"/>
    <w:next w:val="39"/>
    <w:autoRedefine/>
    <w:qFormat/>
    <w:uiPriority w:val="0"/>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41">
    <w:name w:val="终结线"/>
    <w:basedOn w:val="1"/>
    <w:autoRedefine/>
    <w:qFormat/>
    <w:uiPriority w:val="0"/>
    <w:pPr>
      <w:framePr w:hSpace="181" w:vSpace="181" w:wrap="around" w:vAnchor="text" w:hAnchor="margin" w:xAlign="center" w:y="285"/>
    </w:pPr>
  </w:style>
  <w:style w:type="paragraph" w:customStyle="1" w:styleId="42">
    <w:name w:val="标准书脚_奇数页"/>
    <w:autoRedefine/>
    <w:qFormat/>
    <w:uiPriority w:val="0"/>
    <w:pPr>
      <w:spacing w:before="120"/>
      <w:ind w:right="198"/>
      <w:jc w:val="right"/>
    </w:pPr>
    <w:rPr>
      <w:rFonts w:ascii="宋体" w:hAnsi="Times New Roman" w:eastAsia="宋体" w:cs="Times New Roman"/>
      <w:sz w:val="18"/>
      <w:szCs w:val="18"/>
      <w:lang w:val="en-US" w:eastAsia="zh-CN" w:bidi="ar-SA"/>
    </w:rPr>
  </w:style>
  <w:style w:type="paragraph" w:customStyle="1" w:styleId="43">
    <w:name w:val="参考文献"/>
    <w:basedOn w:val="1"/>
    <w:next w:val="39"/>
    <w:autoRedefine/>
    <w:qFormat/>
    <w:uiPriority w:val="0"/>
    <w:pPr>
      <w:keepNext/>
      <w:pageBreakBefore/>
      <w:widowControl/>
      <w:shd w:val="clear" w:color="FFFFFF" w:fill="FFFFFF"/>
      <w:spacing w:before="640" w:after="200"/>
      <w:jc w:val="center"/>
      <w:outlineLvl w:val="0"/>
    </w:pPr>
    <w:rPr>
      <w:rFonts w:ascii="黑体" w:eastAsia="黑体"/>
      <w:kern w:val="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4" Type="http://schemas.openxmlformats.org/officeDocument/2006/relationships/fontTable" Target="fontTable.xml"/><Relationship Id="rId23" Type="http://schemas.openxmlformats.org/officeDocument/2006/relationships/customXml" Target="../customXml/item2.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oter" Target="footer9.xml"/><Relationship Id="rId18" Type="http://schemas.openxmlformats.org/officeDocument/2006/relationships/footer" Target="footer8.xml"/><Relationship Id="rId17" Type="http://schemas.openxmlformats.org/officeDocument/2006/relationships/header" Target="header6.xml"/><Relationship Id="rId16" Type="http://schemas.openxmlformats.org/officeDocument/2006/relationships/footer" Target="footer7.xml"/><Relationship Id="rId15" Type="http://schemas.openxmlformats.org/officeDocument/2006/relationships/footer" Target="footer6.xml"/><Relationship Id="rId14" Type="http://schemas.openxmlformats.org/officeDocument/2006/relationships/footer" Target="footer5.xml"/><Relationship Id="rId13" Type="http://schemas.openxmlformats.org/officeDocument/2006/relationships/header" Target="header5.xml"/><Relationship Id="rId12" Type="http://schemas.openxmlformats.org/officeDocument/2006/relationships/header" Target="header4.xml"/><Relationship Id="rId11" Type="http://schemas.openxmlformats.org/officeDocument/2006/relationships/header" Target="header3.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46E49E9-517E-4DC8-BFA6-D143E950B7B9}">
  <ds:schemaRefs/>
</ds:datastoreItem>
</file>

<file path=docProps/app.xml><?xml version="1.0" encoding="utf-8"?>
<Properties xmlns="http://schemas.openxmlformats.org/officeDocument/2006/extended-properties" xmlns:vt="http://schemas.openxmlformats.org/officeDocument/2006/docPropsVTypes">
  <Template>Normal.dotm</Template>
  <Pages>14</Pages>
  <Words>4711</Words>
  <Characters>5022</Characters>
  <Lines>99</Lines>
  <Paragraphs>27</Paragraphs>
  <TotalTime>0</TotalTime>
  <ScaleCrop>false</ScaleCrop>
  <LinksUpToDate>false</LinksUpToDate>
  <CharactersWithSpaces>5195</CharactersWithSpaces>
  <Application>WPS Office_12.1.0.17813_F1E327BC-269C-435d-A152-05C5408002CA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2021-08-30T09:05:00Z</dcterms:created>
  <dc:creator>Xv Ruicong</dc:creator>
  <cp:lastModifiedBy>党永辉</cp:lastModifiedBy>
  <cp:lastPrinted>2024-01-09T13:49:00Z</cp:lastPrinted>
  <dcterms:modified xsi:type="dcterms:W3CDTF">2024-08-12T10:00:07Z</dcterms:modified>
  <cp:revision>530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2052-12.1.0.17813</vt:lpwstr>
  </property>
  <property fmtid="{D5CDD505-2E9C-101B-9397-08002B2CF9AE}" pid="3" name="ICV">
    <vt:lpwstr>5FBF7B34BFD340C1AA2AE2F3C94C1755_13</vt:lpwstr>
  </property>
</Properties>
</file>