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D5FD0">
      <w:pPr>
        <w:pStyle w:val="60"/>
        <w:jc w:val="both"/>
        <w:rPr>
          <w:rFonts w:hint="eastAsia"/>
          <w:sz w:val="21"/>
          <w:szCs w:val="21"/>
          <w:highlight w:val="none"/>
        </w:rPr>
      </w:pPr>
      <w:bookmarkStart w:id="582" w:name="_GoBack"/>
      <w:bookmarkEnd w:id="582"/>
      <w:bookmarkStart w:id="0" w:name="_Toc19875"/>
      <w:bookmarkStart w:id="1" w:name="_Toc29748"/>
      <w:bookmarkStart w:id="2" w:name="_Toc13859"/>
      <w:bookmarkStart w:id="3" w:name="_Toc28834"/>
      <w:bookmarkStart w:id="4" w:name="_Toc16432"/>
      <w:bookmarkStart w:id="5" w:name="_Toc7820"/>
      <w:bookmarkStart w:id="6" w:name="_Toc18536"/>
      <w:bookmarkStart w:id="7" w:name="_Toc20628"/>
      <w:bookmarkStart w:id="8" w:name="_Toc18984"/>
      <w:bookmarkStart w:id="9" w:name="_Toc18846"/>
      <w:bookmarkStart w:id="10" w:name="_Toc18416"/>
      <w:bookmarkStart w:id="11" w:name="_Toc30216"/>
      <w:bookmarkStart w:id="12" w:name="_Toc17957"/>
      <w:r>
        <w:rPr>
          <w:rFonts w:hint="eastAsia"/>
          <w:sz w:val="21"/>
          <w:szCs w:val="21"/>
          <w:highlight w:val="none"/>
        </w:rPr>
        <w:t>ICS XX.XX</w:t>
      </w:r>
      <w:bookmarkEnd w:id="0"/>
      <w:bookmarkEnd w:id="1"/>
      <w:bookmarkEnd w:id="2"/>
      <w:bookmarkEnd w:id="3"/>
      <w:bookmarkEnd w:id="4"/>
      <w:bookmarkEnd w:id="5"/>
      <w:bookmarkEnd w:id="6"/>
      <w:bookmarkEnd w:id="7"/>
      <w:bookmarkEnd w:id="8"/>
      <w:bookmarkEnd w:id="9"/>
      <w:bookmarkEnd w:id="10"/>
      <w:bookmarkEnd w:id="11"/>
      <w:bookmarkEnd w:id="12"/>
    </w:p>
    <w:p w14:paraId="4D6DA4C5">
      <w:pPr>
        <w:pStyle w:val="25"/>
        <w:ind w:firstLine="0" w:firstLineChars="0"/>
        <w:rPr>
          <w:rFonts w:hint="eastAsia"/>
          <w:highlight w:val="none"/>
        </w:rPr>
      </w:pPr>
      <w:r>
        <w:rPr>
          <w:rFonts w:hint="eastAsia"/>
          <w:highlight w:val="none"/>
        </w:rPr>
        <w:t>XXX</w:t>
      </w:r>
    </w:p>
    <w:p w14:paraId="6C6521E8">
      <w:pPr>
        <w:pStyle w:val="25"/>
        <w:ind w:firstLine="0" w:firstLineChars="0"/>
        <w:jc w:val="distribute"/>
        <w:rPr>
          <w:rFonts w:hint="eastAsia" w:ascii="黑体" w:hAnsi="黑体" w:eastAsia="黑体"/>
          <w:sz w:val="48"/>
          <w:szCs w:val="48"/>
          <w:highlight w:val="none"/>
        </w:rPr>
      </w:pPr>
      <w:r>
        <w:rPr>
          <w:rFonts w:hint="eastAsia" w:ascii="黑体" w:hAnsi="黑体" w:eastAsia="黑体"/>
          <w:sz w:val="48"/>
          <w:szCs w:val="48"/>
          <w:highlight w:val="none"/>
        </w:rPr>
        <w:t>团体标准</w:t>
      </w:r>
    </w:p>
    <w:p w14:paraId="108D7DA1">
      <w:pPr>
        <w:pStyle w:val="25"/>
        <w:wordWrap w:val="0"/>
        <w:ind w:firstLine="0" w:firstLineChars="0"/>
        <w:jc w:val="right"/>
        <w:rPr>
          <w:rFonts w:hint="eastAsia" w:hAnsi="宋体"/>
          <w:color w:val="000000" w:themeColor="text1"/>
          <w:sz w:val="28"/>
          <w:szCs w:val="28"/>
          <w14:textFill>
            <w14:solidFill>
              <w14:schemeClr w14:val="tx1"/>
            </w14:solidFill>
          </w14:textFill>
        </w:rPr>
      </w:pPr>
      <w:r>
        <w:rPr>
          <w:rFonts w:ascii="Times New Roman"/>
          <w:color w:val="000000" w:themeColor="text1"/>
          <w:sz w:val="28"/>
          <w:szCs w:val="28"/>
          <w14:textFill>
            <w14:solidFill>
              <w14:schemeClr w14:val="tx1"/>
            </w14:solidFill>
          </w14:textFill>
        </w:rPr>
        <w:t>T/</w:t>
      </w:r>
      <w:r>
        <w:rPr>
          <w:rFonts w:hint="eastAsia" w:ascii="Times New Roman"/>
          <w:color w:val="000000" w:themeColor="text1"/>
          <w:sz w:val="28"/>
          <w:szCs w:val="28"/>
          <w14:textFill>
            <w14:solidFill>
              <w14:schemeClr w14:val="tx1"/>
            </w14:solidFill>
          </w14:textFill>
        </w:rPr>
        <w:t xml:space="preserve">CAGHPER </w:t>
      </w:r>
      <w:r>
        <w:rPr>
          <w:rFonts w:hint="eastAsia" w:hAnsi="宋体"/>
          <w:color w:val="000000" w:themeColor="text1"/>
          <w:sz w:val="28"/>
          <w:szCs w:val="28"/>
          <w14:textFill>
            <w14:solidFill>
              <w14:schemeClr w14:val="tx1"/>
            </w14:solidFill>
          </w14:textFill>
        </w:rPr>
        <w:t>XXX—XXXX</w:t>
      </w:r>
    </w:p>
    <w:p w14:paraId="696906A3">
      <w:pPr>
        <w:pStyle w:val="25"/>
        <w:wordWrap w:val="0"/>
        <w:ind w:firstLine="0" w:firstLineChars="0"/>
        <w:jc w:val="right"/>
        <w:rPr>
          <w:rFonts w:hint="eastAsia" w:hAnsi="宋体"/>
          <w:color w:val="000000"/>
          <w:sz w:val="28"/>
          <w:szCs w:val="28"/>
          <w:highlight w:val="none"/>
        </w:rPr>
      </w:pPr>
    </w:p>
    <w:p w14:paraId="61CAC412">
      <w:pPr>
        <w:pStyle w:val="25"/>
        <w:ind w:firstLine="0" w:firstLineChars="0"/>
        <w:jc w:val="right"/>
        <w:rPr>
          <w:rFonts w:ascii="Times New Roman"/>
          <w:szCs w:val="21"/>
          <w:highlight w:val="none"/>
        </w:rPr>
      </w:pPr>
    </w:p>
    <w:tbl>
      <w:tblPr>
        <w:tblStyle w:val="35"/>
        <w:tblW w:w="0" w:type="auto"/>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1A40F0B2">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noWrap w:val="0"/>
            <w:vAlign w:val="top"/>
          </w:tcPr>
          <w:p w14:paraId="00DA2A8C">
            <w:pPr>
              <w:pStyle w:val="25"/>
              <w:ind w:firstLine="0" w:firstLineChars="0"/>
              <w:rPr>
                <w:rFonts w:hint="eastAsia" w:ascii="黑体" w:hAnsi="黑体" w:eastAsia="黑体"/>
                <w:sz w:val="48"/>
                <w:szCs w:val="48"/>
                <w:highlight w:val="none"/>
              </w:rPr>
            </w:pPr>
          </w:p>
        </w:tc>
      </w:tr>
    </w:tbl>
    <w:p w14:paraId="1A20CC1C">
      <w:pPr>
        <w:pStyle w:val="25"/>
        <w:ind w:firstLine="0" w:firstLineChars="0"/>
        <w:rPr>
          <w:rFonts w:hint="eastAsia" w:ascii="黑体" w:hAnsi="黑体" w:eastAsia="黑体"/>
          <w:sz w:val="48"/>
          <w:szCs w:val="48"/>
          <w:highlight w:val="none"/>
        </w:rPr>
      </w:pPr>
    </w:p>
    <w:p w14:paraId="11CEC42F">
      <w:pPr>
        <w:pStyle w:val="25"/>
        <w:ind w:firstLine="0" w:firstLineChars="0"/>
        <w:jc w:val="distribute"/>
        <w:rPr>
          <w:rFonts w:hint="eastAsia" w:ascii="黑体" w:hAnsi="黑体" w:eastAsia="黑体"/>
          <w:sz w:val="48"/>
          <w:szCs w:val="48"/>
          <w:highlight w:val="none"/>
        </w:rPr>
      </w:pPr>
    </w:p>
    <w:p w14:paraId="7B31C15D">
      <w:pPr>
        <w:pStyle w:val="25"/>
        <w:ind w:firstLine="0" w:firstLineChars="0"/>
        <w:jc w:val="distribute"/>
        <w:rPr>
          <w:rFonts w:hint="eastAsia" w:ascii="黑体" w:hAnsi="黑体" w:eastAsia="黑体"/>
          <w:sz w:val="48"/>
          <w:szCs w:val="48"/>
          <w:highlight w:val="none"/>
        </w:rPr>
      </w:pPr>
    </w:p>
    <w:p w14:paraId="43AFBBB2">
      <w:pPr>
        <w:pStyle w:val="25"/>
        <w:ind w:firstLine="0" w:firstLineChars="0"/>
        <w:jc w:val="center"/>
        <w:rPr>
          <w:rFonts w:hint="eastAsia" w:ascii="黑体" w:hAnsi="黑体" w:eastAsia="黑体"/>
          <w:sz w:val="52"/>
          <w:szCs w:val="52"/>
          <w:highlight w:val="none"/>
          <w:lang w:eastAsia="zh-CN"/>
        </w:rPr>
      </w:pPr>
      <w:r>
        <w:rPr>
          <w:rFonts w:hint="eastAsia" w:ascii="黑体" w:hAnsi="黑体" w:eastAsia="黑体"/>
          <w:sz w:val="52"/>
          <w:szCs w:val="52"/>
          <w:highlight w:val="none"/>
          <w:lang w:eastAsia="zh-CN"/>
        </w:rPr>
        <w:t>典型生态单元生态现状调查评价规范</w:t>
      </w:r>
    </w:p>
    <w:p w14:paraId="24BB695D">
      <w:pPr>
        <w:pStyle w:val="25"/>
        <w:ind w:firstLine="0" w:firstLineChars="0"/>
        <w:jc w:val="center"/>
        <w:rPr>
          <w:rFonts w:hint="eastAsia" w:ascii="黑体" w:hAnsi="黑体" w:eastAsia="黑体" w:cs="Times New Roman"/>
          <w:sz w:val="28"/>
          <w:szCs w:val="28"/>
          <w:highlight w:val="none"/>
        </w:rPr>
      </w:pPr>
      <w:r>
        <w:rPr>
          <w:rFonts w:hint="eastAsia" w:ascii="黑体" w:hAnsi="黑体" w:eastAsia="黑体"/>
          <w:sz w:val="28"/>
          <w:szCs w:val="28"/>
          <w:highlight w:val="none"/>
          <w:shd w:val="clear" w:color="auto" w:fill="auto"/>
        </w:rPr>
        <w:t>Specification</w:t>
      </w:r>
      <w:r>
        <w:rPr>
          <w:rFonts w:hint="eastAsia" w:ascii="黑体" w:hAnsi="黑体" w:eastAsia="黑体" w:cs="Times New Roman"/>
          <w:i w:val="0"/>
          <w:iCs w:val="0"/>
          <w:caps w:val="0"/>
          <w:spacing w:val="0"/>
          <w:sz w:val="28"/>
          <w:szCs w:val="28"/>
          <w:highlight w:val="none"/>
          <w:shd w:val="clear" w:color="auto" w:fill="auto"/>
        </w:rPr>
        <w:t xml:space="preserve"> for </w:t>
      </w:r>
      <w:r>
        <w:rPr>
          <w:rFonts w:hint="eastAsia" w:ascii="黑体" w:hAnsi="黑体" w:eastAsia="黑体" w:cs="Times New Roman"/>
          <w:i w:val="0"/>
          <w:iCs w:val="0"/>
          <w:caps w:val="0"/>
          <w:spacing w:val="0"/>
          <w:sz w:val="28"/>
          <w:szCs w:val="28"/>
          <w:highlight w:val="none"/>
          <w:shd w:val="clear" w:color="auto" w:fill="auto"/>
          <w:lang w:val="en-US" w:eastAsia="zh-CN"/>
        </w:rPr>
        <w:t>i</w:t>
      </w:r>
      <w:r>
        <w:rPr>
          <w:rFonts w:hint="eastAsia" w:ascii="黑体" w:hAnsi="黑体" w:eastAsia="黑体" w:cs="Times New Roman"/>
          <w:i w:val="0"/>
          <w:iCs w:val="0"/>
          <w:caps w:val="0"/>
          <w:spacing w:val="0"/>
          <w:sz w:val="28"/>
          <w:szCs w:val="28"/>
          <w:highlight w:val="none"/>
          <w:shd w:val="clear" w:color="auto" w:fill="auto"/>
          <w:lang w:eastAsia="zh-CN"/>
        </w:rPr>
        <w:t>n</w:t>
      </w:r>
      <w:r>
        <w:rPr>
          <w:rFonts w:hint="eastAsia" w:ascii="黑体" w:hAnsi="黑体" w:eastAsia="黑体" w:cs="Times New Roman"/>
          <w:i w:val="0"/>
          <w:iCs w:val="0"/>
          <w:caps w:val="0"/>
          <w:spacing w:val="0"/>
          <w:sz w:val="28"/>
          <w:szCs w:val="28"/>
          <w:highlight w:val="none"/>
          <w:shd w:val="clear" w:color="auto" w:fill="auto"/>
        </w:rPr>
        <w:t>vestigatio</w:t>
      </w:r>
      <w:r>
        <w:rPr>
          <w:rFonts w:hint="eastAsia" w:ascii="黑体" w:hAnsi="黑体" w:eastAsia="黑体" w:cs="Times New Roman"/>
          <w:i w:val="0"/>
          <w:iCs w:val="0"/>
          <w:caps w:val="0"/>
          <w:spacing w:val="0"/>
          <w:sz w:val="28"/>
          <w:szCs w:val="28"/>
          <w:highlight w:val="none"/>
          <w:shd w:val="clear" w:color="auto" w:fill="auto"/>
          <w:lang w:eastAsia="zh-CN"/>
        </w:rPr>
        <w:t>n</w:t>
      </w:r>
      <w:r>
        <w:rPr>
          <w:rFonts w:hint="eastAsia" w:ascii="黑体" w:hAnsi="黑体" w:eastAsia="黑体" w:cs="Times New Roman"/>
          <w:i w:val="0"/>
          <w:iCs w:val="0"/>
          <w:caps w:val="0"/>
          <w:spacing w:val="0"/>
          <w:sz w:val="28"/>
          <w:szCs w:val="28"/>
          <w:highlight w:val="none"/>
          <w:shd w:val="clear" w:color="auto" w:fill="auto"/>
        </w:rPr>
        <w:t xml:space="preserve"> a</w:t>
      </w:r>
      <w:r>
        <w:rPr>
          <w:rFonts w:hint="eastAsia" w:ascii="黑体" w:hAnsi="黑体" w:eastAsia="黑体" w:cs="Times New Roman"/>
          <w:i w:val="0"/>
          <w:iCs w:val="0"/>
          <w:caps w:val="0"/>
          <w:spacing w:val="0"/>
          <w:sz w:val="28"/>
          <w:szCs w:val="28"/>
          <w:highlight w:val="none"/>
          <w:shd w:val="clear" w:color="auto" w:fill="auto"/>
          <w:lang w:eastAsia="zh-CN"/>
        </w:rPr>
        <w:t>n</w:t>
      </w:r>
      <w:r>
        <w:rPr>
          <w:rFonts w:hint="eastAsia" w:ascii="黑体" w:hAnsi="黑体" w:eastAsia="黑体" w:cs="Times New Roman"/>
          <w:i w:val="0"/>
          <w:iCs w:val="0"/>
          <w:caps w:val="0"/>
          <w:spacing w:val="0"/>
          <w:sz w:val="28"/>
          <w:szCs w:val="28"/>
          <w:highlight w:val="none"/>
          <w:shd w:val="clear" w:color="auto" w:fill="auto"/>
        </w:rPr>
        <w:t xml:space="preserve">d </w:t>
      </w:r>
      <w:r>
        <w:rPr>
          <w:rFonts w:hint="eastAsia" w:ascii="黑体" w:hAnsi="黑体" w:eastAsia="黑体" w:cs="Times New Roman"/>
          <w:i w:val="0"/>
          <w:iCs w:val="0"/>
          <w:caps w:val="0"/>
          <w:spacing w:val="0"/>
          <w:sz w:val="28"/>
          <w:szCs w:val="28"/>
          <w:highlight w:val="none"/>
          <w:shd w:val="clear" w:color="auto" w:fill="auto"/>
          <w:lang w:val="en-US" w:eastAsia="zh-CN"/>
        </w:rPr>
        <w:t>e</w:t>
      </w:r>
      <w:r>
        <w:rPr>
          <w:rFonts w:hint="eastAsia" w:ascii="黑体" w:hAnsi="黑体" w:eastAsia="黑体" w:cs="Times New Roman"/>
          <w:i w:val="0"/>
          <w:iCs w:val="0"/>
          <w:caps w:val="0"/>
          <w:spacing w:val="0"/>
          <w:sz w:val="28"/>
          <w:szCs w:val="28"/>
          <w:highlight w:val="none"/>
          <w:shd w:val="clear" w:color="auto" w:fill="auto"/>
        </w:rPr>
        <w:t>valuatio</w:t>
      </w:r>
      <w:r>
        <w:rPr>
          <w:rFonts w:hint="eastAsia" w:ascii="黑体" w:hAnsi="黑体" w:eastAsia="黑体" w:cs="Times New Roman"/>
          <w:i w:val="0"/>
          <w:iCs w:val="0"/>
          <w:caps w:val="0"/>
          <w:spacing w:val="0"/>
          <w:sz w:val="28"/>
          <w:szCs w:val="28"/>
          <w:highlight w:val="none"/>
          <w:shd w:val="clear" w:color="auto" w:fill="auto"/>
          <w:lang w:eastAsia="zh-CN"/>
        </w:rPr>
        <w:t>n</w:t>
      </w:r>
      <w:r>
        <w:rPr>
          <w:rFonts w:hint="eastAsia" w:ascii="黑体" w:hAnsi="黑体" w:eastAsia="黑体" w:cs="Times New Roman"/>
          <w:i w:val="0"/>
          <w:iCs w:val="0"/>
          <w:caps w:val="0"/>
          <w:spacing w:val="0"/>
          <w:sz w:val="28"/>
          <w:szCs w:val="28"/>
          <w:highlight w:val="none"/>
          <w:shd w:val="clear" w:color="auto" w:fill="auto"/>
        </w:rPr>
        <w:t xml:space="preserve"> of the </w:t>
      </w:r>
      <w:r>
        <w:rPr>
          <w:rFonts w:hint="eastAsia" w:ascii="黑体" w:hAnsi="黑体" w:eastAsia="黑体" w:cs="Times New Roman"/>
          <w:i w:val="0"/>
          <w:iCs w:val="0"/>
          <w:caps w:val="0"/>
          <w:spacing w:val="0"/>
          <w:sz w:val="28"/>
          <w:szCs w:val="28"/>
          <w:highlight w:val="none"/>
          <w:shd w:val="clear" w:color="auto" w:fill="auto"/>
          <w:lang w:val="en-US" w:eastAsia="zh-CN"/>
        </w:rPr>
        <w:t>e</w:t>
      </w:r>
      <w:r>
        <w:rPr>
          <w:rFonts w:hint="eastAsia" w:ascii="黑体" w:hAnsi="黑体" w:eastAsia="黑体" w:cs="Times New Roman"/>
          <w:i w:val="0"/>
          <w:iCs w:val="0"/>
          <w:caps w:val="0"/>
          <w:spacing w:val="0"/>
          <w:sz w:val="28"/>
          <w:szCs w:val="28"/>
          <w:highlight w:val="none"/>
          <w:shd w:val="clear" w:color="auto" w:fill="auto"/>
        </w:rPr>
        <w:t xml:space="preserve">cological </w:t>
      </w:r>
      <w:r>
        <w:rPr>
          <w:rFonts w:hint="eastAsia" w:ascii="黑体" w:hAnsi="黑体" w:eastAsia="黑体" w:cs="Times New Roman"/>
          <w:i w:val="0"/>
          <w:iCs w:val="0"/>
          <w:caps w:val="0"/>
          <w:spacing w:val="0"/>
          <w:sz w:val="28"/>
          <w:szCs w:val="28"/>
          <w:highlight w:val="none"/>
          <w:shd w:val="clear" w:color="auto" w:fill="auto"/>
          <w:lang w:val="en-US" w:eastAsia="zh-CN"/>
        </w:rPr>
        <w:t>s</w:t>
      </w:r>
      <w:r>
        <w:rPr>
          <w:rFonts w:hint="eastAsia" w:ascii="黑体" w:hAnsi="黑体" w:eastAsia="黑体" w:cs="Times New Roman"/>
          <w:i w:val="0"/>
          <w:iCs w:val="0"/>
          <w:caps w:val="0"/>
          <w:spacing w:val="0"/>
          <w:sz w:val="28"/>
          <w:szCs w:val="28"/>
          <w:highlight w:val="none"/>
          <w:shd w:val="clear" w:color="auto" w:fill="auto"/>
        </w:rPr>
        <w:t xml:space="preserve">tatus of </w:t>
      </w:r>
      <w:r>
        <w:rPr>
          <w:rFonts w:hint="eastAsia" w:ascii="黑体" w:hAnsi="黑体" w:eastAsia="黑体" w:cs="Times New Roman"/>
          <w:i w:val="0"/>
          <w:iCs w:val="0"/>
          <w:caps w:val="0"/>
          <w:spacing w:val="0"/>
          <w:sz w:val="28"/>
          <w:szCs w:val="28"/>
          <w:highlight w:val="none"/>
          <w:shd w:val="clear" w:color="auto" w:fill="auto"/>
          <w:lang w:val="en-US" w:eastAsia="zh-CN"/>
        </w:rPr>
        <w:t>t</w:t>
      </w:r>
      <w:r>
        <w:rPr>
          <w:rFonts w:hint="eastAsia" w:ascii="黑体" w:hAnsi="黑体" w:eastAsia="黑体" w:cs="Times New Roman"/>
          <w:i w:val="0"/>
          <w:iCs w:val="0"/>
          <w:caps w:val="0"/>
          <w:spacing w:val="0"/>
          <w:sz w:val="28"/>
          <w:szCs w:val="28"/>
          <w:highlight w:val="none"/>
          <w:shd w:val="clear" w:color="auto" w:fill="auto"/>
        </w:rPr>
        <w:t xml:space="preserve">ypical </w:t>
      </w:r>
      <w:r>
        <w:rPr>
          <w:rFonts w:hint="eastAsia" w:ascii="黑体" w:hAnsi="黑体" w:eastAsia="黑体" w:cs="Times New Roman"/>
          <w:i w:val="0"/>
          <w:iCs w:val="0"/>
          <w:caps w:val="0"/>
          <w:spacing w:val="0"/>
          <w:sz w:val="28"/>
          <w:szCs w:val="28"/>
          <w:highlight w:val="none"/>
          <w:shd w:val="clear" w:color="auto" w:fill="auto"/>
          <w:lang w:val="en-US" w:eastAsia="zh-CN"/>
        </w:rPr>
        <w:t>e</w:t>
      </w:r>
      <w:r>
        <w:rPr>
          <w:rFonts w:hint="eastAsia" w:ascii="黑体" w:hAnsi="黑体" w:eastAsia="黑体" w:cs="Times New Roman"/>
          <w:i w:val="0"/>
          <w:iCs w:val="0"/>
          <w:caps w:val="0"/>
          <w:spacing w:val="0"/>
          <w:sz w:val="28"/>
          <w:szCs w:val="28"/>
          <w:highlight w:val="none"/>
          <w:shd w:val="clear" w:color="auto" w:fill="auto"/>
        </w:rPr>
        <w:t xml:space="preserve">cological </w:t>
      </w:r>
      <w:r>
        <w:rPr>
          <w:rFonts w:hint="eastAsia" w:ascii="黑体" w:hAnsi="黑体" w:eastAsia="黑体" w:cs="Times New Roman"/>
          <w:i w:val="0"/>
          <w:iCs w:val="0"/>
          <w:caps w:val="0"/>
          <w:spacing w:val="0"/>
          <w:sz w:val="28"/>
          <w:szCs w:val="28"/>
          <w:highlight w:val="none"/>
          <w:shd w:val="clear" w:color="auto" w:fill="auto"/>
          <w:lang w:val="en-US" w:eastAsia="zh-CN"/>
        </w:rPr>
        <w:t>u</w:t>
      </w:r>
      <w:r>
        <w:rPr>
          <w:rFonts w:hint="eastAsia" w:ascii="黑体" w:hAnsi="黑体" w:eastAsia="黑体" w:cs="Times New Roman"/>
          <w:i w:val="0"/>
          <w:iCs w:val="0"/>
          <w:caps w:val="0"/>
          <w:spacing w:val="0"/>
          <w:sz w:val="28"/>
          <w:szCs w:val="28"/>
          <w:highlight w:val="none"/>
          <w:shd w:val="clear" w:color="auto" w:fill="auto"/>
          <w:lang w:eastAsia="zh-CN"/>
        </w:rPr>
        <w:t>n</w:t>
      </w:r>
      <w:r>
        <w:rPr>
          <w:rFonts w:hint="eastAsia" w:ascii="黑体" w:hAnsi="黑体" w:eastAsia="黑体" w:cs="Times New Roman"/>
          <w:i w:val="0"/>
          <w:iCs w:val="0"/>
          <w:caps w:val="0"/>
          <w:spacing w:val="0"/>
          <w:sz w:val="28"/>
          <w:szCs w:val="28"/>
          <w:highlight w:val="none"/>
          <w:shd w:val="clear" w:color="auto" w:fill="auto"/>
        </w:rPr>
        <w:t>its</w:t>
      </w:r>
    </w:p>
    <w:p w14:paraId="0018BE00">
      <w:pPr>
        <w:pStyle w:val="25"/>
        <w:ind w:firstLine="0" w:firstLineChars="0"/>
        <w:jc w:val="center"/>
        <w:rPr>
          <w:rFonts w:hint="eastAsia" w:hAnsi="宋体" w:eastAsia="宋体"/>
          <w:szCs w:val="21"/>
          <w:highlight w:val="none"/>
          <w:lang w:val="en-US" w:eastAsia="zh-CN"/>
        </w:rPr>
      </w:pPr>
      <w:r>
        <w:rPr>
          <w:rFonts w:hint="eastAsia" w:hAnsi="宋体"/>
          <w:szCs w:val="21"/>
          <w:highlight w:val="none"/>
        </w:rPr>
        <w:t>（</w:t>
      </w:r>
      <w:r>
        <w:rPr>
          <w:rFonts w:hint="eastAsia" w:hAnsi="宋体"/>
          <w:szCs w:val="21"/>
          <w:highlight w:val="none"/>
          <w:lang w:eastAsia="zh-CN"/>
        </w:rPr>
        <w:t>征求意见</w:t>
      </w:r>
      <w:r>
        <w:rPr>
          <w:rFonts w:hint="eastAsia" w:hAnsi="宋体"/>
          <w:szCs w:val="21"/>
          <w:highlight w:val="none"/>
        </w:rPr>
        <w:t>稿）</w:t>
      </w:r>
      <w:r>
        <w:rPr>
          <w:rFonts w:hint="eastAsia" w:hAnsi="宋体"/>
          <w:szCs w:val="21"/>
          <w:highlight w:val="none"/>
          <w:lang w:val="en-US" w:eastAsia="zh-CN"/>
        </w:rPr>
        <w:t xml:space="preserve"> </w:t>
      </w:r>
    </w:p>
    <w:p w14:paraId="2E2883F9">
      <w:pPr>
        <w:pStyle w:val="25"/>
        <w:ind w:firstLine="0" w:firstLineChars="0"/>
        <w:jc w:val="center"/>
        <w:rPr>
          <w:rFonts w:hint="eastAsia" w:ascii="Times New Roman" w:eastAsia="黑体"/>
          <w:sz w:val="28"/>
          <w:szCs w:val="28"/>
          <w:highlight w:val="none"/>
        </w:rPr>
      </w:pPr>
    </w:p>
    <w:p w14:paraId="4B24148E">
      <w:pPr>
        <w:pStyle w:val="25"/>
        <w:ind w:firstLine="0" w:firstLineChars="0"/>
        <w:jc w:val="center"/>
        <w:rPr>
          <w:rFonts w:hint="eastAsia" w:ascii="Times New Roman" w:eastAsia="黑体"/>
          <w:sz w:val="28"/>
          <w:szCs w:val="28"/>
          <w:highlight w:val="none"/>
        </w:rPr>
      </w:pPr>
    </w:p>
    <w:p w14:paraId="59FB7BE7">
      <w:pPr>
        <w:pStyle w:val="25"/>
        <w:ind w:firstLine="0" w:firstLineChars="0"/>
        <w:jc w:val="center"/>
        <w:rPr>
          <w:rFonts w:hint="eastAsia" w:ascii="Times New Roman" w:eastAsia="黑体"/>
          <w:sz w:val="28"/>
          <w:szCs w:val="28"/>
          <w:highlight w:val="none"/>
        </w:rPr>
      </w:pPr>
    </w:p>
    <w:p w14:paraId="6434AA42">
      <w:pPr>
        <w:pStyle w:val="25"/>
        <w:ind w:firstLine="0" w:firstLineChars="0"/>
        <w:jc w:val="center"/>
        <w:rPr>
          <w:rFonts w:hint="eastAsia" w:ascii="Times New Roman" w:eastAsia="黑体"/>
          <w:sz w:val="28"/>
          <w:szCs w:val="28"/>
          <w:highlight w:val="none"/>
        </w:rPr>
      </w:pPr>
    </w:p>
    <w:p w14:paraId="1775BE6D">
      <w:pPr>
        <w:pStyle w:val="25"/>
        <w:ind w:firstLine="0" w:firstLineChars="0"/>
        <w:jc w:val="center"/>
        <w:rPr>
          <w:rFonts w:hint="eastAsia" w:ascii="Times New Roman" w:eastAsia="黑体"/>
          <w:sz w:val="28"/>
          <w:szCs w:val="28"/>
          <w:highlight w:val="none"/>
        </w:rPr>
      </w:pPr>
    </w:p>
    <w:p w14:paraId="7028F0B4">
      <w:pPr>
        <w:pStyle w:val="25"/>
        <w:ind w:firstLine="0" w:firstLineChars="0"/>
        <w:rPr>
          <w:rFonts w:hint="eastAsia" w:ascii="Times New Roman" w:eastAsia="黑体"/>
          <w:sz w:val="28"/>
          <w:szCs w:val="28"/>
          <w:highlight w:val="none"/>
        </w:rPr>
      </w:pPr>
    </w:p>
    <w:tbl>
      <w:tblPr>
        <w:tblStyle w:val="35"/>
        <w:tblW w:w="0" w:type="auto"/>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26F73CEF">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noWrap w:val="0"/>
            <w:vAlign w:val="top"/>
          </w:tcPr>
          <w:p w14:paraId="49B4822F">
            <w:pPr>
              <w:pStyle w:val="25"/>
              <w:ind w:firstLine="0" w:firstLineChars="0"/>
              <w:rPr>
                <w:rFonts w:ascii="黑体" w:hAnsi="黑体" w:eastAsia="黑体"/>
                <w:sz w:val="28"/>
                <w:szCs w:val="28"/>
                <w:highlight w:val="none"/>
              </w:rPr>
            </w:pPr>
            <w:r>
              <w:rPr>
                <w:rFonts w:hint="eastAsia" w:ascii="黑体" w:hAnsi="黑体" w:eastAsia="黑体"/>
                <w:sz w:val="28"/>
                <w:szCs w:val="28"/>
                <w:highlight w:val="none"/>
              </w:rPr>
              <w:t xml:space="preserve">XXXX-XX-XX发布                       </w:t>
            </w:r>
            <w:r>
              <w:rPr>
                <w:rFonts w:hint="eastAsia" w:ascii="黑体" w:hAnsi="黑体" w:eastAsia="黑体"/>
                <w:sz w:val="28"/>
                <w:szCs w:val="28"/>
                <w:highlight w:val="none"/>
                <w:lang w:val="en-US" w:eastAsia="zh-CN"/>
              </w:rPr>
              <w:t xml:space="preserve">            </w:t>
            </w:r>
            <w:r>
              <w:rPr>
                <w:rFonts w:hint="eastAsia" w:ascii="黑体" w:hAnsi="黑体" w:eastAsia="黑体"/>
                <w:sz w:val="28"/>
                <w:szCs w:val="28"/>
                <w:highlight w:val="none"/>
              </w:rPr>
              <w:t xml:space="preserve">   XXXX-XX-XX实施</w:t>
            </w:r>
          </w:p>
        </w:tc>
      </w:tr>
    </w:tbl>
    <w:p w14:paraId="6A1C34F2">
      <w:pPr>
        <w:pStyle w:val="25"/>
        <w:ind w:firstLine="560"/>
        <w:jc w:val="center"/>
        <w:rPr>
          <w:rFonts w:hint="eastAsia" w:ascii="Times New Roman" w:eastAsia="黑体"/>
          <w:sz w:val="28"/>
          <w:szCs w:val="28"/>
          <w:highlight w:val="none"/>
        </w:rPr>
      </w:pPr>
    </w:p>
    <w:p w14:paraId="3575D324">
      <w:pPr>
        <w:pStyle w:val="25"/>
        <w:ind w:firstLine="560"/>
        <w:jc w:val="center"/>
        <w:rPr>
          <w:rFonts w:hint="eastAsia"/>
          <w:highlight w:val="none"/>
        </w:rPr>
      </w:pPr>
      <w:r>
        <w:rPr>
          <w:rFonts w:hint="eastAsia" w:ascii="Times New Roman" w:eastAsia="黑体"/>
          <w:sz w:val="28"/>
          <w:szCs w:val="28"/>
          <w:highlight w:val="none"/>
        </w:rPr>
        <w:t>中国地质灾害防治与生态修复协会  发布</w:t>
      </w:r>
    </w:p>
    <w:p w14:paraId="5B7E8AE1">
      <w:pPr>
        <w:pStyle w:val="25"/>
        <w:rPr>
          <w:highlight w:val="none"/>
        </w:rPr>
      </w:pPr>
    </w:p>
    <w:p w14:paraId="72589AE6">
      <w:pPr>
        <w:pStyle w:val="25"/>
        <w:rPr>
          <w:highlight w:val="none"/>
        </w:rPr>
        <w:sectPr>
          <w:headerReference r:id="rId3" w:type="even"/>
          <w:footerReference r:id="rId4" w:type="even"/>
          <w:pgSz w:w="11906" w:h="16838"/>
          <w:pgMar w:top="567" w:right="850" w:bottom="1134" w:left="1417" w:header="0" w:footer="0" w:gutter="0"/>
          <w:pgNumType w:fmt="upperRoman" w:start="1"/>
          <w:cols w:space="720" w:num="1"/>
          <w:docGrid w:type="lines" w:linePitch="312" w:charSpace="0"/>
        </w:sectPr>
      </w:pPr>
    </w:p>
    <w:p w14:paraId="3E3B699B">
      <w:pPr>
        <w:pStyle w:val="25"/>
        <w:rPr>
          <w:highlight w:val="none"/>
        </w:rPr>
        <w:sectPr>
          <w:pgSz w:w="11906" w:h="16838"/>
          <w:pgMar w:top="567" w:right="850" w:bottom="1134" w:left="1417" w:header="0" w:footer="0" w:gutter="0"/>
          <w:pgNumType w:fmt="upperRoman" w:start="1"/>
          <w:cols w:space="720" w:num="1"/>
          <w:docGrid w:type="lines" w:linePitch="312" w:charSpace="0"/>
        </w:sectPr>
      </w:pPr>
    </w:p>
    <w:p w14:paraId="232D77BF">
      <w:pPr>
        <w:pStyle w:val="60"/>
        <w:rPr>
          <w:rFonts w:hint="eastAsia"/>
          <w:highlight w:val="none"/>
        </w:rPr>
      </w:pPr>
      <w:bookmarkStart w:id="13" w:name="_Toc1651"/>
      <w:bookmarkStart w:id="14" w:name="_Toc26456"/>
      <w:bookmarkStart w:id="15" w:name="_Toc21709"/>
      <w:bookmarkStart w:id="16" w:name="_Toc6997"/>
      <w:bookmarkStart w:id="17" w:name="_Toc17905"/>
      <w:bookmarkStart w:id="18" w:name="_Toc29176"/>
      <w:bookmarkStart w:id="19" w:name="_Toc3138"/>
      <w:bookmarkStart w:id="20" w:name="_Toc26592"/>
      <w:bookmarkStart w:id="21" w:name="_Toc22241"/>
      <w:bookmarkStart w:id="22" w:name="_Toc28909"/>
      <w:bookmarkStart w:id="23" w:name="_Toc7805"/>
      <w:bookmarkStart w:id="24" w:name="_Toc10747"/>
      <w:bookmarkStart w:id="25" w:name="_Toc3091"/>
      <w:r>
        <w:rPr>
          <w:rFonts w:hint="eastAsia"/>
          <w:highlight w:val="none"/>
        </w:rPr>
        <w:t>目</w:t>
      </w:r>
      <w:bookmarkStart w:id="26" w:name="BKML"/>
      <w:r>
        <w:rPr>
          <w:rFonts w:hAnsi="黑体"/>
          <w:highlight w:val="none"/>
        </w:rPr>
        <w:t>  </w:t>
      </w:r>
      <w:r>
        <w:rPr>
          <w:rFonts w:hint="eastAsia"/>
          <w:highlight w:val="none"/>
        </w:rPr>
        <w:t>次</w:t>
      </w:r>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52FED5EF">
      <w:pPr>
        <w:pStyle w:val="21"/>
        <w:tabs>
          <w:tab w:val="right" w:leader="dot" w:pos="9355"/>
          <w:tab w:val="clear" w:pos="9241"/>
        </w:tabs>
      </w:pPr>
      <w:r>
        <w:rPr>
          <w:sz w:val="21"/>
          <w:szCs w:val="21"/>
          <w:highlight w:val="none"/>
        </w:rPr>
        <w:fldChar w:fldCharType="begin"/>
      </w:r>
      <w:r>
        <w:rPr>
          <w:sz w:val="21"/>
          <w:szCs w:val="21"/>
          <w:highlight w:val="none"/>
        </w:rPr>
        <w:instrText xml:space="preserve">TOC \o "1-3" \h \u </w:instrText>
      </w:r>
      <w:r>
        <w:rPr>
          <w:sz w:val="21"/>
          <w:szCs w:val="21"/>
          <w:highlight w:val="none"/>
        </w:rPr>
        <w:fldChar w:fldCharType="separate"/>
      </w:r>
    </w:p>
    <w:p w14:paraId="32CE858C">
      <w:pPr>
        <w:pStyle w:val="21"/>
        <w:tabs>
          <w:tab w:val="right" w:leader="dot" w:pos="9355"/>
          <w:tab w:val="clear" w:pos="9241"/>
        </w:tabs>
      </w:pPr>
      <w:r>
        <w:rPr>
          <w:szCs w:val="21"/>
          <w:highlight w:val="none"/>
        </w:rPr>
        <w:fldChar w:fldCharType="begin"/>
      </w:r>
      <w:r>
        <w:rPr>
          <w:szCs w:val="21"/>
          <w:highlight w:val="none"/>
        </w:rPr>
        <w:instrText xml:space="preserve"> HYPERLINK \l _Toc20328 </w:instrText>
      </w:r>
      <w:r>
        <w:rPr>
          <w:szCs w:val="21"/>
          <w:highlight w:val="none"/>
        </w:rPr>
        <w:fldChar w:fldCharType="separate"/>
      </w:r>
      <w:r>
        <w:rPr>
          <w:rFonts w:hint="eastAsia"/>
          <w:highlight w:val="none"/>
        </w:rPr>
        <w:t>前</w:t>
      </w:r>
      <w:r>
        <w:rPr>
          <w:rFonts w:hAnsi="黑体"/>
          <w:highlight w:val="none"/>
        </w:rPr>
        <w:t>  </w:t>
      </w:r>
      <w:r>
        <w:rPr>
          <w:rFonts w:hint="eastAsia"/>
          <w:highlight w:val="none"/>
        </w:rPr>
        <w:t>言</w:t>
      </w:r>
      <w:r>
        <w:tab/>
      </w:r>
      <w:r>
        <w:fldChar w:fldCharType="begin"/>
      </w:r>
      <w:r>
        <w:instrText xml:space="preserve"> PAGEREF _Toc20328 \h </w:instrText>
      </w:r>
      <w:r>
        <w:fldChar w:fldCharType="separate"/>
      </w:r>
      <w:r>
        <w:t>I</w:t>
      </w:r>
      <w:r>
        <w:fldChar w:fldCharType="end"/>
      </w:r>
      <w:r>
        <w:rPr>
          <w:szCs w:val="21"/>
          <w:highlight w:val="none"/>
        </w:rPr>
        <w:fldChar w:fldCharType="end"/>
      </w:r>
    </w:p>
    <w:p w14:paraId="2D64DA76">
      <w:pPr>
        <w:pStyle w:val="21"/>
        <w:tabs>
          <w:tab w:val="right" w:leader="dot" w:pos="9355"/>
          <w:tab w:val="clear" w:pos="9241"/>
        </w:tabs>
      </w:pPr>
      <w:r>
        <w:rPr>
          <w:szCs w:val="21"/>
          <w:highlight w:val="none"/>
        </w:rPr>
        <w:fldChar w:fldCharType="begin"/>
      </w:r>
      <w:r>
        <w:rPr>
          <w:szCs w:val="21"/>
          <w:highlight w:val="none"/>
        </w:rPr>
        <w:instrText xml:space="preserve"> HYPERLINK \l _Toc2828 </w:instrText>
      </w:r>
      <w:r>
        <w:rPr>
          <w:szCs w:val="21"/>
          <w:highlight w:val="none"/>
        </w:rPr>
        <w:fldChar w:fldCharType="separate"/>
      </w:r>
      <w:r>
        <w:rPr>
          <w:rFonts w:hint="eastAsia"/>
          <w:highlight w:val="none"/>
        </w:rPr>
        <w:t>引</w:t>
      </w:r>
      <w:r>
        <w:rPr>
          <w:rFonts w:hAnsi="黑体"/>
          <w:highlight w:val="none"/>
        </w:rPr>
        <w:t>  </w:t>
      </w:r>
      <w:r>
        <w:rPr>
          <w:rFonts w:hint="eastAsia"/>
          <w:highlight w:val="none"/>
        </w:rPr>
        <w:t>言</w:t>
      </w:r>
      <w:r>
        <w:tab/>
      </w:r>
      <w:r>
        <w:fldChar w:fldCharType="begin"/>
      </w:r>
      <w:r>
        <w:instrText xml:space="preserve"> PAGEREF _Toc2828 \h </w:instrText>
      </w:r>
      <w:r>
        <w:fldChar w:fldCharType="separate"/>
      </w:r>
      <w:r>
        <w:t>1</w:t>
      </w:r>
      <w:r>
        <w:fldChar w:fldCharType="end"/>
      </w:r>
      <w:r>
        <w:rPr>
          <w:szCs w:val="21"/>
          <w:highlight w:val="none"/>
        </w:rPr>
        <w:fldChar w:fldCharType="end"/>
      </w:r>
    </w:p>
    <w:p w14:paraId="42C9E0B8">
      <w:pPr>
        <w:pStyle w:val="30"/>
        <w:tabs>
          <w:tab w:val="right" w:leader="dot" w:pos="9355"/>
          <w:tab w:val="clear" w:pos="9241"/>
        </w:tabs>
      </w:pPr>
      <w:r>
        <w:rPr>
          <w:szCs w:val="21"/>
          <w:highlight w:val="none"/>
        </w:rPr>
        <w:fldChar w:fldCharType="begin"/>
      </w:r>
      <w:r>
        <w:rPr>
          <w:szCs w:val="21"/>
          <w:highlight w:val="none"/>
        </w:rPr>
        <w:instrText xml:space="preserve"> HYPERLINK \l _Toc17910 </w:instrText>
      </w:r>
      <w:r>
        <w:rPr>
          <w:szCs w:val="21"/>
          <w:highlight w:val="none"/>
        </w:rPr>
        <w:fldChar w:fldCharType="separate"/>
      </w:r>
      <w:r>
        <w:rPr>
          <w:rFonts w:hint="eastAsia" w:ascii="黑体" w:hAnsi="Times New Roman" w:eastAsia="黑体"/>
          <w:i w:val="0"/>
          <w:szCs w:val="21"/>
        </w:rPr>
        <w:t xml:space="preserve">1 </w:t>
      </w:r>
      <w:r>
        <w:rPr>
          <w:rFonts w:hint="eastAsia"/>
          <w:highlight w:val="none"/>
        </w:rPr>
        <w:t>范围</w:t>
      </w:r>
      <w:r>
        <w:tab/>
      </w:r>
      <w:r>
        <w:fldChar w:fldCharType="begin"/>
      </w:r>
      <w:r>
        <w:instrText xml:space="preserve"> PAGEREF _Toc17910 \h </w:instrText>
      </w:r>
      <w:r>
        <w:fldChar w:fldCharType="separate"/>
      </w:r>
      <w:r>
        <w:t>1</w:t>
      </w:r>
      <w:r>
        <w:fldChar w:fldCharType="end"/>
      </w:r>
      <w:r>
        <w:rPr>
          <w:szCs w:val="21"/>
          <w:highlight w:val="none"/>
        </w:rPr>
        <w:fldChar w:fldCharType="end"/>
      </w:r>
    </w:p>
    <w:p w14:paraId="1D15E5DD">
      <w:pPr>
        <w:pStyle w:val="30"/>
        <w:tabs>
          <w:tab w:val="right" w:leader="dot" w:pos="9355"/>
          <w:tab w:val="clear" w:pos="9241"/>
        </w:tabs>
      </w:pPr>
      <w:r>
        <w:rPr>
          <w:szCs w:val="21"/>
          <w:highlight w:val="none"/>
        </w:rPr>
        <w:fldChar w:fldCharType="begin"/>
      </w:r>
      <w:r>
        <w:rPr>
          <w:szCs w:val="21"/>
          <w:highlight w:val="none"/>
        </w:rPr>
        <w:instrText xml:space="preserve"> HYPERLINK \l _Toc17459 </w:instrText>
      </w:r>
      <w:r>
        <w:rPr>
          <w:szCs w:val="21"/>
          <w:highlight w:val="none"/>
        </w:rPr>
        <w:fldChar w:fldCharType="separate"/>
      </w:r>
      <w:r>
        <w:rPr>
          <w:rFonts w:hint="eastAsia" w:ascii="黑体" w:hAnsi="Times New Roman" w:eastAsia="黑体"/>
          <w:i w:val="0"/>
          <w:szCs w:val="21"/>
        </w:rPr>
        <w:t xml:space="preserve">2 </w:t>
      </w:r>
      <w:r>
        <w:rPr>
          <w:rFonts w:hint="eastAsia"/>
          <w:highlight w:val="none"/>
        </w:rPr>
        <w:t>规范性引用文件</w:t>
      </w:r>
      <w:r>
        <w:tab/>
      </w:r>
      <w:r>
        <w:fldChar w:fldCharType="begin"/>
      </w:r>
      <w:r>
        <w:instrText xml:space="preserve"> PAGEREF _Toc17459 \h </w:instrText>
      </w:r>
      <w:r>
        <w:fldChar w:fldCharType="separate"/>
      </w:r>
      <w:r>
        <w:t>1</w:t>
      </w:r>
      <w:r>
        <w:fldChar w:fldCharType="end"/>
      </w:r>
      <w:r>
        <w:rPr>
          <w:szCs w:val="21"/>
          <w:highlight w:val="none"/>
        </w:rPr>
        <w:fldChar w:fldCharType="end"/>
      </w:r>
    </w:p>
    <w:p w14:paraId="0F4C1A58">
      <w:pPr>
        <w:pStyle w:val="30"/>
        <w:tabs>
          <w:tab w:val="right" w:leader="dot" w:pos="9355"/>
          <w:tab w:val="clear" w:pos="9241"/>
        </w:tabs>
      </w:pPr>
      <w:r>
        <w:rPr>
          <w:szCs w:val="21"/>
          <w:highlight w:val="none"/>
        </w:rPr>
        <w:fldChar w:fldCharType="begin"/>
      </w:r>
      <w:r>
        <w:rPr>
          <w:szCs w:val="21"/>
          <w:highlight w:val="none"/>
        </w:rPr>
        <w:instrText xml:space="preserve"> HYPERLINK \l _Toc23899 </w:instrText>
      </w:r>
      <w:r>
        <w:rPr>
          <w:szCs w:val="21"/>
          <w:highlight w:val="none"/>
        </w:rPr>
        <w:fldChar w:fldCharType="separate"/>
      </w:r>
      <w:r>
        <w:rPr>
          <w:rFonts w:hint="eastAsia" w:ascii="黑体" w:hAnsi="Times New Roman" w:eastAsia="黑体"/>
          <w:i w:val="0"/>
          <w:szCs w:val="21"/>
        </w:rPr>
        <w:t xml:space="preserve">3 </w:t>
      </w:r>
      <w:r>
        <w:rPr>
          <w:rFonts w:hint="eastAsia"/>
          <w:highlight w:val="none"/>
        </w:rPr>
        <w:t>术语和定义</w:t>
      </w:r>
      <w:r>
        <w:tab/>
      </w:r>
      <w:r>
        <w:fldChar w:fldCharType="begin"/>
      </w:r>
      <w:r>
        <w:instrText xml:space="preserve"> PAGEREF _Toc23899 \h </w:instrText>
      </w:r>
      <w:r>
        <w:fldChar w:fldCharType="separate"/>
      </w:r>
      <w:r>
        <w:t>2</w:t>
      </w:r>
      <w:r>
        <w:fldChar w:fldCharType="end"/>
      </w:r>
      <w:r>
        <w:rPr>
          <w:szCs w:val="21"/>
          <w:highlight w:val="none"/>
        </w:rPr>
        <w:fldChar w:fldCharType="end"/>
      </w:r>
    </w:p>
    <w:p w14:paraId="2A06EB3D">
      <w:pPr>
        <w:pStyle w:val="30"/>
        <w:tabs>
          <w:tab w:val="right" w:leader="dot" w:pos="9355"/>
          <w:tab w:val="clear" w:pos="9241"/>
        </w:tabs>
      </w:pPr>
      <w:r>
        <w:rPr>
          <w:szCs w:val="21"/>
          <w:highlight w:val="none"/>
        </w:rPr>
        <w:fldChar w:fldCharType="begin"/>
      </w:r>
      <w:r>
        <w:rPr>
          <w:szCs w:val="21"/>
          <w:highlight w:val="none"/>
        </w:rPr>
        <w:instrText xml:space="preserve"> HYPERLINK \l _Toc8178 </w:instrText>
      </w:r>
      <w:r>
        <w:rPr>
          <w:szCs w:val="21"/>
          <w:highlight w:val="none"/>
        </w:rPr>
        <w:fldChar w:fldCharType="separate"/>
      </w:r>
      <w:r>
        <w:rPr>
          <w:rFonts w:hint="eastAsia" w:ascii="黑体" w:hAnsi="Times New Roman" w:eastAsia="黑体" w:cs="Times New Roman"/>
          <w:i w:val="0"/>
          <w:szCs w:val="21"/>
          <w:lang w:val="en-US" w:eastAsia="zh-CN"/>
        </w:rPr>
        <w:t xml:space="preserve">4 </w:t>
      </w:r>
      <w:r>
        <w:rPr>
          <w:rFonts w:hint="eastAsia" w:hAnsi="Times New Roman" w:cs="Times New Roman"/>
          <w:highlight w:val="none"/>
          <w:lang w:val="en-US" w:eastAsia="zh-CN"/>
        </w:rPr>
        <w:t>基本原则</w:t>
      </w:r>
      <w:r>
        <w:tab/>
      </w:r>
      <w:r>
        <w:fldChar w:fldCharType="begin"/>
      </w:r>
      <w:r>
        <w:instrText xml:space="preserve"> PAGEREF _Toc8178 \h </w:instrText>
      </w:r>
      <w:r>
        <w:fldChar w:fldCharType="separate"/>
      </w:r>
      <w:r>
        <w:t>3</w:t>
      </w:r>
      <w:r>
        <w:fldChar w:fldCharType="end"/>
      </w:r>
      <w:r>
        <w:rPr>
          <w:szCs w:val="21"/>
          <w:highlight w:val="none"/>
        </w:rPr>
        <w:fldChar w:fldCharType="end"/>
      </w:r>
    </w:p>
    <w:p w14:paraId="4E2DA6AB">
      <w:pPr>
        <w:pStyle w:val="30"/>
        <w:tabs>
          <w:tab w:val="right" w:leader="dot" w:pos="9355"/>
          <w:tab w:val="clear" w:pos="9241"/>
        </w:tabs>
      </w:pPr>
      <w:r>
        <w:rPr>
          <w:szCs w:val="21"/>
          <w:highlight w:val="none"/>
        </w:rPr>
        <w:fldChar w:fldCharType="begin"/>
      </w:r>
      <w:r>
        <w:rPr>
          <w:szCs w:val="21"/>
          <w:highlight w:val="none"/>
        </w:rPr>
        <w:instrText xml:space="preserve"> HYPERLINK \l _Toc14487 </w:instrText>
      </w:r>
      <w:r>
        <w:rPr>
          <w:szCs w:val="21"/>
          <w:highlight w:val="none"/>
        </w:rPr>
        <w:fldChar w:fldCharType="separate"/>
      </w:r>
      <w:r>
        <w:rPr>
          <w:rFonts w:hint="eastAsia" w:ascii="黑体" w:hAnsi="Times New Roman" w:eastAsia="黑体" w:cs="Times New Roman"/>
          <w:i w:val="0"/>
          <w:szCs w:val="21"/>
          <w:lang w:val="en-US" w:eastAsia="zh-CN"/>
        </w:rPr>
        <w:t xml:space="preserve">5 </w:t>
      </w:r>
      <w:r>
        <w:rPr>
          <w:rFonts w:hint="eastAsia" w:hAnsi="Times New Roman" w:cs="Times New Roman"/>
          <w:highlight w:val="none"/>
          <w:lang w:val="en-US" w:eastAsia="zh-CN"/>
        </w:rPr>
        <w:t>调查评价技术流程</w:t>
      </w:r>
      <w:r>
        <w:tab/>
      </w:r>
      <w:r>
        <w:fldChar w:fldCharType="begin"/>
      </w:r>
      <w:r>
        <w:instrText xml:space="preserve"> PAGEREF _Toc14487 \h </w:instrText>
      </w:r>
      <w:r>
        <w:fldChar w:fldCharType="separate"/>
      </w:r>
      <w:r>
        <w:t>3</w:t>
      </w:r>
      <w:r>
        <w:fldChar w:fldCharType="end"/>
      </w:r>
      <w:r>
        <w:rPr>
          <w:szCs w:val="21"/>
          <w:highlight w:val="none"/>
        </w:rPr>
        <w:fldChar w:fldCharType="end"/>
      </w:r>
    </w:p>
    <w:p w14:paraId="4CBEE322">
      <w:pPr>
        <w:pStyle w:val="14"/>
        <w:tabs>
          <w:tab w:val="right" w:leader="dot" w:pos="9355"/>
          <w:tab w:val="clear" w:pos="9241"/>
        </w:tabs>
      </w:pPr>
      <w:r>
        <w:rPr>
          <w:szCs w:val="21"/>
          <w:highlight w:val="none"/>
        </w:rPr>
        <w:fldChar w:fldCharType="begin"/>
      </w:r>
      <w:r>
        <w:rPr>
          <w:szCs w:val="21"/>
          <w:highlight w:val="none"/>
        </w:rPr>
        <w:instrText xml:space="preserve"> HYPERLINK \l _Toc19030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5.1 </w:t>
      </w:r>
      <w:r>
        <w:rPr>
          <w:rFonts w:hint="eastAsia" w:cs="Times New Roman"/>
          <w:highlight w:val="none"/>
          <w:lang w:val="en-US" w:eastAsia="zh-CN"/>
        </w:rPr>
        <w:t>工作</w:t>
      </w:r>
      <w:r>
        <w:rPr>
          <w:rFonts w:hint="eastAsia" w:hAnsi="Times New Roman" w:cs="Times New Roman"/>
          <w:highlight w:val="none"/>
          <w:lang w:val="en-US" w:eastAsia="zh-CN"/>
        </w:rPr>
        <w:t>准备</w:t>
      </w:r>
      <w:r>
        <w:rPr>
          <w:rFonts w:hint="eastAsia" w:cs="Times New Roman"/>
          <w:highlight w:val="none"/>
          <w:lang w:val="en-US" w:eastAsia="zh-CN"/>
        </w:rPr>
        <w:t>阶段</w:t>
      </w:r>
      <w:r>
        <w:tab/>
      </w:r>
      <w:r>
        <w:fldChar w:fldCharType="begin"/>
      </w:r>
      <w:r>
        <w:instrText xml:space="preserve"> PAGEREF _Toc19030 \h </w:instrText>
      </w:r>
      <w:r>
        <w:fldChar w:fldCharType="separate"/>
      </w:r>
      <w:r>
        <w:t>3</w:t>
      </w:r>
      <w:r>
        <w:fldChar w:fldCharType="end"/>
      </w:r>
      <w:r>
        <w:rPr>
          <w:szCs w:val="21"/>
          <w:highlight w:val="none"/>
        </w:rPr>
        <w:fldChar w:fldCharType="end"/>
      </w:r>
    </w:p>
    <w:p w14:paraId="7D26264C">
      <w:pPr>
        <w:pStyle w:val="14"/>
        <w:tabs>
          <w:tab w:val="right" w:leader="dot" w:pos="9355"/>
          <w:tab w:val="clear" w:pos="9241"/>
        </w:tabs>
      </w:pPr>
      <w:r>
        <w:rPr>
          <w:szCs w:val="21"/>
          <w:highlight w:val="none"/>
        </w:rPr>
        <w:fldChar w:fldCharType="begin"/>
      </w:r>
      <w:r>
        <w:rPr>
          <w:szCs w:val="21"/>
          <w:highlight w:val="none"/>
        </w:rPr>
        <w:instrText xml:space="preserve"> HYPERLINK \l _Toc24673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5.2 </w:t>
      </w:r>
      <w:r>
        <w:rPr>
          <w:rFonts w:hint="eastAsia" w:hAnsi="Times New Roman" w:cs="Times New Roman"/>
          <w:highlight w:val="none"/>
          <w:lang w:val="en-US" w:eastAsia="zh-CN"/>
        </w:rPr>
        <w:t>具体</w:t>
      </w:r>
      <w:r>
        <w:rPr>
          <w:rFonts w:hint="eastAsia" w:cs="Times New Roman"/>
          <w:highlight w:val="none"/>
          <w:lang w:val="en-US" w:eastAsia="zh-CN"/>
        </w:rPr>
        <w:t>实施阶段</w:t>
      </w:r>
      <w:r>
        <w:tab/>
      </w:r>
      <w:r>
        <w:fldChar w:fldCharType="begin"/>
      </w:r>
      <w:r>
        <w:instrText xml:space="preserve"> PAGEREF _Toc24673 \h </w:instrText>
      </w:r>
      <w:r>
        <w:fldChar w:fldCharType="separate"/>
      </w:r>
      <w:r>
        <w:t>4</w:t>
      </w:r>
      <w:r>
        <w:fldChar w:fldCharType="end"/>
      </w:r>
      <w:r>
        <w:rPr>
          <w:szCs w:val="21"/>
          <w:highlight w:val="none"/>
        </w:rPr>
        <w:fldChar w:fldCharType="end"/>
      </w:r>
    </w:p>
    <w:p w14:paraId="7EFCBF6E">
      <w:pPr>
        <w:pStyle w:val="14"/>
        <w:tabs>
          <w:tab w:val="right" w:leader="dot" w:pos="9355"/>
          <w:tab w:val="clear" w:pos="9241"/>
        </w:tabs>
      </w:pPr>
      <w:r>
        <w:rPr>
          <w:szCs w:val="21"/>
          <w:highlight w:val="none"/>
        </w:rPr>
        <w:fldChar w:fldCharType="begin"/>
      </w:r>
      <w:r>
        <w:rPr>
          <w:szCs w:val="21"/>
          <w:highlight w:val="none"/>
        </w:rPr>
        <w:instrText xml:space="preserve"> HYPERLINK \l _Toc29658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5.3 </w:t>
      </w:r>
      <w:r>
        <w:rPr>
          <w:rFonts w:hint="eastAsia" w:hAnsi="Times New Roman" w:cs="Times New Roman"/>
          <w:highlight w:val="none"/>
          <w:lang w:val="en-US" w:eastAsia="zh-CN"/>
        </w:rPr>
        <w:t>成果</w:t>
      </w:r>
      <w:r>
        <w:rPr>
          <w:rFonts w:hint="eastAsia" w:cs="Times New Roman"/>
          <w:highlight w:val="none"/>
          <w:lang w:val="en-US" w:eastAsia="zh-CN"/>
        </w:rPr>
        <w:t>形成阶段</w:t>
      </w:r>
      <w:r>
        <w:tab/>
      </w:r>
      <w:r>
        <w:fldChar w:fldCharType="begin"/>
      </w:r>
      <w:r>
        <w:instrText xml:space="preserve"> PAGEREF _Toc29658 \h </w:instrText>
      </w:r>
      <w:r>
        <w:fldChar w:fldCharType="separate"/>
      </w:r>
      <w:r>
        <w:t>4</w:t>
      </w:r>
      <w:r>
        <w:fldChar w:fldCharType="end"/>
      </w:r>
      <w:r>
        <w:rPr>
          <w:szCs w:val="21"/>
          <w:highlight w:val="none"/>
        </w:rPr>
        <w:fldChar w:fldCharType="end"/>
      </w:r>
    </w:p>
    <w:p w14:paraId="040D0C09">
      <w:pPr>
        <w:pStyle w:val="30"/>
        <w:tabs>
          <w:tab w:val="right" w:leader="dot" w:pos="9355"/>
          <w:tab w:val="clear" w:pos="9241"/>
        </w:tabs>
      </w:pPr>
      <w:r>
        <w:rPr>
          <w:szCs w:val="21"/>
          <w:highlight w:val="none"/>
        </w:rPr>
        <w:fldChar w:fldCharType="begin"/>
      </w:r>
      <w:r>
        <w:rPr>
          <w:szCs w:val="21"/>
          <w:highlight w:val="none"/>
        </w:rPr>
        <w:instrText xml:space="preserve"> HYPERLINK \l _Toc21073 </w:instrText>
      </w:r>
      <w:r>
        <w:rPr>
          <w:szCs w:val="21"/>
          <w:highlight w:val="none"/>
        </w:rPr>
        <w:fldChar w:fldCharType="separate"/>
      </w:r>
      <w:r>
        <w:rPr>
          <w:rFonts w:hint="eastAsia" w:ascii="黑体" w:hAnsi="Times New Roman" w:eastAsia="黑体" w:cs="Times New Roman"/>
          <w:i w:val="0"/>
          <w:szCs w:val="21"/>
          <w:lang w:val="en-US" w:eastAsia="zh-CN"/>
        </w:rPr>
        <w:t xml:space="preserve">6 </w:t>
      </w:r>
      <w:r>
        <w:rPr>
          <w:rFonts w:hint="eastAsia" w:hAnsi="Times New Roman" w:cs="Times New Roman"/>
          <w:highlight w:val="none"/>
          <w:lang w:val="en-US" w:eastAsia="zh-CN"/>
        </w:rPr>
        <w:t>调查评价内容</w:t>
      </w:r>
      <w:r>
        <w:tab/>
      </w:r>
      <w:r>
        <w:fldChar w:fldCharType="begin"/>
      </w:r>
      <w:r>
        <w:instrText xml:space="preserve"> PAGEREF _Toc21073 \h </w:instrText>
      </w:r>
      <w:r>
        <w:fldChar w:fldCharType="separate"/>
      </w:r>
      <w:r>
        <w:t>5</w:t>
      </w:r>
      <w:r>
        <w:fldChar w:fldCharType="end"/>
      </w:r>
      <w:r>
        <w:rPr>
          <w:szCs w:val="21"/>
          <w:highlight w:val="none"/>
        </w:rPr>
        <w:fldChar w:fldCharType="end"/>
      </w:r>
    </w:p>
    <w:p w14:paraId="5303E450">
      <w:pPr>
        <w:pStyle w:val="14"/>
        <w:tabs>
          <w:tab w:val="right" w:leader="dot" w:pos="9355"/>
          <w:tab w:val="clear" w:pos="9241"/>
        </w:tabs>
      </w:pPr>
      <w:r>
        <w:rPr>
          <w:szCs w:val="21"/>
          <w:highlight w:val="none"/>
        </w:rPr>
        <w:fldChar w:fldCharType="begin"/>
      </w:r>
      <w:r>
        <w:rPr>
          <w:szCs w:val="21"/>
          <w:highlight w:val="none"/>
        </w:rPr>
        <w:instrText xml:space="preserve"> HYPERLINK \l _Toc24380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6.1 </w:t>
      </w:r>
      <w:r>
        <w:rPr>
          <w:rFonts w:hint="eastAsia" w:hAnsi="Times New Roman" w:cs="Times New Roman"/>
          <w:highlight w:val="none"/>
          <w:lang w:val="en-US" w:eastAsia="zh-CN"/>
        </w:rPr>
        <w:t>生态系统格局</w:t>
      </w:r>
      <w:r>
        <w:tab/>
      </w:r>
      <w:r>
        <w:fldChar w:fldCharType="begin"/>
      </w:r>
      <w:r>
        <w:instrText xml:space="preserve"> PAGEREF _Toc24380 \h </w:instrText>
      </w:r>
      <w:r>
        <w:fldChar w:fldCharType="separate"/>
      </w:r>
      <w:r>
        <w:t>5</w:t>
      </w:r>
      <w:r>
        <w:fldChar w:fldCharType="end"/>
      </w:r>
      <w:r>
        <w:rPr>
          <w:szCs w:val="21"/>
          <w:highlight w:val="none"/>
        </w:rPr>
        <w:fldChar w:fldCharType="end"/>
      </w:r>
    </w:p>
    <w:p w14:paraId="3F180F7C">
      <w:pPr>
        <w:pStyle w:val="14"/>
        <w:tabs>
          <w:tab w:val="right" w:leader="dot" w:pos="9355"/>
          <w:tab w:val="clear" w:pos="9241"/>
        </w:tabs>
      </w:pPr>
      <w:r>
        <w:rPr>
          <w:szCs w:val="21"/>
          <w:highlight w:val="none"/>
        </w:rPr>
        <w:fldChar w:fldCharType="begin"/>
      </w:r>
      <w:r>
        <w:rPr>
          <w:szCs w:val="21"/>
          <w:highlight w:val="none"/>
        </w:rPr>
        <w:instrText xml:space="preserve"> HYPERLINK \l _Toc9914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6.2 </w:t>
      </w:r>
      <w:r>
        <w:rPr>
          <w:rFonts w:hint="eastAsia" w:hAnsi="Times New Roman" w:cs="Times New Roman"/>
          <w:highlight w:val="none"/>
          <w:lang w:val="en-US" w:eastAsia="zh-CN"/>
        </w:rPr>
        <w:t>生态系统质量</w:t>
      </w:r>
      <w:r>
        <w:tab/>
      </w:r>
      <w:r>
        <w:fldChar w:fldCharType="begin"/>
      </w:r>
      <w:r>
        <w:instrText xml:space="preserve"> PAGEREF _Toc9914 \h </w:instrText>
      </w:r>
      <w:r>
        <w:fldChar w:fldCharType="separate"/>
      </w:r>
      <w:r>
        <w:t>5</w:t>
      </w:r>
      <w:r>
        <w:fldChar w:fldCharType="end"/>
      </w:r>
      <w:r>
        <w:rPr>
          <w:szCs w:val="21"/>
          <w:highlight w:val="none"/>
        </w:rPr>
        <w:fldChar w:fldCharType="end"/>
      </w:r>
    </w:p>
    <w:p w14:paraId="6FC85996">
      <w:pPr>
        <w:pStyle w:val="14"/>
        <w:tabs>
          <w:tab w:val="right" w:leader="dot" w:pos="9355"/>
          <w:tab w:val="clear" w:pos="9241"/>
        </w:tabs>
      </w:pPr>
      <w:r>
        <w:rPr>
          <w:szCs w:val="21"/>
          <w:highlight w:val="none"/>
        </w:rPr>
        <w:fldChar w:fldCharType="begin"/>
      </w:r>
      <w:r>
        <w:rPr>
          <w:szCs w:val="21"/>
          <w:highlight w:val="none"/>
        </w:rPr>
        <w:instrText xml:space="preserve"> HYPERLINK \l _Toc4082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6.3 </w:t>
      </w:r>
      <w:r>
        <w:rPr>
          <w:rFonts w:hint="eastAsia" w:hAnsi="Times New Roman" w:cs="Times New Roman"/>
          <w:highlight w:val="none"/>
          <w:lang w:val="en-US" w:eastAsia="zh-CN"/>
        </w:rPr>
        <w:t>生态系统服务</w:t>
      </w:r>
      <w:r>
        <w:tab/>
      </w:r>
      <w:r>
        <w:fldChar w:fldCharType="begin"/>
      </w:r>
      <w:r>
        <w:instrText xml:space="preserve"> PAGEREF _Toc4082 \h </w:instrText>
      </w:r>
      <w:r>
        <w:fldChar w:fldCharType="separate"/>
      </w:r>
      <w:r>
        <w:t>6</w:t>
      </w:r>
      <w:r>
        <w:fldChar w:fldCharType="end"/>
      </w:r>
      <w:r>
        <w:rPr>
          <w:szCs w:val="21"/>
          <w:highlight w:val="none"/>
        </w:rPr>
        <w:fldChar w:fldCharType="end"/>
      </w:r>
    </w:p>
    <w:p w14:paraId="640A0A77">
      <w:pPr>
        <w:pStyle w:val="14"/>
        <w:tabs>
          <w:tab w:val="right" w:leader="dot" w:pos="9355"/>
          <w:tab w:val="clear" w:pos="9241"/>
        </w:tabs>
      </w:pPr>
      <w:r>
        <w:rPr>
          <w:szCs w:val="21"/>
          <w:highlight w:val="none"/>
        </w:rPr>
        <w:fldChar w:fldCharType="begin"/>
      </w:r>
      <w:r>
        <w:rPr>
          <w:szCs w:val="21"/>
          <w:highlight w:val="none"/>
        </w:rPr>
        <w:instrText xml:space="preserve"> HYPERLINK \l _Toc13800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6.4 </w:t>
      </w:r>
      <w:r>
        <w:rPr>
          <w:rFonts w:hint="eastAsia" w:hAnsi="Times New Roman" w:cs="Times New Roman"/>
          <w:highlight w:val="none"/>
          <w:lang w:val="en-US" w:eastAsia="zh-CN"/>
        </w:rPr>
        <w:t>生态胁迫</w:t>
      </w:r>
      <w:r>
        <w:tab/>
      </w:r>
      <w:r>
        <w:fldChar w:fldCharType="begin"/>
      </w:r>
      <w:r>
        <w:instrText xml:space="preserve"> PAGEREF _Toc13800 \h </w:instrText>
      </w:r>
      <w:r>
        <w:fldChar w:fldCharType="separate"/>
      </w:r>
      <w:r>
        <w:t>8</w:t>
      </w:r>
      <w:r>
        <w:fldChar w:fldCharType="end"/>
      </w:r>
      <w:r>
        <w:rPr>
          <w:szCs w:val="21"/>
          <w:highlight w:val="none"/>
        </w:rPr>
        <w:fldChar w:fldCharType="end"/>
      </w:r>
    </w:p>
    <w:p w14:paraId="608A3159">
      <w:pPr>
        <w:pStyle w:val="30"/>
        <w:tabs>
          <w:tab w:val="right" w:leader="dot" w:pos="9355"/>
          <w:tab w:val="clear" w:pos="9241"/>
        </w:tabs>
      </w:pPr>
      <w:r>
        <w:rPr>
          <w:szCs w:val="21"/>
          <w:highlight w:val="none"/>
        </w:rPr>
        <w:fldChar w:fldCharType="begin"/>
      </w:r>
      <w:r>
        <w:rPr>
          <w:szCs w:val="21"/>
          <w:highlight w:val="none"/>
        </w:rPr>
        <w:instrText xml:space="preserve"> HYPERLINK \l _Toc32024 </w:instrText>
      </w:r>
      <w:r>
        <w:rPr>
          <w:szCs w:val="21"/>
          <w:highlight w:val="none"/>
        </w:rPr>
        <w:fldChar w:fldCharType="separate"/>
      </w:r>
      <w:r>
        <w:rPr>
          <w:rFonts w:hint="eastAsia" w:ascii="黑体" w:hAnsi="Times New Roman" w:eastAsia="黑体" w:cs="Times New Roman"/>
          <w:i w:val="0"/>
          <w:szCs w:val="21"/>
          <w:lang w:val="en-US" w:eastAsia="zh-CN"/>
        </w:rPr>
        <w:t xml:space="preserve">7 </w:t>
      </w:r>
      <w:r>
        <w:rPr>
          <w:rFonts w:hint="eastAsia" w:hAnsi="Times New Roman" w:cs="Times New Roman"/>
          <w:highlight w:val="none"/>
          <w:lang w:val="en-US" w:eastAsia="zh-CN"/>
        </w:rPr>
        <w:t>调查评价方法</w:t>
      </w:r>
      <w:r>
        <w:tab/>
      </w:r>
      <w:r>
        <w:fldChar w:fldCharType="begin"/>
      </w:r>
      <w:r>
        <w:instrText xml:space="preserve"> PAGEREF _Toc32024 \h </w:instrText>
      </w:r>
      <w:r>
        <w:fldChar w:fldCharType="separate"/>
      </w:r>
      <w:r>
        <w:t>9</w:t>
      </w:r>
      <w:r>
        <w:fldChar w:fldCharType="end"/>
      </w:r>
      <w:r>
        <w:rPr>
          <w:szCs w:val="21"/>
          <w:highlight w:val="none"/>
        </w:rPr>
        <w:fldChar w:fldCharType="end"/>
      </w:r>
    </w:p>
    <w:p w14:paraId="3338CDE2">
      <w:pPr>
        <w:pStyle w:val="14"/>
        <w:tabs>
          <w:tab w:val="right" w:leader="dot" w:pos="9355"/>
          <w:tab w:val="clear" w:pos="9241"/>
        </w:tabs>
      </w:pPr>
      <w:r>
        <w:rPr>
          <w:szCs w:val="21"/>
          <w:highlight w:val="none"/>
        </w:rPr>
        <w:fldChar w:fldCharType="begin"/>
      </w:r>
      <w:r>
        <w:rPr>
          <w:szCs w:val="21"/>
          <w:highlight w:val="none"/>
        </w:rPr>
        <w:instrText xml:space="preserve"> HYPERLINK \l _Toc8830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7.1 </w:t>
      </w:r>
      <w:r>
        <w:rPr>
          <w:rFonts w:hint="default" w:hAnsi="Times New Roman" w:cs="Times New Roman"/>
          <w:highlight w:val="none"/>
          <w:lang w:val="en-US" w:eastAsia="zh-CN"/>
        </w:rPr>
        <w:t>调查方法</w:t>
      </w:r>
      <w:r>
        <w:tab/>
      </w:r>
      <w:r>
        <w:fldChar w:fldCharType="begin"/>
      </w:r>
      <w:r>
        <w:instrText xml:space="preserve"> PAGEREF _Toc8830 \h </w:instrText>
      </w:r>
      <w:r>
        <w:fldChar w:fldCharType="separate"/>
      </w:r>
      <w:r>
        <w:t>9</w:t>
      </w:r>
      <w:r>
        <w:fldChar w:fldCharType="end"/>
      </w:r>
      <w:r>
        <w:rPr>
          <w:szCs w:val="21"/>
          <w:highlight w:val="none"/>
        </w:rPr>
        <w:fldChar w:fldCharType="end"/>
      </w:r>
    </w:p>
    <w:p w14:paraId="4D1CF5C8">
      <w:pPr>
        <w:pStyle w:val="14"/>
        <w:tabs>
          <w:tab w:val="right" w:leader="dot" w:pos="9355"/>
          <w:tab w:val="clear" w:pos="9241"/>
        </w:tabs>
      </w:pPr>
      <w:r>
        <w:rPr>
          <w:szCs w:val="21"/>
          <w:highlight w:val="none"/>
        </w:rPr>
        <w:fldChar w:fldCharType="begin"/>
      </w:r>
      <w:r>
        <w:rPr>
          <w:szCs w:val="21"/>
          <w:highlight w:val="none"/>
        </w:rPr>
        <w:instrText xml:space="preserve"> HYPERLINK \l _Toc3806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7.2 </w:t>
      </w:r>
      <w:r>
        <w:rPr>
          <w:rFonts w:hint="eastAsia" w:hAnsi="Times New Roman" w:cs="Times New Roman"/>
          <w:highlight w:val="none"/>
          <w:lang w:val="en-US" w:eastAsia="zh-CN"/>
        </w:rPr>
        <w:t>评价</w:t>
      </w:r>
      <w:r>
        <w:rPr>
          <w:rFonts w:hint="default" w:hAnsi="Times New Roman" w:cs="Times New Roman"/>
          <w:highlight w:val="none"/>
          <w:lang w:val="en-US" w:eastAsia="zh-CN"/>
        </w:rPr>
        <w:t>方法</w:t>
      </w:r>
      <w:r>
        <w:tab/>
      </w:r>
      <w:r>
        <w:fldChar w:fldCharType="begin"/>
      </w:r>
      <w:r>
        <w:instrText xml:space="preserve"> PAGEREF _Toc3806 \h </w:instrText>
      </w:r>
      <w:r>
        <w:fldChar w:fldCharType="separate"/>
      </w:r>
      <w:r>
        <w:t>10</w:t>
      </w:r>
      <w:r>
        <w:fldChar w:fldCharType="end"/>
      </w:r>
      <w:r>
        <w:rPr>
          <w:szCs w:val="21"/>
          <w:highlight w:val="none"/>
        </w:rPr>
        <w:fldChar w:fldCharType="end"/>
      </w:r>
    </w:p>
    <w:p w14:paraId="36C565E6">
      <w:pPr>
        <w:pStyle w:val="30"/>
        <w:tabs>
          <w:tab w:val="right" w:leader="dot" w:pos="9355"/>
          <w:tab w:val="clear" w:pos="9241"/>
        </w:tabs>
      </w:pPr>
      <w:r>
        <w:rPr>
          <w:szCs w:val="21"/>
          <w:highlight w:val="none"/>
        </w:rPr>
        <w:fldChar w:fldCharType="begin"/>
      </w:r>
      <w:r>
        <w:rPr>
          <w:szCs w:val="21"/>
          <w:highlight w:val="none"/>
        </w:rPr>
        <w:instrText xml:space="preserve"> HYPERLINK \l _Toc2997 </w:instrText>
      </w:r>
      <w:r>
        <w:rPr>
          <w:szCs w:val="21"/>
          <w:highlight w:val="none"/>
        </w:rPr>
        <w:fldChar w:fldCharType="separate"/>
      </w:r>
      <w:r>
        <w:rPr>
          <w:rFonts w:hint="eastAsia" w:ascii="黑体" w:hAnsi="Times New Roman" w:eastAsia="黑体" w:cs="Times New Roman"/>
          <w:i w:val="0"/>
          <w:szCs w:val="21"/>
          <w:lang w:val="en-US" w:eastAsia="zh-CN"/>
        </w:rPr>
        <w:t xml:space="preserve">8 </w:t>
      </w:r>
      <w:r>
        <w:rPr>
          <w:rFonts w:hint="eastAsia" w:hAnsi="Times New Roman" w:cs="Times New Roman"/>
          <w:highlight w:val="none"/>
          <w:lang w:val="en-US" w:eastAsia="zh-CN"/>
        </w:rPr>
        <w:t>调查评价成果</w:t>
      </w:r>
      <w:r>
        <w:tab/>
      </w:r>
      <w:r>
        <w:fldChar w:fldCharType="begin"/>
      </w:r>
      <w:r>
        <w:instrText xml:space="preserve"> PAGEREF _Toc2997 \h </w:instrText>
      </w:r>
      <w:r>
        <w:fldChar w:fldCharType="separate"/>
      </w:r>
      <w:r>
        <w:t>11</w:t>
      </w:r>
      <w:r>
        <w:fldChar w:fldCharType="end"/>
      </w:r>
      <w:r>
        <w:rPr>
          <w:szCs w:val="21"/>
          <w:highlight w:val="none"/>
        </w:rPr>
        <w:fldChar w:fldCharType="end"/>
      </w:r>
    </w:p>
    <w:p w14:paraId="0D362A47">
      <w:pPr>
        <w:pStyle w:val="14"/>
        <w:tabs>
          <w:tab w:val="right" w:leader="dot" w:pos="9355"/>
          <w:tab w:val="clear" w:pos="9241"/>
        </w:tabs>
      </w:pPr>
      <w:r>
        <w:rPr>
          <w:szCs w:val="21"/>
          <w:highlight w:val="none"/>
        </w:rPr>
        <w:fldChar w:fldCharType="begin"/>
      </w:r>
      <w:r>
        <w:rPr>
          <w:szCs w:val="21"/>
          <w:highlight w:val="none"/>
        </w:rPr>
        <w:instrText xml:space="preserve"> HYPERLINK \l _Toc2100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8.1 </w:t>
      </w:r>
      <w:r>
        <w:rPr>
          <w:rFonts w:hint="eastAsia" w:hAnsi="Times New Roman" w:cs="Times New Roman"/>
          <w:highlight w:val="none"/>
          <w:lang w:val="en-US" w:eastAsia="zh-CN"/>
        </w:rPr>
        <w:t>成果形式</w:t>
      </w:r>
      <w:r>
        <w:tab/>
      </w:r>
      <w:r>
        <w:fldChar w:fldCharType="begin"/>
      </w:r>
      <w:r>
        <w:instrText xml:space="preserve"> PAGEREF _Toc2100 \h </w:instrText>
      </w:r>
      <w:r>
        <w:fldChar w:fldCharType="separate"/>
      </w:r>
      <w:r>
        <w:t>11</w:t>
      </w:r>
      <w:r>
        <w:fldChar w:fldCharType="end"/>
      </w:r>
      <w:r>
        <w:rPr>
          <w:szCs w:val="21"/>
          <w:highlight w:val="none"/>
        </w:rPr>
        <w:fldChar w:fldCharType="end"/>
      </w:r>
    </w:p>
    <w:p w14:paraId="2BFD0BB1">
      <w:pPr>
        <w:pStyle w:val="14"/>
        <w:tabs>
          <w:tab w:val="right" w:leader="dot" w:pos="9355"/>
          <w:tab w:val="clear" w:pos="9241"/>
        </w:tabs>
      </w:pPr>
      <w:r>
        <w:rPr>
          <w:szCs w:val="21"/>
          <w:highlight w:val="none"/>
        </w:rPr>
        <w:fldChar w:fldCharType="begin"/>
      </w:r>
      <w:r>
        <w:rPr>
          <w:szCs w:val="21"/>
          <w:highlight w:val="none"/>
        </w:rPr>
        <w:instrText xml:space="preserve"> HYPERLINK \l _Toc20189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8.2 </w:t>
      </w:r>
      <w:r>
        <w:rPr>
          <w:rFonts w:hint="eastAsia" w:hAnsi="Times New Roman" w:cs="Times New Roman"/>
          <w:highlight w:val="none"/>
          <w:lang w:val="en-US" w:eastAsia="zh-CN"/>
        </w:rPr>
        <w:t>成果应用</w:t>
      </w:r>
      <w:r>
        <w:tab/>
      </w:r>
      <w:r>
        <w:fldChar w:fldCharType="begin"/>
      </w:r>
      <w:r>
        <w:instrText xml:space="preserve"> PAGEREF _Toc20189 \h </w:instrText>
      </w:r>
      <w:r>
        <w:fldChar w:fldCharType="separate"/>
      </w:r>
      <w:r>
        <w:t>11</w:t>
      </w:r>
      <w:r>
        <w:fldChar w:fldCharType="end"/>
      </w:r>
      <w:r>
        <w:rPr>
          <w:szCs w:val="21"/>
          <w:highlight w:val="none"/>
        </w:rPr>
        <w:fldChar w:fldCharType="end"/>
      </w:r>
    </w:p>
    <w:p w14:paraId="4879DE9D">
      <w:pPr>
        <w:pStyle w:val="30"/>
        <w:tabs>
          <w:tab w:val="right" w:leader="dot" w:pos="9355"/>
          <w:tab w:val="clear" w:pos="9241"/>
        </w:tabs>
      </w:pPr>
      <w:r>
        <w:rPr>
          <w:szCs w:val="21"/>
          <w:highlight w:val="none"/>
        </w:rPr>
        <w:fldChar w:fldCharType="begin"/>
      </w:r>
      <w:r>
        <w:rPr>
          <w:szCs w:val="21"/>
          <w:highlight w:val="none"/>
        </w:rPr>
        <w:instrText xml:space="preserve"> HYPERLINK \l _Toc18146 </w:instrText>
      </w:r>
      <w:r>
        <w:rPr>
          <w:szCs w:val="21"/>
          <w:highlight w:val="none"/>
        </w:rPr>
        <w:fldChar w:fldCharType="separate"/>
      </w:r>
      <w:r>
        <w:rPr>
          <w:rFonts w:hint="eastAsia" w:ascii="黑体" w:hAnsi="Times New Roman" w:eastAsia="黑体" w:cs="Times New Roman"/>
          <w:i w:val="0"/>
          <w:szCs w:val="21"/>
          <w:lang w:val="en-US" w:eastAsia="zh-CN"/>
        </w:rPr>
        <w:t xml:space="preserve">9 </w:t>
      </w:r>
      <w:r>
        <w:rPr>
          <w:rFonts w:hint="eastAsia" w:cs="Times New Roman"/>
          <w:highlight w:val="none"/>
          <w:lang w:val="en-US" w:eastAsia="zh-CN"/>
        </w:rPr>
        <w:t>成果资料管理</w:t>
      </w:r>
      <w:r>
        <w:tab/>
      </w:r>
      <w:r>
        <w:fldChar w:fldCharType="begin"/>
      </w:r>
      <w:r>
        <w:instrText xml:space="preserve"> PAGEREF _Toc18146 \h </w:instrText>
      </w:r>
      <w:r>
        <w:fldChar w:fldCharType="separate"/>
      </w:r>
      <w:r>
        <w:t>11</w:t>
      </w:r>
      <w:r>
        <w:fldChar w:fldCharType="end"/>
      </w:r>
      <w:r>
        <w:rPr>
          <w:szCs w:val="21"/>
          <w:highlight w:val="none"/>
        </w:rPr>
        <w:fldChar w:fldCharType="end"/>
      </w:r>
    </w:p>
    <w:p w14:paraId="0F9063FE">
      <w:pPr>
        <w:pStyle w:val="14"/>
        <w:tabs>
          <w:tab w:val="right" w:leader="dot" w:pos="9355"/>
          <w:tab w:val="clear" w:pos="9241"/>
        </w:tabs>
      </w:pPr>
      <w:r>
        <w:rPr>
          <w:szCs w:val="21"/>
          <w:highlight w:val="none"/>
        </w:rPr>
        <w:fldChar w:fldCharType="begin"/>
      </w:r>
      <w:r>
        <w:rPr>
          <w:szCs w:val="21"/>
          <w:highlight w:val="none"/>
        </w:rPr>
        <w:instrText xml:space="preserve"> HYPERLINK \l _Toc14725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9.1 </w:t>
      </w:r>
      <w:r>
        <w:rPr>
          <w:rFonts w:hint="eastAsia" w:cs="Times New Roman"/>
          <w:highlight w:val="none"/>
          <w:lang w:val="en-US" w:eastAsia="zh-CN"/>
        </w:rPr>
        <w:t>基本要求</w:t>
      </w:r>
      <w:r>
        <w:tab/>
      </w:r>
      <w:r>
        <w:fldChar w:fldCharType="begin"/>
      </w:r>
      <w:r>
        <w:instrText xml:space="preserve"> PAGEREF _Toc14725 \h </w:instrText>
      </w:r>
      <w:r>
        <w:fldChar w:fldCharType="separate"/>
      </w:r>
      <w:r>
        <w:t>11</w:t>
      </w:r>
      <w:r>
        <w:fldChar w:fldCharType="end"/>
      </w:r>
      <w:r>
        <w:rPr>
          <w:szCs w:val="21"/>
          <w:highlight w:val="none"/>
        </w:rPr>
        <w:fldChar w:fldCharType="end"/>
      </w:r>
    </w:p>
    <w:p w14:paraId="6408003D">
      <w:pPr>
        <w:pStyle w:val="14"/>
        <w:tabs>
          <w:tab w:val="right" w:leader="dot" w:pos="9355"/>
          <w:tab w:val="clear" w:pos="9241"/>
        </w:tabs>
      </w:pPr>
      <w:r>
        <w:rPr>
          <w:szCs w:val="21"/>
          <w:highlight w:val="none"/>
        </w:rPr>
        <w:fldChar w:fldCharType="begin"/>
      </w:r>
      <w:r>
        <w:rPr>
          <w:szCs w:val="21"/>
          <w:highlight w:val="none"/>
        </w:rPr>
        <w:instrText xml:space="preserve"> HYPERLINK \l _Toc21881 </w:instrText>
      </w:r>
      <w:r>
        <w:rPr>
          <w:szCs w:val="21"/>
          <w:highlight w:val="none"/>
        </w:rPr>
        <w:fldChar w:fldCharType="separate"/>
      </w:r>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t xml:space="preserve">9.2 </w:t>
      </w:r>
      <w:r>
        <w:rPr>
          <w:rFonts w:hint="eastAsia" w:cs="Times New Roman"/>
          <w:highlight w:val="none"/>
          <w:lang w:val="en-US" w:eastAsia="zh-CN"/>
        </w:rPr>
        <w:t>数据管理</w:t>
      </w:r>
      <w:r>
        <w:tab/>
      </w:r>
      <w:r>
        <w:fldChar w:fldCharType="begin"/>
      </w:r>
      <w:r>
        <w:instrText xml:space="preserve"> PAGEREF _Toc21881 \h </w:instrText>
      </w:r>
      <w:r>
        <w:fldChar w:fldCharType="separate"/>
      </w:r>
      <w:r>
        <w:t>11</w:t>
      </w:r>
      <w:r>
        <w:fldChar w:fldCharType="end"/>
      </w:r>
      <w:r>
        <w:rPr>
          <w:szCs w:val="21"/>
          <w:highlight w:val="none"/>
        </w:rPr>
        <w:fldChar w:fldCharType="end"/>
      </w:r>
    </w:p>
    <w:p w14:paraId="572CEFDB">
      <w:pPr>
        <w:pStyle w:val="21"/>
        <w:tabs>
          <w:tab w:val="right" w:leader="dot" w:pos="9355"/>
          <w:tab w:val="clear" w:pos="9241"/>
        </w:tabs>
      </w:pPr>
      <w:r>
        <w:rPr>
          <w:szCs w:val="21"/>
          <w:highlight w:val="none"/>
        </w:rPr>
        <w:fldChar w:fldCharType="begin"/>
      </w:r>
      <w:r>
        <w:rPr>
          <w:szCs w:val="21"/>
          <w:highlight w:val="none"/>
        </w:rPr>
        <w:instrText xml:space="preserve"> HYPERLINK \l _Toc23089 </w:instrText>
      </w:r>
      <w:r>
        <w:rPr>
          <w:szCs w:val="21"/>
          <w:highlight w:val="none"/>
        </w:rPr>
        <w:fldChar w:fldCharType="separate"/>
      </w:r>
      <w:r>
        <w:rPr>
          <w:rFonts w:hint="eastAsia" w:ascii="黑体" w:hAnsi="Times New Roman" w:eastAsia="黑体"/>
          <w:i w:val="0"/>
          <w:spacing w:val="0"/>
          <w:w w:val="100"/>
        </w:rPr>
        <w:t xml:space="preserve">附　录　A </w:t>
      </w:r>
      <w:r>
        <w:rPr>
          <w:highlight w:val="none"/>
        </w:rPr>
        <w:t xml:space="preserve"> </w:t>
      </w:r>
      <w:r>
        <w:rPr>
          <w:rFonts w:hint="eastAsia"/>
          <w:highlight w:val="none"/>
        </w:rPr>
        <w:t>（规范性）</w:t>
      </w:r>
      <w:r>
        <w:rPr>
          <w:highlight w:val="none"/>
        </w:rPr>
        <w:t xml:space="preserve"> </w:t>
      </w:r>
      <w:r>
        <w:rPr>
          <w:rFonts w:hint="eastAsia"/>
          <w:highlight w:val="none"/>
          <w:lang w:eastAsia="zh-CN"/>
        </w:rPr>
        <w:t>指标计算方法及数据来源</w:t>
      </w:r>
      <w:r>
        <w:tab/>
      </w:r>
      <w:r>
        <w:fldChar w:fldCharType="begin"/>
      </w:r>
      <w:r>
        <w:instrText xml:space="preserve"> PAGEREF _Toc23089 \h </w:instrText>
      </w:r>
      <w:r>
        <w:fldChar w:fldCharType="separate"/>
      </w:r>
      <w:r>
        <w:t>13</w:t>
      </w:r>
      <w:r>
        <w:fldChar w:fldCharType="end"/>
      </w:r>
      <w:r>
        <w:rPr>
          <w:szCs w:val="21"/>
          <w:highlight w:val="none"/>
        </w:rPr>
        <w:fldChar w:fldCharType="end"/>
      </w:r>
    </w:p>
    <w:p w14:paraId="416A7406">
      <w:pPr>
        <w:pStyle w:val="21"/>
        <w:tabs>
          <w:tab w:val="right" w:leader="dot" w:pos="9355"/>
          <w:tab w:val="clear" w:pos="9241"/>
        </w:tabs>
      </w:pPr>
      <w:r>
        <w:rPr>
          <w:szCs w:val="21"/>
          <w:highlight w:val="none"/>
        </w:rPr>
        <w:fldChar w:fldCharType="begin"/>
      </w:r>
      <w:r>
        <w:rPr>
          <w:szCs w:val="21"/>
          <w:highlight w:val="none"/>
        </w:rPr>
        <w:instrText xml:space="preserve"> HYPERLINK \l _Toc20245 </w:instrText>
      </w:r>
      <w:r>
        <w:rPr>
          <w:szCs w:val="21"/>
          <w:highlight w:val="none"/>
        </w:rPr>
        <w:fldChar w:fldCharType="separate"/>
      </w:r>
      <w:r>
        <w:rPr>
          <w:rFonts w:hint="eastAsia" w:ascii="黑体" w:hAnsi="Times New Roman" w:eastAsia="黑体"/>
          <w:i w:val="0"/>
          <w:spacing w:val="0"/>
          <w:w w:val="100"/>
        </w:rPr>
        <w:t xml:space="preserve">附　录　B </w:t>
      </w:r>
      <w:r>
        <w:rPr>
          <w:highlight w:val="none"/>
        </w:rPr>
        <w:t xml:space="preserve"> </w:t>
      </w:r>
      <w:r>
        <w:rPr>
          <w:rFonts w:hint="eastAsia"/>
          <w:highlight w:val="none"/>
        </w:rPr>
        <w:t>（</w:t>
      </w:r>
      <w:r>
        <w:rPr>
          <w:rFonts w:hint="eastAsia"/>
          <w:highlight w:val="none"/>
          <w:lang w:val="en-US" w:eastAsia="zh-CN"/>
        </w:rPr>
        <w:t>规范</w:t>
      </w:r>
      <w:r>
        <w:rPr>
          <w:rFonts w:hint="eastAsia"/>
          <w:highlight w:val="none"/>
        </w:rPr>
        <w:t>性）</w:t>
      </w:r>
      <w:r>
        <w:rPr>
          <w:highlight w:val="none"/>
        </w:rPr>
        <w:t xml:space="preserve"> </w:t>
      </w:r>
      <w:r>
        <w:rPr>
          <w:rFonts w:hint="eastAsia"/>
          <w:highlight w:val="none"/>
          <w:lang w:eastAsia="zh-CN"/>
        </w:rPr>
        <w:t>生态现状调查表</w:t>
      </w:r>
      <w:r>
        <w:tab/>
      </w:r>
      <w:r>
        <w:fldChar w:fldCharType="begin"/>
      </w:r>
      <w:r>
        <w:instrText xml:space="preserve"> PAGEREF _Toc20245 \h </w:instrText>
      </w:r>
      <w:r>
        <w:fldChar w:fldCharType="separate"/>
      </w:r>
      <w:r>
        <w:t>21</w:t>
      </w:r>
      <w:r>
        <w:fldChar w:fldCharType="end"/>
      </w:r>
      <w:r>
        <w:rPr>
          <w:szCs w:val="21"/>
          <w:highlight w:val="none"/>
        </w:rPr>
        <w:fldChar w:fldCharType="end"/>
      </w:r>
    </w:p>
    <w:p w14:paraId="2673E766">
      <w:pPr>
        <w:pStyle w:val="21"/>
        <w:tabs>
          <w:tab w:val="right" w:leader="dot" w:pos="9355"/>
          <w:tab w:val="clear" w:pos="9241"/>
        </w:tabs>
      </w:pPr>
      <w:r>
        <w:rPr>
          <w:szCs w:val="21"/>
          <w:highlight w:val="none"/>
        </w:rPr>
        <w:fldChar w:fldCharType="begin"/>
      </w:r>
      <w:r>
        <w:rPr>
          <w:szCs w:val="21"/>
          <w:highlight w:val="none"/>
        </w:rPr>
        <w:instrText xml:space="preserve"> HYPERLINK \l _Toc5958 </w:instrText>
      </w:r>
      <w:r>
        <w:rPr>
          <w:szCs w:val="21"/>
          <w:highlight w:val="none"/>
        </w:rPr>
        <w:fldChar w:fldCharType="separate"/>
      </w:r>
      <w:r>
        <w:rPr>
          <w:rFonts w:hint="eastAsia" w:ascii="黑体" w:hAnsi="Times New Roman" w:eastAsia="黑体"/>
          <w:i w:val="0"/>
          <w:spacing w:val="0"/>
          <w:w w:val="100"/>
        </w:rPr>
        <w:t xml:space="preserve">附　录　C </w:t>
      </w:r>
      <w:r>
        <w:rPr>
          <w:highlight w:val="none"/>
        </w:rPr>
        <w:t xml:space="preserve"> </w:t>
      </w:r>
      <w:r>
        <w:rPr>
          <w:rFonts w:hint="eastAsia"/>
          <w:highlight w:val="none"/>
        </w:rPr>
        <w:t>（</w:t>
      </w:r>
      <w:r>
        <w:rPr>
          <w:rFonts w:hint="eastAsia"/>
          <w:highlight w:val="none"/>
          <w:lang w:eastAsia="zh-CN"/>
        </w:rPr>
        <w:t>资料性</w:t>
      </w:r>
      <w:r>
        <w:rPr>
          <w:rFonts w:hint="eastAsia"/>
          <w:highlight w:val="none"/>
        </w:rPr>
        <w:t>）</w:t>
      </w:r>
      <w:r>
        <w:rPr>
          <w:highlight w:val="none"/>
        </w:rPr>
        <w:t xml:space="preserve"> </w:t>
      </w:r>
      <w:r>
        <w:rPr>
          <w:rFonts w:hint="eastAsia"/>
          <w:highlight w:val="none"/>
          <w:lang w:eastAsia="zh-CN"/>
        </w:rPr>
        <w:t>典型生态单元生态现状综合评价细则</w:t>
      </w:r>
      <w:r>
        <w:tab/>
      </w:r>
      <w:r>
        <w:fldChar w:fldCharType="begin"/>
      </w:r>
      <w:r>
        <w:instrText xml:space="preserve"> PAGEREF _Toc5958 \h </w:instrText>
      </w:r>
      <w:r>
        <w:fldChar w:fldCharType="separate"/>
      </w:r>
      <w:r>
        <w:t>22</w:t>
      </w:r>
      <w:r>
        <w:fldChar w:fldCharType="end"/>
      </w:r>
      <w:r>
        <w:rPr>
          <w:szCs w:val="21"/>
          <w:highlight w:val="none"/>
        </w:rPr>
        <w:fldChar w:fldCharType="end"/>
      </w:r>
    </w:p>
    <w:p w14:paraId="2011181C">
      <w:pPr>
        <w:pStyle w:val="21"/>
        <w:tabs>
          <w:tab w:val="right" w:leader="dot" w:pos="9355"/>
          <w:tab w:val="clear" w:pos="9241"/>
        </w:tabs>
      </w:pPr>
      <w:r>
        <w:rPr>
          <w:szCs w:val="21"/>
          <w:highlight w:val="none"/>
        </w:rPr>
        <w:fldChar w:fldCharType="begin"/>
      </w:r>
      <w:r>
        <w:rPr>
          <w:szCs w:val="21"/>
          <w:highlight w:val="none"/>
        </w:rPr>
        <w:instrText xml:space="preserve"> HYPERLINK \l _Toc27310 </w:instrText>
      </w:r>
      <w:r>
        <w:rPr>
          <w:szCs w:val="21"/>
          <w:highlight w:val="none"/>
        </w:rPr>
        <w:fldChar w:fldCharType="separate"/>
      </w:r>
      <w:r>
        <w:rPr>
          <w:rFonts w:hint="eastAsia" w:ascii="黑体" w:hAnsi="Times New Roman" w:eastAsia="黑体"/>
          <w:i w:val="0"/>
          <w:spacing w:val="0"/>
          <w:w w:val="100"/>
        </w:rPr>
        <w:t xml:space="preserve">附　录　D </w:t>
      </w:r>
      <w:r>
        <w:rPr>
          <w:highlight w:val="none"/>
        </w:rPr>
        <w:t xml:space="preserve"> </w:t>
      </w:r>
      <w:r>
        <w:rPr>
          <w:rFonts w:hint="eastAsia"/>
          <w:highlight w:val="none"/>
        </w:rPr>
        <w:t>（</w:t>
      </w:r>
      <w:r>
        <w:rPr>
          <w:rFonts w:hint="eastAsia"/>
          <w:highlight w:val="none"/>
          <w:lang w:eastAsia="zh-CN"/>
        </w:rPr>
        <w:t>规范性</w:t>
      </w:r>
      <w:r>
        <w:rPr>
          <w:rFonts w:hint="eastAsia"/>
          <w:highlight w:val="none"/>
        </w:rPr>
        <w:t>）</w:t>
      </w:r>
      <w:r>
        <w:rPr>
          <w:highlight w:val="none"/>
        </w:rPr>
        <w:t xml:space="preserve"> </w:t>
      </w:r>
      <w:r>
        <w:rPr>
          <w:rFonts w:hint="eastAsia"/>
          <w:highlight w:val="none"/>
          <w:lang w:eastAsia="zh-CN"/>
        </w:rPr>
        <w:t>生态单元生态现状调查评价报告编写提纲</w:t>
      </w:r>
      <w:r>
        <w:tab/>
      </w:r>
      <w:r>
        <w:fldChar w:fldCharType="begin"/>
      </w:r>
      <w:r>
        <w:instrText xml:space="preserve"> PAGEREF _Toc27310 \h </w:instrText>
      </w:r>
      <w:r>
        <w:fldChar w:fldCharType="separate"/>
      </w:r>
      <w:r>
        <w:t>25</w:t>
      </w:r>
      <w:r>
        <w:fldChar w:fldCharType="end"/>
      </w:r>
      <w:r>
        <w:rPr>
          <w:szCs w:val="21"/>
          <w:highlight w:val="none"/>
        </w:rPr>
        <w:fldChar w:fldCharType="end"/>
      </w:r>
    </w:p>
    <w:p w14:paraId="6412EC67">
      <w:pPr>
        <w:pStyle w:val="21"/>
        <w:tabs>
          <w:tab w:val="right" w:leader="dot" w:pos="9355"/>
          <w:tab w:val="clear" w:pos="9241"/>
        </w:tabs>
      </w:pPr>
      <w:r>
        <w:rPr>
          <w:szCs w:val="21"/>
          <w:highlight w:val="none"/>
        </w:rPr>
        <w:fldChar w:fldCharType="begin"/>
      </w:r>
      <w:r>
        <w:rPr>
          <w:szCs w:val="21"/>
          <w:highlight w:val="none"/>
        </w:rPr>
        <w:instrText xml:space="preserve"> HYPERLINK \l _Toc23544 </w:instrText>
      </w:r>
      <w:r>
        <w:rPr>
          <w:szCs w:val="21"/>
          <w:highlight w:val="none"/>
        </w:rPr>
        <w:fldChar w:fldCharType="separate"/>
      </w:r>
      <w:r>
        <w:rPr>
          <w:rFonts w:hint="eastAsia"/>
          <w:highlight w:val="none"/>
        </w:rPr>
        <w:t>参</w:t>
      </w:r>
      <w:r>
        <w:rPr>
          <w:rFonts w:hAnsi="黑体"/>
          <w:highlight w:val="none"/>
        </w:rPr>
        <w:t> </w:t>
      </w:r>
      <w:r>
        <w:rPr>
          <w:rFonts w:hint="eastAsia"/>
          <w:highlight w:val="none"/>
        </w:rPr>
        <w:t>考</w:t>
      </w:r>
      <w:r>
        <w:rPr>
          <w:rFonts w:hAnsi="黑体"/>
          <w:highlight w:val="none"/>
        </w:rPr>
        <w:t> </w:t>
      </w:r>
      <w:r>
        <w:rPr>
          <w:rFonts w:hint="eastAsia"/>
          <w:highlight w:val="none"/>
        </w:rPr>
        <w:t>文</w:t>
      </w:r>
      <w:r>
        <w:rPr>
          <w:rFonts w:hAnsi="黑体"/>
          <w:highlight w:val="none"/>
        </w:rPr>
        <w:t> </w:t>
      </w:r>
      <w:r>
        <w:rPr>
          <w:rFonts w:hint="eastAsia"/>
          <w:highlight w:val="none"/>
        </w:rPr>
        <w:t>献</w:t>
      </w:r>
      <w:r>
        <w:tab/>
      </w:r>
      <w:r>
        <w:fldChar w:fldCharType="begin"/>
      </w:r>
      <w:r>
        <w:instrText xml:space="preserve"> PAGEREF _Toc23544 \h </w:instrText>
      </w:r>
      <w:r>
        <w:fldChar w:fldCharType="separate"/>
      </w:r>
      <w:r>
        <w:t>28</w:t>
      </w:r>
      <w:r>
        <w:fldChar w:fldCharType="end"/>
      </w:r>
      <w:r>
        <w:rPr>
          <w:szCs w:val="21"/>
          <w:highlight w:val="none"/>
        </w:rPr>
        <w:fldChar w:fldCharType="end"/>
      </w:r>
    </w:p>
    <w:p w14:paraId="008BCE63">
      <w:pPr>
        <w:keepNext w:val="0"/>
        <w:keepLines w:val="0"/>
        <w:pageBreakBefore w:val="0"/>
        <w:kinsoku/>
        <w:wordWrap/>
        <w:overflowPunct/>
        <w:topLinePunct w:val="0"/>
        <w:autoSpaceDE/>
        <w:autoSpaceDN/>
        <w:bidi w:val="0"/>
        <w:adjustRightInd/>
        <w:snapToGrid/>
        <w:spacing w:line="240" w:lineRule="auto"/>
        <w:textAlignment w:val="auto"/>
        <w:rPr>
          <w:sz w:val="21"/>
          <w:szCs w:val="21"/>
          <w:highlight w:val="none"/>
        </w:rPr>
      </w:pPr>
      <w:r>
        <w:rPr>
          <w:szCs w:val="21"/>
          <w:highlight w:val="none"/>
        </w:rPr>
        <w:fldChar w:fldCharType="end"/>
      </w:r>
    </w:p>
    <w:p w14:paraId="09F63A82">
      <w:pPr>
        <w:keepNext w:val="0"/>
        <w:keepLines w:val="0"/>
        <w:pageBreakBefore w:val="0"/>
        <w:kinsoku/>
        <w:wordWrap/>
        <w:overflowPunct/>
        <w:topLinePunct w:val="0"/>
        <w:autoSpaceDE/>
        <w:autoSpaceDN/>
        <w:bidi w:val="0"/>
        <w:adjustRightInd/>
        <w:snapToGrid/>
        <w:spacing w:line="240" w:lineRule="auto"/>
        <w:textAlignment w:val="auto"/>
        <w:rPr>
          <w:highlight w:val="none"/>
        </w:rPr>
      </w:pPr>
    </w:p>
    <w:p w14:paraId="7F698680">
      <w:pPr>
        <w:pStyle w:val="21"/>
        <w:spacing w:before="78" w:after="78"/>
        <w:rPr>
          <w:highlight w:val="none"/>
        </w:rPr>
        <w:sectPr>
          <w:headerReference r:id="rId5" w:type="default"/>
          <w:footerReference r:id="rId6" w:type="default"/>
          <w:footerReference r:id="rId7" w:type="even"/>
          <w:pgSz w:w="11906" w:h="16838"/>
          <w:pgMar w:top="567" w:right="1134" w:bottom="1134" w:left="1417" w:header="1418" w:footer="1134" w:gutter="0"/>
          <w:pgNumType w:fmt="upperRoman" w:start="1"/>
          <w:cols w:space="720" w:num="1"/>
          <w:formProt w:val="0"/>
          <w:docGrid w:type="lines" w:linePitch="312" w:charSpace="0"/>
        </w:sectPr>
      </w:pPr>
    </w:p>
    <w:p w14:paraId="732D1C9F"/>
    <w:p w14:paraId="3D9D213D">
      <w:pPr>
        <w:pStyle w:val="91"/>
        <w:rPr>
          <w:rFonts w:hint="eastAsia"/>
          <w:highlight w:val="none"/>
        </w:rPr>
        <w:sectPr>
          <w:footerReference r:id="rId8" w:type="default"/>
          <w:footerReference r:id="rId9" w:type="even"/>
          <w:pgSz w:w="11906" w:h="16838"/>
          <w:pgMar w:top="567" w:right="1134" w:bottom="1134" w:left="1417" w:header="1418" w:footer="1134" w:gutter="0"/>
          <w:pgNumType w:fmt="upperRoman" w:start="1"/>
          <w:cols w:space="720" w:num="1"/>
          <w:formProt w:val="0"/>
          <w:docGrid w:type="lines" w:linePitch="312" w:charSpace="0"/>
        </w:sectPr>
      </w:pPr>
      <w:bookmarkStart w:id="27" w:name="_Toc8453"/>
      <w:bookmarkStart w:id="28" w:name="_Toc16387"/>
      <w:bookmarkStart w:id="29" w:name="_Toc13451"/>
      <w:bookmarkStart w:id="30" w:name="_Toc450293150"/>
    </w:p>
    <w:p w14:paraId="1F345BE1">
      <w:pPr>
        <w:pStyle w:val="91"/>
        <w:rPr>
          <w:rFonts w:hint="eastAsia"/>
          <w:highlight w:val="none"/>
        </w:rPr>
      </w:pPr>
      <w:bookmarkStart w:id="31" w:name="_Toc20328"/>
      <w:bookmarkStart w:id="32" w:name="_Toc6649"/>
      <w:bookmarkStart w:id="33" w:name="_Toc19986"/>
      <w:bookmarkStart w:id="34" w:name="_Toc12100"/>
      <w:bookmarkStart w:id="35" w:name="_Toc19595"/>
      <w:bookmarkStart w:id="36" w:name="_Toc26296"/>
      <w:bookmarkStart w:id="37" w:name="_Toc8627"/>
      <w:r>
        <w:rPr>
          <w:rFonts w:hint="eastAsia"/>
          <w:highlight w:val="none"/>
        </w:rPr>
        <w:t>前</w:t>
      </w:r>
      <w:bookmarkStart w:id="38" w:name="BKQY"/>
      <w:r>
        <w:rPr>
          <w:rFonts w:hAnsi="黑体"/>
          <w:highlight w:val="none"/>
        </w:rPr>
        <w:t>  </w:t>
      </w:r>
      <w:r>
        <w:rPr>
          <w:rFonts w:hint="eastAsia"/>
          <w:highlight w:val="none"/>
        </w:rPr>
        <w:t>言</w:t>
      </w:r>
      <w:bookmarkEnd w:id="27"/>
      <w:bookmarkEnd w:id="28"/>
      <w:bookmarkEnd w:id="29"/>
      <w:bookmarkEnd w:id="30"/>
      <w:bookmarkEnd w:id="31"/>
      <w:bookmarkEnd w:id="32"/>
      <w:bookmarkEnd w:id="33"/>
      <w:bookmarkEnd w:id="34"/>
      <w:bookmarkEnd w:id="35"/>
      <w:bookmarkEnd w:id="36"/>
      <w:bookmarkEnd w:id="37"/>
      <w:bookmarkEnd w:id="38"/>
    </w:p>
    <w:p w14:paraId="7E77BEFA">
      <w:pPr>
        <w:pStyle w:val="25"/>
        <w:rPr>
          <w:rFonts w:hint="eastAsia"/>
          <w:highlight w:val="none"/>
        </w:rPr>
      </w:pPr>
      <w:r>
        <w:rPr>
          <w:rFonts w:hint="eastAsia"/>
          <w:highlight w:val="none"/>
          <w:lang w:eastAsia="zh-CN"/>
        </w:rPr>
        <w:t>本文件</w:t>
      </w:r>
      <w:r>
        <w:rPr>
          <w:rFonts w:hint="eastAsia"/>
          <w:highlight w:val="none"/>
        </w:rPr>
        <w:t>按照GB/T 1.1—2020《标准化工作导则 第1部分:标准化文件的结构和起草规则》的</w:t>
      </w:r>
    </w:p>
    <w:p w14:paraId="3AD15C8E">
      <w:pPr>
        <w:pStyle w:val="25"/>
        <w:ind w:firstLine="0" w:firstLineChars="0"/>
        <w:rPr>
          <w:rFonts w:hint="eastAsia"/>
          <w:highlight w:val="none"/>
        </w:rPr>
      </w:pPr>
      <w:r>
        <w:rPr>
          <w:rFonts w:hint="eastAsia"/>
          <w:highlight w:val="none"/>
        </w:rPr>
        <w:t>规定起草。</w:t>
      </w:r>
    </w:p>
    <w:p w14:paraId="2F0C9F12">
      <w:pPr>
        <w:ind w:firstLine="420" w:firstLineChars="200"/>
        <w:rPr>
          <w:rFonts w:hint="eastAsia"/>
          <w:highlight w:val="none"/>
          <w:lang w:eastAsia="zh-CN"/>
        </w:rPr>
      </w:pPr>
      <w:r>
        <w:rPr>
          <w:rFonts w:hint="eastAsia" w:ascii="Times New Roman" w:hAnsi="Times New Roman" w:eastAsia="宋体"/>
          <w:color w:val="auto"/>
          <w:szCs w:val="24"/>
          <w:highlight w:val="none"/>
        </w:rPr>
        <w:t>请注意本文件的某些内容可能涉及专利。本文件的发布机构不承担识别专利的责任。</w:t>
      </w:r>
    </w:p>
    <w:p w14:paraId="639FD8E3">
      <w:pPr>
        <w:pStyle w:val="25"/>
        <w:rPr>
          <w:rFonts w:hint="eastAsia"/>
          <w:highlight w:val="none"/>
        </w:rPr>
      </w:pPr>
      <w:r>
        <w:rPr>
          <w:rFonts w:hint="eastAsia"/>
          <w:highlight w:val="none"/>
          <w:lang w:eastAsia="zh-CN"/>
        </w:rPr>
        <w:t>本文件</w:t>
      </w:r>
      <w:r>
        <w:rPr>
          <w:rFonts w:hint="eastAsia"/>
          <w:highlight w:val="none"/>
        </w:rPr>
        <w:t>由中国地质灾害防治与生态修复协会提出并归口。</w:t>
      </w:r>
    </w:p>
    <w:p w14:paraId="61B84EED">
      <w:pPr>
        <w:pStyle w:val="25"/>
        <w:rPr>
          <w:rFonts w:hint="eastAsia" w:ascii="宋体" w:hAnsi="Times New Roman" w:eastAsia="宋体" w:cs="Times New Roman"/>
          <w:highlight w:val="none"/>
          <w:lang w:val="en-US" w:eastAsia="zh-CN"/>
        </w:rPr>
      </w:pPr>
      <w:r>
        <w:rPr>
          <w:rFonts w:hint="eastAsia" w:cs="Times New Roman"/>
          <w:highlight w:val="none"/>
          <w:lang w:val="en-US" w:eastAsia="zh-CN"/>
        </w:rPr>
        <w:t>本文件</w:t>
      </w:r>
      <w:r>
        <w:rPr>
          <w:rFonts w:hint="eastAsia" w:ascii="宋体" w:hAnsi="Times New Roman" w:eastAsia="宋体" w:cs="Times New Roman"/>
          <w:highlight w:val="none"/>
          <w:lang w:val="en-US" w:eastAsia="zh-CN"/>
        </w:rPr>
        <w:t>起草单位: 自然资源部咨询研究中心、中国地质工程集团有限公司、陕西地矿第二工程勘察院有限公司、中国地质调查局军民</w:t>
      </w:r>
      <w:r>
        <w:rPr>
          <w:rFonts w:hint="eastAsia" w:cs="Times New Roman"/>
          <w:highlight w:val="none"/>
          <w:lang w:val="en-US" w:eastAsia="zh-CN"/>
        </w:rPr>
        <w:t>融合</w:t>
      </w:r>
      <w:r>
        <w:rPr>
          <w:rFonts w:hint="eastAsia" w:ascii="宋体" w:hAnsi="Times New Roman" w:eastAsia="宋体" w:cs="Times New Roman"/>
          <w:highlight w:val="none"/>
          <w:lang w:val="en-US" w:eastAsia="zh-CN"/>
        </w:rPr>
        <w:t>地质调查中心、自然资源部国土整治中心</w:t>
      </w:r>
    </w:p>
    <w:p w14:paraId="13BCC747">
      <w:pPr>
        <w:pStyle w:val="25"/>
        <w:rPr>
          <w:rFonts w:hint="eastAsia"/>
          <w:highlight w:val="none"/>
          <w:lang w:eastAsia="zh-CN"/>
        </w:rPr>
      </w:pPr>
      <w:r>
        <w:rPr>
          <w:rFonts w:hint="eastAsia"/>
          <w:highlight w:val="none"/>
          <w:lang w:eastAsia="zh-CN"/>
        </w:rPr>
        <w:t xml:space="preserve">本文件主要起草人: </w:t>
      </w:r>
      <w:r>
        <w:rPr>
          <w:rFonts w:hint="eastAsia"/>
          <w:highlight w:val="none"/>
          <w:lang w:val="en-US" w:eastAsia="zh-CN"/>
        </w:rPr>
        <w:t>姜杉钰、邵旭升、冯聪、冯少华、谭丽萍、刘毅、宋建新、曹清华、王文明、周天智、李萌、姚志禄、樊笑英、李彦斌、王峰、牛宝琪、曹丽娟、王冲、李婷、杜雪明、许策</w:t>
      </w:r>
    </w:p>
    <w:p w14:paraId="67AD4A6F">
      <w:pPr>
        <w:pStyle w:val="25"/>
        <w:rPr>
          <w:rFonts w:hint="eastAsia" w:ascii="宋体" w:hAnsi="Times New Roman" w:eastAsia="宋体" w:cs="Times New Roman"/>
          <w:highlight w:val="none"/>
        </w:rPr>
        <w:sectPr>
          <w:footerReference r:id="rId10" w:type="default"/>
          <w:footerReference r:id="rId11" w:type="even"/>
          <w:pgSz w:w="11906" w:h="16838"/>
          <w:pgMar w:top="567" w:right="1134" w:bottom="1134" w:left="1417" w:header="1418" w:footer="1134" w:gutter="0"/>
          <w:pgNumType w:fmt="upperRoman" w:start="1"/>
          <w:cols w:space="720" w:num="1"/>
          <w:formProt w:val="0"/>
          <w:docGrid w:type="lines" w:linePitch="312" w:charSpace="0"/>
        </w:sectPr>
      </w:pPr>
    </w:p>
    <w:p w14:paraId="3EEEF589">
      <w:pPr>
        <w:pStyle w:val="25"/>
        <w:rPr>
          <w:rFonts w:hint="eastAsia" w:ascii="宋体" w:hAnsi="Times New Roman" w:eastAsia="宋体" w:cs="Times New Roman"/>
          <w:highlight w:val="none"/>
        </w:rPr>
      </w:pPr>
    </w:p>
    <w:p w14:paraId="1C6E1C4E">
      <w:pPr>
        <w:pStyle w:val="60"/>
        <w:shd w:val="clear" w:color="FFFFFF" w:fill="FFFFFF"/>
        <w:jc w:val="both"/>
        <w:rPr>
          <w:rFonts w:hint="eastAsia" w:hAnsi="Times New Roman" w:cs="Times New Roman"/>
          <w:highlight w:val="none"/>
          <w:lang w:eastAsia="zh-CN"/>
        </w:rPr>
        <w:sectPr>
          <w:footerReference r:id="rId12" w:type="default"/>
          <w:footerReference r:id="rId13" w:type="even"/>
          <w:type w:val="continuous"/>
          <w:pgSz w:w="11906" w:h="16838"/>
          <w:pgMar w:top="567" w:right="1134" w:bottom="1134" w:left="1417" w:header="1418" w:footer="1134" w:gutter="0"/>
          <w:pgNumType w:start="1"/>
          <w:cols w:space="720" w:num="1"/>
          <w:formProt w:val="0"/>
          <w:docGrid w:type="lines" w:linePitch="312" w:charSpace="0"/>
        </w:sectPr>
      </w:pPr>
      <w:bookmarkStart w:id="39" w:name="_Toc24377"/>
      <w:bookmarkStart w:id="40" w:name="_Toc24419"/>
    </w:p>
    <w:p w14:paraId="5F6172E4">
      <w:pPr>
        <w:pStyle w:val="60"/>
        <w:shd w:val="clear" w:color="FFFFFF" w:fill="FFFFFF"/>
        <w:rPr>
          <w:rFonts w:hint="eastAsia" w:hAnsi="Times New Roman" w:cs="Times New Roman"/>
          <w:highlight w:val="none"/>
          <w:lang w:eastAsia="zh-CN"/>
        </w:rPr>
        <w:sectPr>
          <w:footerReference r:id="rId14" w:type="default"/>
          <w:footerReference r:id="rId15" w:type="even"/>
          <w:pgSz w:w="11906" w:h="16838"/>
          <w:pgMar w:top="567" w:right="1134" w:bottom="1134" w:left="1417" w:header="1418" w:footer="1134" w:gutter="0"/>
          <w:pgNumType w:start="1"/>
          <w:cols w:space="720" w:num="1"/>
          <w:formProt w:val="0"/>
          <w:docGrid w:type="lines" w:linePitch="312" w:charSpace="0"/>
        </w:sectPr>
      </w:pPr>
      <w:bookmarkStart w:id="41" w:name="_Toc25224"/>
      <w:bookmarkStart w:id="42" w:name="_Toc18943"/>
      <w:bookmarkStart w:id="43" w:name="_Toc7870"/>
    </w:p>
    <w:p w14:paraId="3649A280">
      <w:pPr>
        <w:pStyle w:val="91"/>
        <w:rPr>
          <w:rFonts w:hint="eastAsia"/>
          <w:highlight w:val="none"/>
        </w:rPr>
      </w:pPr>
      <w:bookmarkStart w:id="44" w:name="_Toc450293151"/>
      <w:bookmarkStart w:id="45" w:name="_Toc25277"/>
      <w:bookmarkStart w:id="46" w:name="_Toc4482"/>
      <w:bookmarkStart w:id="47" w:name="_Toc13685"/>
      <w:bookmarkStart w:id="48" w:name="_Toc2828"/>
      <w:bookmarkStart w:id="49" w:name="_Toc6499"/>
      <w:bookmarkStart w:id="50" w:name="_Toc22749"/>
      <w:bookmarkStart w:id="51" w:name="_Toc16434"/>
      <w:r>
        <w:rPr>
          <w:rFonts w:hint="eastAsia"/>
          <w:highlight w:val="none"/>
        </w:rPr>
        <w:t>引</w:t>
      </w:r>
      <w:bookmarkStart w:id="52" w:name="BKYY"/>
      <w:r>
        <w:rPr>
          <w:rFonts w:hAnsi="黑体"/>
          <w:highlight w:val="none"/>
        </w:rPr>
        <w:t>  </w:t>
      </w:r>
      <w:r>
        <w:rPr>
          <w:rFonts w:hint="eastAsia"/>
          <w:highlight w:val="none"/>
        </w:rPr>
        <w:t>言</w:t>
      </w:r>
      <w:bookmarkEnd w:id="44"/>
      <w:bookmarkEnd w:id="45"/>
      <w:bookmarkEnd w:id="46"/>
      <w:bookmarkEnd w:id="47"/>
      <w:bookmarkEnd w:id="48"/>
      <w:bookmarkEnd w:id="49"/>
      <w:bookmarkEnd w:id="50"/>
      <w:bookmarkEnd w:id="51"/>
      <w:bookmarkEnd w:id="52"/>
    </w:p>
    <w:p w14:paraId="775D0DB5">
      <w:pPr>
        <w:pStyle w:val="25"/>
        <w:keepNext w:val="0"/>
        <w:keepLines w:val="0"/>
        <w:widowControl/>
        <w:suppressLineNumbers w:val="0"/>
        <w:ind w:firstLine="630" w:firstLineChars="300"/>
        <w:jc w:val="left"/>
        <w:rPr>
          <w:rFonts w:hint="eastAsia" w:ascii="宋体" w:hAnsi="Times New Roman" w:eastAsia="宋体" w:cs="Times New Roman"/>
          <w:sz w:val="21"/>
          <w:szCs w:val="20"/>
          <w:highlight w:val="none"/>
          <w:lang w:val="en-US" w:eastAsia="zh-CN"/>
        </w:rPr>
      </w:pPr>
      <w:r>
        <w:rPr>
          <w:rFonts w:hint="eastAsia" w:ascii="宋体" w:hAnsi="Times New Roman" w:eastAsia="宋体" w:cs="Times New Roman"/>
          <w:sz w:val="21"/>
          <w:szCs w:val="20"/>
          <w:highlight w:val="none"/>
          <w:lang w:val="en-US" w:eastAsia="zh-CN"/>
        </w:rPr>
        <w:t>生态单元是国土生态空间详细规划的一类技术单元，是国土空间生态修复和全域土地综合整治的基本范围。在生态文明建设的大背景下，随着国土空间详细规划编制和国土空间生态修复及全域土地综合整治工作的协同推进，</w:t>
      </w:r>
      <w:r>
        <w:rPr>
          <w:rFonts w:hint="eastAsia" w:cs="Times New Roman"/>
          <w:sz w:val="21"/>
          <w:szCs w:val="20"/>
          <w:highlight w:val="none"/>
          <w:lang w:val="en-US" w:eastAsia="zh-CN"/>
        </w:rPr>
        <w:t>编制</w:t>
      </w:r>
      <w:r>
        <w:rPr>
          <w:rFonts w:hint="eastAsia" w:ascii="宋体" w:hAnsi="Times New Roman" w:eastAsia="宋体" w:cs="Times New Roman"/>
          <w:sz w:val="21"/>
          <w:szCs w:val="20"/>
          <w:highlight w:val="none"/>
          <w:lang w:val="en-US" w:eastAsia="zh-CN"/>
        </w:rPr>
        <w:t>典型生态单元生态现状调查评价规范，</w:t>
      </w:r>
      <w:r>
        <w:rPr>
          <w:rFonts w:hint="eastAsia" w:ascii="宋体" w:hAnsi="Times New Roman" w:eastAsia="宋体" w:cs="Times New Roman"/>
          <w:color w:val="auto"/>
          <w:kern w:val="0"/>
          <w:sz w:val="21"/>
          <w:szCs w:val="20"/>
          <w:highlight w:val="none"/>
        </w:rPr>
        <w:t>明确典型生态单元生态现状调查评价的术语、基本原则、技术流程、评价内容、评价方法、评价成果等</w:t>
      </w:r>
      <w:r>
        <w:rPr>
          <w:rFonts w:hint="eastAsia" w:ascii="宋体" w:hAnsi="Times New Roman" w:eastAsia="宋体" w:cs="Times New Roman"/>
          <w:sz w:val="21"/>
          <w:szCs w:val="20"/>
          <w:highlight w:val="none"/>
          <w:lang w:val="en-US" w:eastAsia="zh-CN"/>
        </w:rPr>
        <w:t>，对于开展生态单元生态现状调查评价工作具有</w:t>
      </w:r>
      <w:r>
        <w:rPr>
          <w:rFonts w:hint="eastAsia" w:cs="Times New Roman"/>
          <w:sz w:val="21"/>
          <w:szCs w:val="20"/>
          <w:highlight w:val="none"/>
          <w:lang w:val="en-US" w:eastAsia="zh-CN"/>
        </w:rPr>
        <w:t>重要</w:t>
      </w:r>
      <w:r>
        <w:rPr>
          <w:rFonts w:hint="eastAsia" w:ascii="宋体" w:hAnsi="Times New Roman" w:eastAsia="宋体" w:cs="Times New Roman"/>
          <w:sz w:val="21"/>
          <w:szCs w:val="20"/>
          <w:highlight w:val="none"/>
          <w:lang w:val="en-US" w:eastAsia="zh-CN"/>
        </w:rPr>
        <w:t>指导意义，有助于明确单元内后续的生态保护修复目标和重大工程部署。</w:t>
      </w:r>
    </w:p>
    <w:p w14:paraId="60AF8217">
      <w:pPr>
        <w:pStyle w:val="25"/>
        <w:keepNext w:val="0"/>
        <w:keepLines w:val="0"/>
        <w:widowControl/>
        <w:suppressLineNumbers w:val="0"/>
        <w:ind w:firstLine="420" w:firstLineChars="200"/>
        <w:jc w:val="left"/>
        <w:rPr>
          <w:highlight w:val="none"/>
        </w:rPr>
      </w:pPr>
      <w:r>
        <w:rPr>
          <w:rFonts w:hint="eastAsia" w:ascii="宋体" w:hAnsi="Times New Roman" w:eastAsia="宋体" w:cs="Times New Roman"/>
          <w:color w:val="000000"/>
          <w:kern w:val="0"/>
          <w:sz w:val="21"/>
          <w:szCs w:val="20"/>
          <w:highlight w:val="none"/>
          <w:lang w:val="en-US" w:eastAsia="zh-CN" w:bidi="ar"/>
        </w:rPr>
        <w:t>为规范和指导</w:t>
      </w:r>
      <w:r>
        <w:rPr>
          <w:rFonts w:hint="eastAsia" w:cs="Times New Roman"/>
          <w:kern w:val="0"/>
          <w:sz w:val="21"/>
          <w:szCs w:val="20"/>
          <w:highlight w:val="none"/>
          <w:lang w:val="en-US" w:eastAsia="zh-CN" w:bidi="ar"/>
        </w:rPr>
        <w:t>典型生态单元的生态现状调查评价</w:t>
      </w:r>
      <w:r>
        <w:rPr>
          <w:rFonts w:hint="eastAsia" w:ascii="宋体" w:hAnsi="Times New Roman" w:eastAsia="宋体" w:cs="Times New Roman"/>
          <w:color w:val="000000"/>
          <w:kern w:val="0"/>
          <w:sz w:val="21"/>
          <w:szCs w:val="20"/>
          <w:highlight w:val="none"/>
          <w:lang w:val="en-US" w:eastAsia="zh-CN" w:bidi="ar"/>
        </w:rPr>
        <w:t>工作，自然资源部</w:t>
      </w:r>
      <w:r>
        <w:rPr>
          <w:rFonts w:hint="eastAsia" w:cs="Times New Roman"/>
          <w:kern w:val="0"/>
          <w:sz w:val="21"/>
          <w:szCs w:val="20"/>
          <w:highlight w:val="none"/>
          <w:lang w:val="en-US" w:eastAsia="zh-CN" w:bidi="ar"/>
        </w:rPr>
        <w:t>咨询研究中心</w:t>
      </w:r>
      <w:r>
        <w:rPr>
          <w:rFonts w:hint="eastAsia" w:ascii="宋体" w:hAnsi="Times New Roman" w:eastAsia="宋体" w:cs="Times New Roman"/>
          <w:color w:val="000000"/>
          <w:kern w:val="0"/>
          <w:sz w:val="21"/>
          <w:szCs w:val="20"/>
          <w:highlight w:val="none"/>
          <w:lang w:val="en-US" w:eastAsia="zh-CN" w:bidi="ar"/>
        </w:rPr>
        <w:t>组织有关单位编制</w:t>
      </w:r>
      <w:r>
        <w:rPr>
          <w:rFonts w:hint="eastAsia" w:cs="Times New Roman"/>
          <w:color w:val="000000"/>
          <w:kern w:val="0"/>
          <w:sz w:val="21"/>
          <w:szCs w:val="20"/>
          <w:highlight w:val="none"/>
          <w:lang w:val="en-US" w:eastAsia="zh-CN" w:bidi="ar"/>
        </w:rPr>
        <w:t>形成此文件</w:t>
      </w:r>
      <w:r>
        <w:rPr>
          <w:rFonts w:hint="eastAsia" w:ascii="宋体" w:hAnsi="Times New Roman" w:eastAsia="宋体" w:cs="Times New Roman"/>
          <w:color w:val="000000"/>
          <w:kern w:val="0"/>
          <w:sz w:val="21"/>
          <w:szCs w:val="20"/>
          <w:highlight w:val="none"/>
          <w:lang w:val="en-US" w:eastAsia="zh-CN" w:bidi="ar"/>
        </w:rPr>
        <w:t>。</w:t>
      </w:r>
    </w:p>
    <w:p w14:paraId="0BA65B36">
      <w:pPr>
        <w:pStyle w:val="25"/>
        <w:ind w:firstLine="0" w:firstLineChars="0"/>
        <w:rPr>
          <w:rFonts w:hint="eastAsia"/>
          <w:highlight w:val="none"/>
          <w:lang w:eastAsia="zh-CN"/>
        </w:rPr>
        <w:sectPr>
          <w:footerReference r:id="rId16" w:type="default"/>
          <w:footerReference r:id="rId17" w:type="even"/>
          <w:pgSz w:w="11906" w:h="16838"/>
          <w:pgMar w:top="567" w:right="1134" w:bottom="1134" w:left="1417" w:header="1418" w:footer="1134" w:gutter="0"/>
          <w:pgNumType w:start="1"/>
          <w:cols w:space="720" w:num="1"/>
          <w:formProt w:val="0"/>
          <w:docGrid w:type="lines" w:linePitch="312" w:charSpace="0"/>
        </w:sectPr>
      </w:pPr>
    </w:p>
    <w:p w14:paraId="1ECD95D0">
      <w:pPr>
        <w:pStyle w:val="25"/>
        <w:rPr>
          <w:rFonts w:hint="eastAsia"/>
          <w:highlight w:val="none"/>
          <w:lang w:eastAsia="zh-CN"/>
        </w:rPr>
        <w:sectPr>
          <w:footerReference r:id="rId18" w:type="default"/>
          <w:footerReference r:id="rId19" w:type="even"/>
          <w:pgSz w:w="11906" w:h="16838"/>
          <w:pgMar w:top="567" w:right="1134" w:bottom="1134" w:left="1417" w:header="1418" w:footer="1134" w:gutter="0"/>
          <w:pgNumType w:start="1"/>
          <w:cols w:space="720" w:num="1"/>
          <w:formProt w:val="0"/>
          <w:docGrid w:type="lines" w:linePitch="312" w:charSpace="0"/>
        </w:sectPr>
      </w:pPr>
    </w:p>
    <w:p w14:paraId="66FE9CC1">
      <w:pPr>
        <w:pStyle w:val="60"/>
        <w:shd w:val="clear" w:color="FFFFFF" w:fill="FFFFFF"/>
        <w:rPr>
          <w:rFonts w:hint="eastAsia" w:hAnsi="Times New Roman" w:cs="Times New Roman"/>
          <w:highlight w:val="none"/>
          <w:lang w:eastAsia="zh-CN"/>
        </w:rPr>
      </w:pPr>
      <w:bookmarkStart w:id="53" w:name="_Toc772"/>
      <w:bookmarkStart w:id="54" w:name="_Toc24444"/>
      <w:bookmarkStart w:id="55" w:name="_Toc20426"/>
      <w:bookmarkStart w:id="56" w:name="_Toc627"/>
      <w:bookmarkStart w:id="57" w:name="_Toc2595"/>
      <w:bookmarkStart w:id="58" w:name="_Toc22309"/>
      <w:bookmarkStart w:id="59" w:name="_Toc16030"/>
      <w:r>
        <w:rPr>
          <w:rFonts w:hint="eastAsia" w:hAnsi="Times New Roman" w:cs="Times New Roman"/>
          <w:highlight w:val="none"/>
          <w:lang w:eastAsia="zh-CN"/>
        </w:rPr>
        <w:t>典型生态单元生态现状调查评价规范</w:t>
      </w:r>
      <w:bookmarkEnd w:id="39"/>
      <w:bookmarkEnd w:id="40"/>
      <w:bookmarkEnd w:id="41"/>
      <w:bookmarkEnd w:id="42"/>
      <w:bookmarkEnd w:id="43"/>
      <w:bookmarkEnd w:id="53"/>
      <w:bookmarkEnd w:id="54"/>
      <w:bookmarkEnd w:id="55"/>
      <w:bookmarkEnd w:id="56"/>
      <w:bookmarkEnd w:id="57"/>
      <w:bookmarkEnd w:id="58"/>
      <w:bookmarkEnd w:id="59"/>
    </w:p>
    <w:p w14:paraId="5535B36D">
      <w:pPr>
        <w:pStyle w:val="80"/>
        <w:rPr>
          <w:rFonts w:hint="eastAsia"/>
          <w:color w:val="000000"/>
          <w:highlight w:val="none"/>
        </w:rPr>
      </w:pPr>
      <w:bookmarkStart w:id="60" w:name="_Toc12905"/>
      <w:bookmarkStart w:id="61" w:name="_Toc1165"/>
      <w:bookmarkStart w:id="62" w:name="_Toc25677"/>
      <w:bookmarkStart w:id="63" w:name="_Toc450293152"/>
      <w:bookmarkStart w:id="64" w:name="_Toc30649"/>
      <w:bookmarkStart w:id="65" w:name="_Toc14708"/>
      <w:bookmarkStart w:id="66" w:name="_Toc17910"/>
      <w:bookmarkStart w:id="67" w:name="_Toc11171"/>
      <w:bookmarkStart w:id="68" w:name="_Toc22577"/>
      <w:bookmarkStart w:id="69" w:name="_Toc11082"/>
      <w:r>
        <w:rPr>
          <w:rFonts w:hint="eastAsia"/>
          <w:color w:val="000000"/>
          <w:highlight w:val="none"/>
        </w:rPr>
        <w:t>范围</w:t>
      </w:r>
      <w:bookmarkEnd w:id="60"/>
      <w:bookmarkEnd w:id="61"/>
      <w:bookmarkEnd w:id="62"/>
      <w:bookmarkEnd w:id="63"/>
      <w:bookmarkEnd w:id="64"/>
      <w:bookmarkEnd w:id="65"/>
      <w:bookmarkEnd w:id="66"/>
      <w:bookmarkEnd w:id="67"/>
      <w:bookmarkEnd w:id="68"/>
      <w:bookmarkEnd w:id="69"/>
    </w:p>
    <w:p w14:paraId="48D7C76F">
      <w:pPr>
        <w:pStyle w:val="25"/>
        <w:rPr>
          <w:rFonts w:hint="eastAsia" w:ascii="宋体" w:hAnsi="Times New Roman" w:eastAsia="宋体" w:cs="Times New Roman"/>
          <w:color w:val="000000"/>
          <w:highlight w:val="none"/>
          <w:lang w:eastAsia="zh-CN"/>
        </w:rPr>
      </w:pPr>
      <w:r>
        <w:rPr>
          <w:rFonts w:hint="eastAsia" w:cs="Times New Roman"/>
          <w:color w:val="000000"/>
          <w:highlight w:val="none"/>
          <w:lang w:val="en-US" w:eastAsia="zh-CN"/>
        </w:rPr>
        <w:t>本文件</w:t>
      </w:r>
      <w:r>
        <w:rPr>
          <w:rFonts w:hint="eastAsia" w:ascii="宋体" w:hAnsi="Times New Roman" w:eastAsia="宋体" w:cs="Times New Roman"/>
          <w:color w:val="000000"/>
          <w:highlight w:val="none"/>
          <w:lang w:eastAsia="zh-CN"/>
        </w:rPr>
        <w:t>规定了典型生态单元的生态现状调查评价流程、内容、方法和成果的有关要求。</w:t>
      </w:r>
    </w:p>
    <w:p w14:paraId="04099C78">
      <w:pPr>
        <w:pStyle w:val="25"/>
        <w:ind w:firstLine="0" w:firstLineChars="0"/>
        <w:rPr>
          <w:rFonts w:hint="eastAsia" w:ascii="宋体" w:hAnsi="Times New Roman" w:eastAsia="宋体" w:cs="Times New Roman"/>
          <w:color w:val="000000"/>
          <w:highlight w:val="none"/>
          <w:lang w:eastAsia="zh-CN"/>
        </w:rPr>
      </w:pPr>
      <w:r>
        <w:rPr>
          <w:rFonts w:hint="eastAsia" w:cs="Times New Roman"/>
          <w:color w:val="000000"/>
          <w:highlight w:val="none"/>
          <w:lang w:val="en-US" w:eastAsia="zh-CN"/>
        </w:rPr>
        <w:t>本文件</w:t>
      </w:r>
      <w:r>
        <w:rPr>
          <w:rFonts w:hint="eastAsia" w:ascii="宋体" w:hAnsi="Times New Roman" w:eastAsia="宋体" w:cs="Times New Roman"/>
          <w:color w:val="000000"/>
          <w:highlight w:val="none"/>
          <w:lang w:eastAsia="zh-CN"/>
        </w:rPr>
        <w:t>适用于</w:t>
      </w:r>
      <w:r>
        <w:rPr>
          <w:rFonts w:hint="eastAsia" w:ascii="宋体" w:hAnsi="Times New Roman" w:eastAsia="宋体" w:cs="Times New Roman"/>
          <w:color w:val="000000"/>
          <w:highlight w:val="none"/>
          <w:lang w:val="en-US" w:eastAsia="zh-CN"/>
        </w:rPr>
        <w:t>陆域</w:t>
      </w:r>
      <w:r>
        <w:rPr>
          <w:rFonts w:hint="eastAsia" w:ascii="宋体" w:hAnsi="Times New Roman" w:eastAsia="宋体" w:cs="Times New Roman"/>
          <w:color w:val="000000"/>
          <w:highlight w:val="none"/>
          <w:lang w:eastAsia="zh-CN"/>
        </w:rPr>
        <w:t>国土</w:t>
      </w:r>
      <w:r>
        <w:rPr>
          <w:rFonts w:hint="eastAsia" w:cs="Times New Roman"/>
          <w:color w:val="000000"/>
          <w:highlight w:val="none"/>
          <w:lang w:eastAsia="zh-CN"/>
        </w:rPr>
        <w:t>生态</w:t>
      </w:r>
      <w:r>
        <w:rPr>
          <w:rFonts w:hint="eastAsia" w:ascii="宋体" w:hAnsi="Times New Roman" w:eastAsia="宋体" w:cs="Times New Roman"/>
          <w:color w:val="000000"/>
          <w:highlight w:val="none"/>
          <w:lang w:eastAsia="zh-CN"/>
        </w:rPr>
        <w:t>空间详细规划</w:t>
      </w:r>
      <w:r>
        <w:rPr>
          <w:rFonts w:hint="eastAsia" w:cs="Times New Roman"/>
          <w:color w:val="000000"/>
          <w:highlight w:val="none"/>
          <w:lang w:eastAsia="zh-CN"/>
        </w:rPr>
        <w:t>中</w:t>
      </w:r>
      <w:r>
        <w:rPr>
          <w:rFonts w:hint="eastAsia" w:ascii="宋体" w:hAnsi="Times New Roman" w:eastAsia="宋体" w:cs="Times New Roman"/>
          <w:color w:val="000000"/>
          <w:highlight w:val="none"/>
          <w:lang w:eastAsia="zh-CN"/>
        </w:rPr>
        <w:t>生态单元的生态现状调查评价，</w:t>
      </w:r>
      <w:r>
        <w:rPr>
          <w:rFonts w:hint="eastAsia" w:ascii="宋体" w:hAnsi="Times New Roman" w:eastAsia="宋体" w:cs="Times New Roman"/>
          <w:color w:val="000000"/>
          <w:highlight w:val="none"/>
          <w:lang w:val="en-US" w:eastAsia="zh-CN"/>
        </w:rPr>
        <w:t>其他</w:t>
      </w:r>
      <w:r>
        <w:rPr>
          <w:rFonts w:hint="eastAsia" w:cs="Times New Roman"/>
          <w:color w:val="000000"/>
          <w:highlight w:val="none"/>
          <w:lang w:val="en-US" w:eastAsia="zh-CN"/>
        </w:rPr>
        <w:t>类型的</w:t>
      </w:r>
      <w:r>
        <w:rPr>
          <w:rFonts w:hint="eastAsia" w:ascii="宋体" w:hAnsi="Times New Roman" w:eastAsia="宋体" w:cs="Times New Roman"/>
          <w:color w:val="000000"/>
          <w:highlight w:val="none"/>
          <w:lang w:eastAsia="zh-CN"/>
        </w:rPr>
        <w:t>生态现状调查评价</w:t>
      </w:r>
      <w:r>
        <w:rPr>
          <w:rFonts w:hint="eastAsia" w:cs="Times New Roman"/>
          <w:color w:val="000000"/>
          <w:highlight w:val="none"/>
          <w:lang w:val="en-US" w:eastAsia="zh-CN"/>
        </w:rPr>
        <w:t>也</w:t>
      </w:r>
      <w:r>
        <w:rPr>
          <w:rFonts w:hint="eastAsia" w:ascii="宋体" w:hAnsi="Times New Roman" w:eastAsia="宋体" w:cs="Times New Roman"/>
          <w:color w:val="000000"/>
          <w:highlight w:val="none"/>
          <w:lang w:val="en-US" w:eastAsia="zh-CN"/>
        </w:rPr>
        <w:t>可参</w:t>
      </w:r>
      <w:r>
        <w:rPr>
          <w:rFonts w:hint="eastAsia" w:cs="Times New Roman"/>
          <w:color w:val="000000"/>
          <w:highlight w:val="none"/>
          <w:lang w:val="en-US" w:eastAsia="zh-CN"/>
        </w:rPr>
        <w:t>考</w:t>
      </w:r>
      <w:r>
        <w:rPr>
          <w:rFonts w:hint="eastAsia" w:ascii="宋体" w:hAnsi="Times New Roman" w:eastAsia="宋体" w:cs="Times New Roman"/>
          <w:color w:val="000000"/>
          <w:highlight w:val="none"/>
          <w:lang w:val="en-US" w:eastAsia="zh-CN"/>
        </w:rPr>
        <w:t>使用。</w:t>
      </w:r>
    </w:p>
    <w:p w14:paraId="7733FEEF">
      <w:pPr>
        <w:pStyle w:val="80"/>
        <w:rPr>
          <w:rFonts w:hint="eastAsia"/>
          <w:highlight w:val="none"/>
        </w:rPr>
      </w:pPr>
      <w:bookmarkStart w:id="70" w:name="_Toc17459"/>
      <w:bookmarkStart w:id="71" w:name="_Toc450293153"/>
      <w:bookmarkStart w:id="72" w:name="_Toc10444"/>
      <w:bookmarkStart w:id="73" w:name="_Toc31471"/>
      <w:bookmarkStart w:id="74" w:name="_Toc22880"/>
      <w:bookmarkStart w:id="75" w:name="_Toc19560"/>
      <w:bookmarkStart w:id="76" w:name="_Toc586"/>
      <w:bookmarkStart w:id="77" w:name="_Toc15851"/>
      <w:bookmarkStart w:id="78" w:name="_Toc2536"/>
      <w:bookmarkStart w:id="79" w:name="_Toc12922"/>
      <w:r>
        <w:rPr>
          <w:rFonts w:hint="eastAsia"/>
          <w:highlight w:val="none"/>
        </w:rPr>
        <w:t>规范性引用文件</w:t>
      </w:r>
      <w:bookmarkEnd w:id="70"/>
      <w:bookmarkEnd w:id="71"/>
      <w:bookmarkEnd w:id="72"/>
      <w:bookmarkEnd w:id="73"/>
      <w:bookmarkEnd w:id="74"/>
      <w:bookmarkEnd w:id="75"/>
      <w:bookmarkEnd w:id="76"/>
      <w:bookmarkEnd w:id="77"/>
      <w:bookmarkEnd w:id="78"/>
      <w:bookmarkEnd w:id="79"/>
    </w:p>
    <w:p w14:paraId="28050100">
      <w:pPr>
        <w:pStyle w:val="25"/>
        <w:rPr>
          <w:rFonts w:hint="default" w:ascii="宋体" w:hAnsi="Times New Roman" w:eastAsia="宋体" w:cs="Times New Roman"/>
          <w:highlight w:val="none"/>
        </w:rPr>
      </w:pPr>
      <w:r>
        <w:rPr>
          <w:rFonts w:hint="default" w:ascii="宋体" w:hAnsi="Times New Roman" w:eastAsia="宋体" w:cs="Times New Roman"/>
          <w:kern w:val="0"/>
          <w:sz w:val="21"/>
          <w:szCs w:val="20"/>
          <w:highlight w:val="none"/>
          <w:lang w:val="en-US" w:eastAsia="zh-CN"/>
        </w:rPr>
        <w:t>下列文件中的内容通过文中的规范性引用而构成必不可少的条款。</w:t>
      </w:r>
    </w:p>
    <w:p w14:paraId="123A6D89">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GB 3838</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地表水环境质量标准</w:t>
      </w:r>
    </w:p>
    <w:p w14:paraId="23515211">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GB/T 14848</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地下水质量标准</w:t>
      </w:r>
    </w:p>
    <w:p w14:paraId="6644FD66">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GB/T 24255</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沙化土地监测技术规程</w:t>
      </w:r>
    </w:p>
    <w:p w14:paraId="12F6C576">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fldChar w:fldCharType="begin"/>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instrText xml:space="preserve"> HYPERLINK "https://www.so.com/link?m=uxiuzInM47n8MGc9aN7e/33O5iUmM1p4/5vXUZ7wu5k4s/eOXxD8U75QCjWPH2wSrpZwOprCA7sOzEsTr+7X8sBbTrAsBn7oOnqNFOuoIrotETJXzX3ZMl3njOtWnsOb5sf/f97dBqL/LSsFpNv6vwk/Dvs4jdRLFb7XxKGkEA0M=" \t "https://www.so.com/_blank" </w:instrTex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fldChar w:fldCharType="separate"/>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GB</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T</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33027</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森林生态系统长期定位观测方法</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fldChar w:fldCharType="end"/>
      </w:r>
    </w:p>
    <w:p w14:paraId="191A66C6">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Style w:val="37"/>
          <w:rFonts w:hint="eastAsia" w:ascii="Times New Roman" w:hAnsi="Times New Roman" w:eastAsia="宋体" w:cs="Times New Roman"/>
          <w:i w:val="0"/>
          <w:iCs w:val="0"/>
          <w:caps w:val="0"/>
          <w:color w:val="000000"/>
          <w:spacing w:val="0"/>
          <w:sz w:val="21"/>
          <w:szCs w:val="24"/>
          <w:highlight w:val="none"/>
          <w:shd w:val="clear" w:color="auto" w:fill="auto"/>
          <w:lang w:bidi="ar"/>
        </w:rPr>
        <w:t>GB</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r>
        <w:rPr>
          <w:rStyle w:val="37"/>
          <w:rFonts w:hint="eastAsia" w:ascii="Times New Roman" w:hAnsi="Times New Roman" w:eastAsia="宋体" w:cs="Times New Roman"/>
          <w:i w:val="0"/>
          <w:iCs w:val="0"/>
          <w:caps w:val="0"/>
          <w:color w:val="000000"/>
          <w:spacing w:val="0"/>
          <w:sz w:val="21"/>
          <w:szCs w:val="24"/>
          <w:highlight w:val="none"/>
          <w:shd w:val="clear" w:color="auto" w:fill="auto"/>
          <w:lang w:bidi="ar"/>
        </w:rPr>
        <w:t>T</w:t>
      </w:r>
      <w:r>
        <w:rPr>
          <w:rFonts w:hint="eastAsia" w:ascii="Times New Roman" w:hAnsi="Times New Roman" w:eastAsia="宋体" w:cs="Times New Roman"/>
          <w:i w:val="0"/>
          <w:iCs w:val="0"/>
          <w:caps w:val="0"/>
          <w:color w:val="000000"/>
          <w:spacing w:val="0"/>
          <w:sz w:val="21"/>
          <w:szCs w:val="24"/>
          <w:highlight w:val="none"/>
          <w:shd w:val="clear" w:color="auto" w:fill="auto"/>
          <w:lang w:bidi="ar"/>
        </w:rPr>
        <w:t> </w:t>
      </w:r>
      <w:r>
        <w:rPr>
          <w:rStyle w:val="37"/>
          <w:rFonts w:hint="eastAsia" w:ascii="Times New Roman" w:hAnsi="Times New Roman" w:eastAsia="宋体" w:cs="Times New Roman"/>
          <w:i w:val="0"/>
          <w:iCs w:val="0"/>
          <w:caps w:val="0"/>
          <w:color w:val="000000"/>
          <w:spacing w:val="0"/>
          <w:sz w:val="21"/>
          <w:szCs w:val="24"/>
          <w:highlight w:val="none"/>
          <w:shd w:val="clear" w:color="auto" w:fill="auto"/>
          <w:lang w:bidi="ar"/>
        </w:rPr>
        <w:t>35643</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bidi="ar"/>
        </w:rPr>
        <w:t>光学遥感测绘卫星影像产品元数据</w:t>
      </w:r>
    </w:p>
    <w:p w14:paraId="65879AA6">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GB/T</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40112</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地质灾害危险性评估规范</w:t>
      </w:r>
    </w:p>
    <w:p w14:paraId="78702EF1">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color w:val="000000"/>
          <w:kern w:val="0"/>
          <w:sz w:val="21"/>
          <w:szCs w:val="24"/>
          <w:highlight w:val="none"/>
          <w:shd w:val="clear" w:color="auto" w:fill="auto"/>
          <w:lang w:val="en-US" w:eastAsia="zh-CN" w:bidi="ar"/>
        </w:rPr>
      </w:pPr>
      <w:r>
        <w:rPr>
          <w:rFonts w:hint="eastAsia" w:ascii="Times New Roman" w:hAnsi="Times New Roman" w:eastAsia="宋体" w:cs="Times New Roman"/>
          <w:color w:val="000000"/>
          <w:kern w:val="0"/>
          <w:sz w:val="21"/>
          <w:szCs w:val="24"/>
          <w:highlight w:val="none"/>
          <w:shd w:val="clear" w:color="auto" w:fill="auto"/>
          <w:lang w:val="en-US" w:eastAsia="zh-CN" w:bidi="ar"/>
        </w:rPr>
        <w:t>GB/T 43214</w:t>
      </w:r>
      <w:r>
        <w:rPr>
          <w:rFonts w:hint="eastAsia" w:ascii="Times New Roman" w:cs="Times New Roman"/>
          <w:color w:val="000000"/>
          <w:kern w:val="0"/>
          <w:sz w:val="21"/>
          <w:szCs w:val="24"/>
          <w:highlight w:val="none"/>
          <w:shd w:val="clear" w:color="auto" w:fill="auto"/>
          <w:lang w:val="en-US" w:eastAsia="zh-CN" w:bidi="ar"/>
        </w:rPr>
        <w:t xml:space="preserve"> </w:t>
      </w:r>
      <w:r>
        <w:rPr>
          <w:rFonts w:hint="eastAsia" w:ascii="Times New Roman" w:hAnsi="Times New Roman" w:eastAsia="宋体" w:cs="Times New Roman"/>
          <w:color w:val="000000"/>
          <w:kern w:val="0"/>
          <w:sz w:val="21"/>
          <w:szCs w:val="24"/>
          <w:highlight w:val="none"/>
          <w:shd w:val="clear" w:color="auto" w:fill="auto"/>
          <w:lang w:val="en-US" w:eastAsia="zh-CN" w:bidi="ar"/>
        </w:rPr>
        <w:t>省级国土空间规划编制技术规程</w:t>
      </w:r>
    </w:p>
    <w:p w14:paraId="465F67F3">
      <w:pPr>
        <w:pStyle w:val="25"/>
        <w:keepNext w:val="0"/>
        <w:keepLines w:val="0"/>
        <w:widowControl/>
        <w:suppressLineNumbers w:val="0"/>
        <w:pBdr>
          <w:top w:val="none" w:color="auto" w:sz="0" w:space="0"/>
          <w:left w:val="none" w:color="auto" w:sz="0" w:space="0"/>
          <w:right w:val="none" w:color="auto" w:sz="0" w:space="0"/>
        </w:pBdr>
        <w:shd w:val="clear" w:color="auto" w:fill="auto"/>
        <w:spacing w:before="0" w:beforeAutospacing="0" w:after="0" w:afterAutospacing="0"/>
        <w:ind w:left="0" w:right="0"/>
        <w:jc w:val="left"/>
        <w:textAlignment w:val="auto"/>
        <w:outlineLvl w:val="9"/>
        <w:rPr>
          <w:rFonts w:hint="default" w:ascii="Times New Roman"/>
          <w:color w:val="000000"/>
          <w:szCs w:val="24"/>
          <w:highlight w:val="none"/>
          <w:shd w:val="clear" w:color="auto" w:fill="auto"/>
          <w:lang w:bidi="ar"/>
        </w:rPr>
      </w:pPr>
      <w:r>
        <w:rPr>
          <w:rFonts w:hint="eastAsia" w:ascii="Times New Roman"/>
          <w:color w:val="000000"/>
          <w:szCs w:val="24"/>
          <w:highlight w:val="none"/>
          <w:shd w:val="clear" w:color="auto" w:fill="auto"/>
          <w:lang w:bidi="ar"/>
        </w:rPr>
        <w:t>GB</w:t>
      </w:r>
      <w:r>
        <w:rPr>
          <w:rFonts w:hint="eastAsia" w:ascii="Times New Roman"/>
          <w:color w:val="000000"/>
          <w:szCs w:val="24"/>
          <w:highlight w:val="none"/>
          <w:shd w:val="clear" w:color="auto" w:fill="auto"/>
          <w:lang w:val="en-US" w:eastAsia="zh-CN" w:bidi="ar"/>
        </w:rPr>
        <w:t>/</w:t>
      </w:r>
      <w:r>
        <w:rPr>
          <w:rFonts w:hint="eastAsia" w:ascii="Times New Roman"/>
          <w:color w:val="000000"/>
          <w:szCs w:val="24"/>
          <w:highlight w:val="none"/>
          <w:shd w:val="clear" w:color="auto" w:fill="auto"/>
          <w:lang w:bidi="ar"/>
        </w:rPr>
        <w:t>T</w:t>
      </w:r>
      <w:r>
        <w:rPr>
          <w:rFonts w:hint="eastAsia" w:ascii="Times New Roman"/>
          <w:color w:val="000000"/>
          <w:szCs w:val="24"/>
          <w:highlight w:val="none"/>
          <w:shd w:val="clear" w:color="auto" w:fill="auto"/>
          <w:lang w:val="en-US" w:eastAsia="zh-CN" w:bidi="ar"/>
        </w:rPr>
        <w:t xml:space="preserve"> </w:t>
      </w:r>
      <w:r>
        <w:rPr>
          <w:rFonts w:hint="eastAsia" w:ascii="Times New Roman"/>
          <w:color w:val="000000"/>
          <w:szCs w:val="24"/>
          <w:highlight w:val="none"/>
          <w:shd w:val="clear" w:color="auto" w:fill="auto"/>
          <w:lang w:bidi="ar"/>
        </w:rPr>
        <w:t>43678</w:t>
      </w:r>
      <w:r>
        <w:rPr>
          <w:rFonts w:hint="eastAsia" w:ascii="Times New Roman"/>
          <w:color w:val="000000"/>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生态系统评估</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生态系统服务评估方法</w:t>
      </w:r>
    </w:p>
    <w:p w14:paraId="6B3AF717">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GB/T</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 xml:space="preserve">生态系统评估 </w:t>
      </w:r>
      <w:r>
        <w:rPr>
          <w:rFonts w:hint="eastAsia" w:ascii="Times New Roman" w:cs="Times New Roman"/>
          <w:i w:val="0"/>
          <w:iCs w:val="0"/>
          <w:caps w:val="0"/>
          <w:color w:val="000000"/>
          <w:spacing w:val="0"/>
          <w:sz w:val="21"/>
          <w:szCs w:val="24"/>
          <w:highlight w:val="none"/>
          <w:shd w:val="clear" w:color="auto" w:fill="auto"/>
          <w:lang w:val="en-US" w:eastAsia="zh-CN" w:bidi="ar"/>
        </w:rPr>
        <w:t>单元</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生态系统调查方法</w:t>
      </w:r>
    </w:p>
    <w:p w14:paraId="0F4A1203">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firstLine="420" w:firstLineChars="20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GB</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50021</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岩土工程勘察规范</w:t>
      </w:r>
    </w:p>
    <w:p w14:paraId="134CA5F8">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DZ/T</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0130</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地质矿产实验室测试质量管理规范</w:t>
      </w:r>
    </w:p>
    <w:p w14:paraId="5472AE41">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DZ/T</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0190</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单元</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 xml:space="preserve">环境地质调查勘查遥感技术规定（1:50000） </w:t>
      </w:r>
    </w:p>
    <w:p w14:paraId="70F4CB07">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DZ/T</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0258</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多目标</w:t>
      </w:r>
      <w:r>
        <w:rPr>
          <w:rFonts w:hint="eastAsia" w:ascii="Times New Roman" w:cs="Times New Roman"/>
          <w:i w:val="0"/>
          <w:iCs w:val="0"/>
          <w:caps w:val="0"/>
          <w:color w:val="000000"/>
          <w:spacing w:val="0"/>
          <w:sz w:val="21"/>
          <w:szCs w:val="24"/>
          <w:highlight w:val="none"/>
          <w:shd w:val="clear" w:color="auto" w:fill="auto"/>
          <w:lang w:val="en-US" w:eastAsia="zh-CN" w:bidi="ar"/>
        </w:rPr>
        <w:t>单元</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 xml:space="preserve">地球化学调查规范（1:250000） </w:t>
      </w:r>
    </w:p>
    <w:p w14:paraId="4BA8AEC5">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DZ/T</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0296</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地质环境遥感监测技术要求（1:250000）</w:t>
      </w:r>
    </w:p>
    <w:p w14:paraId="2EC0DDD6">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/T </w:t>
      </w:r>
      <w:r>
        <w:rPr>
          <w:rFonts w:hint="eastAsia" w:ascii="Times New Roman" w:hAnsi="Times New Roman" w:eastAsia="宋体" w:cs="Times New Roman"/>
          <w:i w:val="0"/>
          <w:iCs w:val="0"/>
          <w:caps w:val="0"/>
          <w:color w:val="000000"/>
          <w:spacing w:val="0"/>
          <w:sz w:val="21"/>
          <w:szCs w:val="24"/>
          <w:highlight w:val="none"/>
          <w:shd w:val="clear" w:color="auto" w:fill="auto"/>
          <w:lang w:bidi="ar"/>
        </w:rPr>
        <w:t>164</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bidi="ar"/>
        </w:rPr>
        <w:t>地下水环境监测技术规范</w:t>
      </w:r>
    </w:p>
    <w:p w14:paraId="76AB93DD">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kern w:val="0"/>
          <w:sz w:val="21"/>
          <w:szCs w:val="20"/>
          <w:highlight w:val="none"/>
          <w:lang w:val="en-US" w:eastAsia="zh-CN" w:bidi="ar-SA"/>
        </w:rPr>
        <w:fldChar w:fldCharType="begin"/>
      </w:r>
      <w:r>
        <w:rPr>
          <w:rFonts w:hint="eastAsia" w:ascii="Times New Roman" w:hAnsi="Times New Roman" w:eastAsia="宋体" w:cs="Times New Roman"/>
          <w:kern w:val="0"/>
          <w:sz w:val="21"/>
          <w:szCs w:val="20"/>
          <w:highlight w:val="none"/>
          <w:lang w:val="en-US" w:eastAsia="zh-CN" w:bidi="ar-SA"/>
        </w:rPr>
        <w:instrText xml:space="preserve"> HYPERLINK "https://www.mee.gov.cn/image20010518/5406.pdf" \t "https://cn.bing.com/_blank" </w:instrText>
      </w:r>
      <w:r>
        <w:rPr>
          <w:rFonts w:hint="eastAsia" w:ascii="Times New Roman" w:hAnsi="Times New Roman" w:eastAsia="宋体" w:cs="Times New Roman"/>
          <w:kern w:val="0"/>
          <w:sz w:val="21"/>
          <w:szCs w:val="20"/>
          <w:highlight w:val="none"/>
          <w:lang w:val="en-US" w:eastAsia="zh-CN" w:bidi="ar-SA"/>
        </w:rPr>
        <w:fldChar w:fldCharType="separate"/>
      </w:r>
      <w:r>
        <w:rPr>
          <w:rFonts w:hint="default" w:ascii="Times New Roman" w:hAnsi="Times New Roman" w:eastAsia="宋体" w:cs="Times New Roman"/>
          <w:kern w:val="0"/>
          <w:sz w:val="21"/>
          <w:szCs w:val="20"/>
          <w:highlight w:val="none"/>
          <w:lang w:val="en-US" w:eastAsia="zh-CN" w:bidi="ar-SA"/>
        </w:rPr>
        <w:t>HJ/T</w:t>
      </w:r>
      <w:r>
        <w:rPr>
          <w:rFonts w:hint="eastAsia" w:ascii="Times New Roman" w:cs="Times New Roman"/>
          <w:kern w:val="0"/>
          <w:sz w:val="21"/>
          <w:szCs w:val="20"/>
          <w:highlight w:val="none"/>
          <w:lang w:val="en-US" w:eastAsia="zh-CN" w:bidi="ar-SA"/>
        </w:rPr>
        <w:t xml:space="preserve"> </w:t>
      </w:r>
      <w:r>
        <w:rPr>
          <w:rFonts w:hint="default" w:ascii="Times New Roman" w:hAnsi="Times New Roman" w:eastAsia="宋体" w:cs="Times New Roman"/>
          <w:kern w:val="0"/>
          <w:sz w:val="21"/>
          <w:szCs w:val="20"/>
          <w:highlight w:val="none"/>
          <w:lang w:val="en-US" w:eastAsia="zh-CN" w:bidi="ar-SA"/>
        </w:rPr>
        <w:t>166</w:t>
      </w:r>
      <w:r>
        <w:rPr>
          <w:rFonts w:hint="eastAsia" w:ascii="Times New Roman" w:cs="Times New Roman"/>
          <w:kern w:val="0"/>
          <w:sz w:val="21"/>
          <w:szCs w:val="20"/>
          <w:highlight w:val="none"/>
          <w:lang w:val="en-US" w:eastAsia="zh-CN" w:bidi="ar-SA"/>
        </w:rPr>
        <w:t xml:space="preserve"> </w:t>
      </w:r>
      <w:r>
        <w:rPr>
          <w:rFonts w:hint="default" w:ascii="Times New Roman" w:hAnsi="Times New Roman" w:eastAsia="宋体" w:cs="Times New Roman"/>
          <w:kern w:val="0"/>
          <w:sz w:val="21"/>
          <w:szCs w:val="20"/>
          <w:highlight w:val="none"/>
          <w:lang w:val="en-US" w:eastAsia="zh-CN" w:bidi="ar-SA"/>
        </w:rPr>
        <w:t>土壤环境监测技术规范</w:t>
      </w:r>
      <w:r>
        <w:rPr>
          <w:rFonts w:hint="default" w:ascii="Times New Roman" w:hAnsi="Times New Roman" w:eastAsia="宋体" w:cs="Times New Roman"/>
          <w:kern w:val="0"/>
          <w:sz w:val="21"/>
          <w:szCs w:val="20"/>
          <w:highlight w:val="none"/>
          <w:lang w:val="en-US" w:eastAsia="zh-CN" w:bidi="ar-SA"/>
        </w:rPr>
        <w:fldChar w:fldCharType="end"/>
      </w:r>
    </w:p>
    <w:p w14:paraId="6459C152">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default" w:ascii="Times New Roman" w:cs="Times New Roman"/>
          <w:i w:val="0"/>
          <w:iCs w:val="0"/>
          <w:caps w:val="0"/>
          <w:color w:val="000000"/>
          <w:spacing w:val="0"/>
          <w:sz w:val="21"/>
          <w:szCs w:val="24"/>
          <w:highlight w:val="none"/>
          <w:shd w:val="clear" w:color="auto" w:fill="auto"/>
          <w:lang w:val="en-US" w:eastAsia="zh-CN" w:bidi="ar"/>
        </w:rPr>
      </w:pPr>
      <w:r>
        <w:rPr>
          <w:rFonts w:hint="eastAsia" w:ascii="Times New Roman" w:cs="Times New Roman"/>
          <w:i w:val="0"/>
          <w:iCs w:val="0"/>
          <w:caps w:val="0"/>
          <w:color w:val="000000"/>
          <w:spacing w:val="0"/>
          <w:sz w:val="21"/>
          <w:szCs w:val="24"/>
          <w:highlight w:val="none"/>
          <w:shd w:val="clear" w:color="auto" w:fill="auto"/>
          <w:lang w:val="en-US" w:eastAsia="zh-CN" w:bidi="ar"/>
        </w:rPr>
        <w:t>HJ 91.2 地表水环境质量监测技术规范</w:t>
      </w:r>
    </w:p>
    <w:p w14:paraId="0050E478">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192</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生态环境状况评价技术规范</w:t>
      </w:r>
    </w:p>
    <w:p w14:paraId="0C5D4B75">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615</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土壤有机碳的测定 重铬酸钾氧化</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分光光度法</w:t>
      </w:r>
    </w:p>
    <w:p w14:paraId="4533E62D">
      <w:pPr>
        <w:keepNext w:val="0"/>
        <w:keepLines w:val="0"/>
        <w:widowControl/>
        <w:suppressLineNumbers w:val="0"/>
        <w:ind w:firstLine="420" w:firstLineChars="200"/>
        <w:jc w:val="left"/>
        <w:rPr>
          <w:highlight w:val="none"/>
        </w:rPr>
      </w:pPr>
      <w:r>
        <w:rPr>
          <w:rFonts w:hint="default" w:ascii="Times New Roman" w:hAnsi="Times New Roman" w:eastAsia="宋体" w:cs="Times New Roman"/>
          <w:color w:val="000000"/>
          <w:kern w:val="0"/>
          <w:sz w:val="21"/>
          <w:szCs w:val="21"/>
          <w:highlight w:val="none"/>
          <w:lang w:val="en-US" w:eastAsia="zh-CN" w:bidi="ar"/>
        </w:rPr>
        <w:t>HJ</w:t>
      </w:r>
      <w:r>
        <w:rPr>
          <w:rFonts w:hint="eastAsia"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val="en-US" w:eastAsia="zh-CN" w:bidi="ar"/>
        </w:rPr>
        <w:t>633</w:t>
      </w:r>
      <w:r>
        <w:rPr>
          <w:rFonts w:hint="eastAsia" w:cs="Times New Roman"/>
          <w:color w:val="000000"/>
          <w:kern w:val="0"/>
          <w:sz w:val="21"/>
          <w:szCs w:val="21"/>
          <w:highlight w:val="none"/>
          <w:lang w:val="en-US" w:eastAsia="zh-CN" w:bidi="ar"/>
        </w:rPr>
        <w:t xml:space="preserve"> </w:t>
      </w:r>
      <w:r>
        <w:rPr>
          <w:rFonts w:hint="eastAsia" w:ascii="宋体" w:hAnsi="宋体" w:eastAsia="宋体" w:cs="宋体"/>
          <w:color w:val="000000"/>
          <w:kern w:val="0"/>
          <w:sz w:val="21"/>
          <w:szCs w:val="21"/>
          <w:highlight w:val="none"/>
          <w:lang w:val="en-US" w:eastAsia="zh-CN" w:bidi="ar"/>
        </w:rPr>
        <w:t>环境空气质量指数（</w:t>
      </w:r>
      <w:r>
        <w:rPr>
          <w:rFonts w:hint="default" w:ascii="Times New Roman" w:hAnsi="Times New Roman" w:eastAsia="宋体" w:cs="Times New Roman"/>
          <w:color w:val="000000"/>
          <w:kern w:val="0"/>
          <w:sz w:val="21"/>
          <w:szCs w:val="21"/>
          <w:highlight w:val="none"/>
          <w:lang w:val="en-US" w:eastAsia="zh-CN" w:bidi="ar"/>
        </w:rPr>
        <w:t>AQI</w:t>
      </w:r>
      <w:r>
        <w:rPr>
          <w:rFonts w:hint="eastAsia" w:ascii="宋体" w:hAnsi="宋体" w:eastAsia="宋体" w:cs="宋体"/>
          <w:color w:val="000000"/>
          <w:kern w:val="0"/>
          <w:sz w:val="21"/>
          <w:szCs w:val="21"/>
          <w:highlight w:val="none"/>
          <w:lang w:val="en-US" w:eastAsia="zh-CN" w:bidi="ar"/>
        </w:rPr>
        <w:t>）技术规定（试行）</w:t>
      </w:r>
    </w:p>
    <w:p w14:paraId="6F786B94">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1156</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自然保护地人类活动遥感监测技术规范</w:t>
      </w:r>
    </w:p>
    <w:p w14:paraId="20D424F7">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1166</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全国生态状况调查评估技术规范</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———生态系统遥感解译与野外核查</w:t>
      </w:r>
    </w:p>
    <w:p w14:paraId="7846C80E">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1167</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全国生态状况调查评估技术规范—森林生态系统野外观测</w:t>
      </w:r>
    </w:p>
    <w:p w14:paraId="14E02F03">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1168</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全国生态状况调查评估技术规范—草地生态系统野外观测</w:t>
      </w:r>
    </w:p>
    <w:p w14:paraId="41AA73BB">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1169</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全国生态状况调查评估技术规范—湿地生态系统野外观测</w:t>
      </w:r>
    </w:p>
    <w:p w14:paraId="278456EE">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1170</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全国生态状况调查评估技术规范—荒漠生态系统野外观测</w:t>
      </w:r>
    </w:p>
    <w:p w14:paraId="50D5E16E">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1171</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全国生态状况调查评估技术规范——生态系统格局评估</w:t>
      </w:r>
    </w:p>
    <w:p w14:paraId="3ACB8B98">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1172</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全国生态状况调查评估技术规范——生态系统质量评估</w:t>
      </w:r>
    </w:p>
    <w:p w14:paraId="0B200F5B">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1173</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全国生态状况调查评估技术规范——生态系统服务功能评估</w:t>
      </w:r>
    </w:p>
    <w:p w14:paraId="384AEE13">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default" w:ascii="Times New Roman" w:hAnsi="Times New Roman" w:eastAsia="宋体" w:cs="Times New Roman"/>
          <w:b w:val="0"/>
          <w:bCs w:val="0"/>
          <w:i w:val="0"/>
          <w:iCs w:val="0"/>
          <w:caps w:val="0"/>
          <w:color w:val="000000"/>
          <w:spacing w:val="0"/>
          <w:kern w:val="0"/>
          <w:sz w:val="21"/>
          <w:szCs w:val="24"/>
          <w:highlight w:val="none"/>
          <w:shd w:val="clear" w:color="auto" w:fill="auto"/>
        </w:rPr>
        <w:t>HJ 1176</w:t>
      </w:r>
      <w:r>
        <w:rPr>
          <w:rFonts w:hint="eastAsia" w:ascii="Times New Roman" w:cs="Times New Roman"/>
          <w:b w:val="0"/>
          <w:bCs w:val="0"/>
          <w:i w:val="0"/>
          <w:iCs w:val="0"/>
          <w:caps w:val="0"/>
          <w:color w:val="000000"/>
          <w:spacing w:val="0"/>
          <w:kern w:val="0"/>
          <w:sz w:val="21"/>
          <w:szCs w:val="24"/>
          <w:highlight w:val="none"/>
          <w:shd w:val="clear" w:color="auto" w:fill="auto"/>
          <w:lang w:val="en-US" w:eastAsia="zh-CN"/>
        </w:rPr>
        <w:t xml:space="preserve"> </w:t>
      </w:r>
      <w:r>
        <w:rPr>
          <w:rFonts w:hint="default" w:ascii="Times New Roman" w:hAnsi="Times New Roman" w:eastAsia="宋体" w:cs="Times New Roman"/>
          <w:b w:val="0"/>
          <w:bCs w:val="0"/>
          <w:i w:val="0"/>
          <w:iCs w:val="0"/>
          <w:caps w:val="0"/>
          <w:color w:val="000000"/>
          <w:spacing w:val="0"/>
          <w:kern w:val="0"/>
          <w:sz w:val="21"/>
          <w:szCs w:val="24"/>
          <w:highlight w:val="none"/>
          <w:shd w:val="clear" w:color="auto" w:fill="auto"/>
        </w:rPr>
        <w:t>全国生态状况调查评估技术规范——数据质量控制与集成</w:t>
      </w:r>
    </w:p>
    <w:p w14:paraId="7EC8DA07">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1311</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自然保护地生态环境调查与观测技术规范</w:t>
      </w:r>
    </w:p>
    <w:p w14:paraId="3D894062">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right="0"/>
        <w:jc w:val="both"/>
        <w:textAlignment w:val="auto"/>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LY/T</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1225 森林土壤颗粒组成</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(机械组成)的测定</w:t>
      </w:r>
    </w:p>
    <w:p w14:paraId="728F61F2">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 xml:space="preserve">LY/T 2586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空气负（氧）离子浓度观测技术规范</w:t>
      </w:r>
    </w:p>
    <w:p w14:paraId="6ED2CE68">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right="0"/>
        <w:jc w:val="both"/>
        <w:textAlignment w:val="auto"/>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cs="Times New Roman"/>
          <w:i w:val="0"/>
          <w:iCs w:val="0"/>
          <w:caps w:val="0"/>
          <w:color w:val="000000"/>
          <w:spacing w:val="0"/>
          <w:sz w:val="21"/>
          <w:szCs w:val="24"/>
          <w:highlight w:val="none"/>
          <w:shd w:val="clear" w:color="auto" w:fill="auto"/>
          <w:lang w:val="en-US" w:eastAsia="zh-CN" w:bidi="ar"/>
        </w:rPr>
        <w:t>LY/T 3371 草原生态状况评价技术规范</w:t>
      </w:r>
    </w:p>
    <w:p w14:paraId="593071E3">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cs="Times New Roman"/>
          <w:i w:val="0"/>
          <w:iCs w:val="0"/>
          <w:caps w:val="0"/>
          <w:color w:val="000000"/>
          <w:spacing w:val="0"/>
          <w:sz w:val="21"/>
          <w:szCs w:val="24"/>
          <w:highlight w:val="none"/>
          <w:shd w:val="clear" w:color="auto" w:fill="auto"/>
          <w:lang w:val="en-US" w:eastAsia="zh-CN" w:bidi="ar"/>
        </w:rPr>
        <w:t>N</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Y/T 2738</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农作物病害遥感监测技术规范</w:t>
      </w:r>
    </w:p>
    <w:p w14:paraId="17659EEE">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SL</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183</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fldChar w:fldCharType="begin"/>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instrText xml:space="preserve"> HYPERLINK "http://www.doc88.com/p-9711824782078.html" \t "https://www.so.com/_blank" </w:instrTex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fldChar w:fldCharType="separate"/>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地下水监测规范</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fldChar w:fldCharType="end"/>
      </w:r>
    </w:p>
    <w:p w14:paraId="1846E524">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color w:val="000000"/>
          <w:kern w:val="0"/>
          <w:sz w:val="21"/>
          <w:szCs w:val="24"/>
          <w:highlight w:val="none"/>
          <w:shd w:val="clear" w:color="auto" w:fill="auto"/>
          <w:lang w:bidi="ar"/>
        </w:rPr>
        <w:t>SL/T</w:t>
      </w:r>
      <w:r>
        <w:rPr>
          <w:rFonts w:hint="eastAsia" w:ascii="Times New Roman" w:cs="Times New Roman"/>
          <w:color w:val="000000"/>
          <w:kern w:val="0"/>
          <w:sz w:val="21"/>
          <w:szCs w:val="24"/>
          <w:highlight w:val="none"/>
          <w:shd w:val="clear" w:color="auto" w:fill="auto"/>
          <w:lang w:val="en-US" w:eastAsia="zh-CN" w:bidi="ar"/>
        </w:rPr>
        <w:t xml:space="preserve"> </w:t>
      </w:r>
      <w:r>
        <w:rPr>
          <w:rFonts w:hint="eastAsia" w:ascii="Times New Roman" w:hAnsi="Times New Roman" w:eastAsia="宋体" w:cs="Times New Roman"/>
          <w:color w:val="000000"/>
          <w:kern w:val="0"/>
          <w:sz w:val="21"/>
          <w:szCs w:val="24"/>
          <w:highlight w:val="none"/>
          <w:shd w:val="clear" w:color="auto" w:fill="auto"/>
          <w:lang w:bidi="ar"/>
        </w:rPr>
        <w:t>820</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水利水电工程生态流量计算与泄放设计规范</w:t>
      </w:r>
    </w:p>
    <w:p w14:paraId="76085ED7">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TD/T 110</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2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国土空间生态保护修复工程成效评估规范</w:t>
      </w:r>
    </w:p>
    <w:p w14:paraId="19A9CE11">
      <w:pPr>
        <w:pStyle w:val="25"/>
        <w:keepNext w:val="0"/>
        <w:keepLines w:val="0"/>
        <w:widowControl/>
        <w:suppressLineNumbers w:val="0"/>
        <w:pBdr>
          <w:top w:val="none" w:color="auto" w:sz="0" w:space="0"/>
          <w:left w:val="none" w:color="auto" w:sz="0" w:space="0"/>
          <w:right w:val="none" w:color="auto" w:sz="0" w:space="0"/>
        </w:pBdr>
        <w:shd w:val="clear" w:color="auto" w:fill="FFFFFF"/>
        <w:jc w:val="both"/>
        <w:rPr>
          <w:rFonts w:hint="eastAsia" w:ascii="Times New Roman"/>
          <w:color w:val="000000"/>
          <w:szCs w:val="24"/>
          <w:highlight w:val="none"/>
          <w:shd w:val="clear" w:color="auto" w:fill="auto"/>
          <w:lang w:bidi="ar"/>
        </w:rPr>
      </w:pPr>
      <w:r>
        <w:rPr>
          <w:rFonts w:hint="eastAsia" w:ascii="Times New Roman" w:hAnsi="Times New Roman" w:eastAsia="宋体" w:cs="Times New Roman"/>
          <w:color w:val="000000"/>
          <w:kern w:val="0"/>
          <w:sz w:val="21"/>
          <w:szCs w:val="24"/>
          <w:highlight w:val="none"/>
          <w:shd w:val="clear" w:color="auto" w:fill="auto"/>
          <w:lang w:bidi="ar"/>
        </w:rPr>
        <w:t>DB</w:t>
      </w:r>
      <w:r>
        <w:rPr>
          <w:rFonts w:hint="eastAsia" w:ascii="Times New Roman" w:cs="Times New Roman"/>
          <w:color w:val="000000"/>
          <w:kern w:val="0"/>
          <w:sz w:val="21"/>
          <w:szCs w:val="24"/>
          <w:highlight w:val="none"/>
          <w:shd w:val="clear" w:color="auto" w:fill="auto"/>
          <w:lang w:val="en-US" w:eastAsia="zh-CN" w:bidi="ar"/>
        </w:rPr>
        <w:t xml:space="preserve"> </w:t>
      </w:r>
      <w:r>
        <w:rPr>
          <w:rFonts w:hint="eastAsia" w:ascii="Times New Roman" w:hAnsi="Times New Roman" w:eastAsia="宋体" w:cs="Times New Roman"/>
          <w:color w:val="000000"/>
          <w:kern w:val="0"/>
          <w:sz w:val="21"/>
          <w:szCs w:val="24"/>
          <w:highlight w:val="none"/>
          <w:shd w:val="clear" w:color="auto" w:fill="auto"/>
          <w:lang w:bidi="ar"/>
        </w:rPr>
        <w:t>11/T2059 生态产品总值核算技术规范</w:t>
      </w:r>
    </w:p>
    <w:p w14:paraId="0C5282EB">
      <w:pPr>
        <w:pStyle w:val="25"/>
        <w:keepNext w:val="0"/>
        <w:keepLines w:val="0"/>
        <w:widowControl/>
        <w:suppressLineNumbers w:val="0"/>
        <w:pBdr>
          <w:top w:val="none" w:color="auto" w:sz="0" w:space="0"/>
          <w:left w:val="none" w:color="auto" w:sz="0" w:space="0"/>
          <w:right w:val="none" w:color="auto" w:sz="0" w:space="0"/>
        </w:pBdr>
        <w:shd w:val="clear" w:color="auto" w:fill="FFFFFF"/>
        <w:spacing w:before="0" w:beforeAutospacing="0" w:after="0" w:afterAutospacing="0"/>
        <w:ind w:left="0" w:right="0"/>
        <w:jc w:val="both"/>
        <w:textAlignment w:val="auto"/>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DB 32</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/4867</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国土空间生态保护修复工程生态成效</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监测评估技术导则</w:t>
      </w:r>
    </w:p>
    <w:p w14:paraId="2E12E0D1">
      <w:pPr>
        <w:pStyle w:val="25"/>
        <w:keepNext w:val="0"/>
        <w:keepLines w:val="0"/>
        <w:widowControl/>
        <w:suppressLineNumbers w:val="0"/>
        <w:pBdr>
          <w:top w:val="none" w:color="auto" w:sz="0" w:space="0"/>
          <w:left w:val="none" w:color="auto" w:sz="0" w:space="0"/>
          <w:right w:val="none" w:color="auto" w:sz="0" w:space="0"/>
        </w:pBdr>
        <w:shd w:val="clear" w:color="auto" w:fill="FFFFFF"/>
        <w:jc w:val="both"/>
        <w:rPr>
          <w:rFonts w:hint="eastAsia" w:ascii="Times New Roman" w:hAnsi="Times New Roman" w:eastAsia="宋体" w:cs="Times New Roman"/>
          <w:color w:val="000000"/>
          <w:kern w:val="0"/>
          <w:sz w:val="21"/>
          <w:szCs w:val="24"/>
          <w:highlight w:val="none"/>
          <w:shd w:val="clear" w:color="auto" w:fill="auto"/>
          <w:lang w:val="en-US" w:eastAsia="zh-CN" w:bidi="ar"/>
        </w:rPr>
      </w:pPr>
      <w:r>
        <w:rPr>
          <w:rFonts w:hint="eastAsia" w:ascii="Times New Roman" w:hAnsi="Times New Roman" w:eastAsia="宋体" w:cs="Times New Roman"/>
          <w:color w:val="000000"/>
          <w:kern w:val="0"/>
          <w:sz w:val="21"/>
          <w:szCs w:val="24"/>
          <w:highlight w:val="none"/>
          <w:shd w:val="clear" w:color="auto" w:fill="auto"/>
          <w:lang w:val="en-US" w:eastAsia="zh-CN" w:bidi="ar"/>
        </w:rPr>
        <w:t>DB</w:t>
      </w:r>
      <w:r>
        <w:rPr>
          <w:rFonts w:hint="eastAsia" w:ascii="Times New Roman" w:cs="Times New Roman"/>
          <w:color w:val="000000"/>
          <w:kern w:val="0"/>
          <w:sz w:val="21"/>
          <w:szCs w:val="24"/>
          <w:highlight w:val="none"/>
          <w:shd w:val="clear" w:color="auto" w:fill="auto"/>
          <w:lang w:val="en-US" w:eastAsia="zh-CN" w:bidi="ar"/>
        </w:rPr>
        <w:t xml:space="preserve"> </w:t>
      </w:r>
      <w:r>
        <w:rPr>
          <w:rFonts w:hint="eastAsia" w:ascii="Times New Roman" w:hAnsi="Times New Roman" w:eastAsia="宋体" w:cs="Times New Roman"/>
          <w:color w:val="000000"/>
          <w:kern w:val="0"/>
          <w:sz w:val="21"/>
          <w:szCs w:val="24"/>
          <w:highlight w:val="none"/>
          <w:shd w:val="clear" w:color="auto" w:fill="auto"/>
          <w:lang w:val="en-US" w:eastAsia="zh-CN" w:bidi="ar"/>
        </w:rPr>
        <w:t>46/T664</w:t>
      </w:r>
      <w:r>
        <w:rPr>
          <w:rFonts w:hint="eastAsia" w:ascii="Times New Roman" w:cs="Times New Roman"/>
          <w:color w:val="000000"/>
          <w:kern w:val="0"/>
          <w:sz w:val="21"/>
          <w:szCs w:val="24"/>
          <w:highlight w:val="none"/>
          <w:shd w:val="clear" w:color="auto" w:fill="auto"/>
          <w:lang w:val="en-US" w:eastAsia="zh-CN" w:bidi="ar"/>
        </w:rPr>
        <w:t xml:space="preserve"> </w:t>
      </w:r>
      <w:r>
        <w:rPr>
          <w:rFonts w:hint="eastAsia" w:ascii="Times New Roman" w:hAnsi="Times New Roman" w:eastAsia="宋体" w:cs="Times New Roman"/>
          <w:color w:val="000000"/>
          <w:kern w:val="0"/>
          <w:sz w:val="21"/>
          <w:szCs w:val="24"/>
          <w:highlight w:val="none"/>
          <w:shd w:val="clear" w:color="auto" w:fill="auto"/>
          <w:lang w:val="en-US" w:eastAsia="zh-CN" w:bidi="ar"/>
        </w:rPr>
        <w:t>水生态监测与评价技术规范</w:t>
      </w:r>
    </w:p>
    <w:p w14:paraId="76A08BE9">
      <w:pPr>
        <w:pStyle w:val="80"/>
        <w:rPr>
          <w:rFonts w:hint="eastAsia"/>
          <w:color w:val="000000"/>
          <w:highlight w:val="none"/>
        </w:rPr>
      </w:pPr>
      <w:bookmarkStart w:id="80" w:name="_Toc2928"/>
      <w:bookmarkStart w:id="81" w:name="_Toc7016"/>
      <w:bookmarkStart w:id="82" w:name="_Toc20292"/>
      <w:bookmarkStart w:id="83" w:name="_Toc7875"/>
      <w:bookmarkStart w:id="84" w:name="_Toc20462"/>
      <w:bookmarkStart w:id="85" w:name="_Toc23899"/>
      <w:bookmarkStart w:id="86" w:name="_Toc30610"/>
      <w:bookmarkStart w:id="87" w:name="_Toc450293154"/>
      <w:bookmarkStart w:id="88" w:name="_Toc885"/>
      <w:bookmarkStart w:id="89" w:name="_Toc15171"/>
      <w:r>
        <w:rPr>
          <w:rFonts w:hint="eastAsia"/>
          <w:color w:val="000000"/>
          <w:highlight w:val="none"/>
        </w:rPr>
        <w:t>术语和定义</w:t>
      </w:r>
      <w:bookmarkEnd w:id="80"/>
      <w:bookmarkEnd w:id="81"/>
      <w:bookmarkEnd w:id="82"/>
      <w:bookmarkEnd w:id="83"/>
      <w:bookmarkEnd w:id="84"/>
      <w:bookmarkEnd w:id="85"/>
      <w:bookmarkEnd w:id="86"/>
      <w:bookmarkEnd w:id="87"/>
      <w:bookmarkEnd w:id="88"/>
      <w:bookmarkEnd w:id="89"/>
    </w:p>
    <w:p w14:paraId="5A57BFE3">
      <w:pPr>
        <w:pStyle w:val="62"/>
        <w:rPr>
          <w:rFonts w:hint="default" w:hAnsi="Times New Roman" w:cs="Times New Roman"/>
          <w:color w:val="000000"/>
          <w:highlight w:val="none"/>
        </w:rPr>
      </w:pPr>
      <w:bookmarkStart w:id="90" w:name="_Toc19383"/>
      <w:bookmarkEnd w:id="90"/>
    </w:p>
    <w:p w14:paraId="33CC8300">
      <w:pPr>
        <w:pStyle w:val="62"/>
        <w:numPr>
          <w:ilvl w:val="-1"/>
          <w:numId w:val="0"/>
        </w:numPr>
        <w:ind w:firstLine="420" w:firstLineChars="200"/>
        <w:rPr>
          <w:rFonts w:hint="default" w:hAnsi="Times New Roman" w:cs="Times New Roman"/>
          <w:color w:val="000000"/>
          <w:highlight w:val="none"/>
        </w:rPr>
      </w:pPr>
      <w:bookmarkStart w:id="91" w:name="_Toc13016"/>
      <w:r>
        <w:rPr>
          <w:rFonts w:hint="default" w:hAnsi="Times New Roman" w:cs="Times New Roman"/>
          <w:color w:val="000000"/>
          <w:highlight w:val="none"/>
        </w:rPr>
        <w:t>生态单元</w:t>
      </w:r>
      <w:r>
        <w:rPr>
          <w:rFonts w:hint="eastAsia" w:hAnsi="Times New Roman" w:cs="Times New Roman"/>
          <w:color w:val="000000"/>
          <w:highlight w:val="none"/>
          <w:lang w:val="en-US" w:eastAsia="zh-CN"/>
        </w:rPr>
        <w:t xml:space="preserve"> </w:t>
      </w:r>
      <w:r>
        <w:rPr>
          <w:rFonts w:hint="eastAsia"/>
          <w:color w:val="000000"/>
          <w:highlight w:val="none"/>
        </w:rPr>
        <w:t>ecological u</w:t>
      </w:r>
      <w:r>
        <w:rPr>
          <w:rFonts w:hint="eastAsia"/>
          <w:color w:val="000000"/>
          <w:highlight w:val="none"/>
          <w:lang w:val="en-US" w:eastAsia="zh-CN"/>
        </w:rPr>
        <w:t>n</w:t>
      </w:r>
      <w:r>
        <w:rPr>
          <w:rFonts w:hint="eastAsia"/>
          <w:color w:val="000000"/>
          <w:highlight w:val="none"/>
        </w:rPr>
        <w:t>it</w:t>
      </w:r>
      <w:bookmarkEnd w:id="91"/>
    </w:p>
    <w:p w14:paraId="6E55D64C">
      <w:pPr>
        <w:pStyle w:val="25"/>
        <w:rPr>
          <w:rFonts w:hint="eastAsia" w:ascii="宋体" w:hAnsi="Times New Roman" w:eastAsia="宋体" w:cs="Times New Roman"/>
          <w:color w:val="000000"/>
          <w:highlight w:val="none"/>
          <w:lang w:val="en-US" w:eastAsia="zh-CN"/>
        </w:rPr>
      </w:pPr>
      <w:r>
        <w:rPr>
          <w:rFonts w:hint="default" w:ascii="宋体" w:hAnsi="Times New Roman" w:eastAsia="宋体" w:cs="Times New Roman"/>
          <w:color w:val="000000"/>
          <w:highlight w:val="none"/>
          <w:lang w:val="en-US" w:eastAsia="zh-CN"/>
        </w:rPr>
        <w:t>具有特定生态结构和功能的生态空间，体现</w:t>
      </w:r>
      <w:r>
        <w:rPr>
          <w:rFonts w:hint="eastAsia" w:cs="Times New Roman"/>
          <w:color w:val="000000"/>
          <w:highlight w:val="none"/>
          <w:lang w:val="en-US" w:eastAsia="zh-CN"/>
        </w:rPr>
        <w:t>单元</w:t>
      </w:r>
      <w:r>
        <w:rPr>
          <w:rFonts w:hint="default" w:ascii="宋体" w:hAnsi="Times New Roman" w:eastAsia="宋体" w:cs="Times New Roman"/>
          <w:color w:val="000000"/>
          <w:highlight w:val="none"/>
          <w:lang w:val="en-US" w:eastAsia="zh-CN"/>
        </w:rPr>
        <w:t>（流域）生态功能系统性、完整性、多样性、关联性等基本特征</w:t>
      </w:r>
      <w:r>
        <w:rPr>
          <w:rFonts w:hint="eastAsia" w:ascii="宋体" w:hAnsi="Times New Roman" w:eastAsia="宋体" w:cs="Times New Roman"/>
          <w:color w:val="000000"/>
          <w:highlight w:val="none"/>
          <w:lang w:val="en-US" w:eastAsia="zh-CN"/>
        </w:rPr>
        <w:t>，是国土空间详细规划编制的一类技术单元。</w:t>
      </w:r>
    </w:p>
    <w:p w14:paraId="293E1928">
      <w:pPr>
        <w:pStyle w:val="25"/>
        <w:jc w:val="left"/>
        <w:rPr>
          <w:rFonts w:hint="eastAsia" w:ascii="宋体" w:hAnsi="Times New Roman" w:eastAsia="宋体" w:cs="Times New Roman"/>
          <w:color w:val="000000"/>
          <w:sz w:val="21"/>
          <w:szCs w:val="21"/>
          <w:highlight w:val="none"/>
          <w:lang w:val="en-US" w:eastAsia="zh-CN"/>
        </w:rPr>
      </w:pPr>
      <w:r>
        <w:rPr>
          <w:rFonts w:hint="eastAsia" w:ascii="宋体" w:hAnsi="Times New Roman" w:eastAsia="宋体" w:cs="Times New Roman"/>
          <w:color w:val="000000"/>
          <w:sz w:val="21"/>
          <w:szCs w:val="21"/>
          <w:highlight w:val="none"/>
          <w:lang w:val="en-US" w:eastAsia="zh-CN"/>
        </w:rPr>
        <w:t>[</w:t>
      </w:r>
      <w:r>
        <w:rPr>
          <w:rFonts w:hint="eastAsia" w:cs="Times New Roman"/>
          <w:color w:val="000000"/>
          <w:sz w:val="21"/>
          <w:szCs w:val="21"/>
          <w:highlight w:val="none"/>
          <w:lang w:val="en-US" w:eastAsia="zh-CN"/>
        </w:rPr>
        <w:t>来源</w:t>
      </w:r>
      <w:r>
        <w:rPr>
          <w:rFonts w:hint="eastAsia" w:ascii="宋体" w:hAnsi="Times New Roman" w:eastAsia="宋体" w:cs="Times New Roman"/>
          <w:color w:val="000000"/>
          <w:sz w:val="21"/>
          <w:szCs w:val="21"/>
          <w:highlight w:val="none"/>
          <w:lang w:val="en-US" w:eastAsia="zh-CN"/>
        </w:rPr>
        <w:t>：</w:t>
      </w:r>
      <w:r>
        <w:rPr>
          <w:rFonts w:hint="eastAsia" w:ascii="Times New Roman" w:hAnsi="Times New Roman" w:eastAsia="宋体" w:cs="Times New Roman"/>
          <w:color w:val="000000"/>
          <w:kern w:val="0"/>
          <w:sz w:val="21"/>
          <w:szCs w:val="24"/>
          <w:highlight w:val="none"/>
          <w:shd w:val="clear" w:color="auto" w:fill="auto"/>
          <w:lang w:val="en-US" w:eastAsia="zh-CN" w:bidi="ar"/>
        </w:rPr>
        <w:t>GB/T 43214</w:t>
      </w:r>
      <w:r>
        <w:rPr>
          <w:rFonts w:hint="eastAsia" w:cs="Times New Roman"/>
          <w:color w:val="000000"/>
          <w:sz w:val="21"/>
          <w:szCs w:val="21"/>
          <w:highlight w:val="none"/>
          <w:lang w:val="en-US" w:eastAsia="zh-CN"/>
        </w:rPr>
        <w:t>，有修改</w:t>
      </w:r>
      <w:r>
        <w:rPr>
          <w:rFonts w:hint="eastAsia" w:ascii="宋体" w:hAnsi="Times New Roman" w:eastAsia="宋体" w:cs="Times New Roman"/>
          <w:color w:val="000000"/>
          <w:sz w:val="21"/>
          <w:szCs w:val="21"/>
          <w:highlight w:val="none"/>
          <w:lang w:val="en-US" w:eastAsia="zh-CN"/>
        </w:rPr>
        <w:t>]</w:t>
      </w:r>
    </w:p>
    <w:p w14:paraId="4E7E2FC7">
      <w:pPr>
        <w:pStyle w:val="62"/>
        <w:rPr>
          <w:rFonts w:hint="default" w:hAnsi="Times New Roman" w:cs="Times New Roman"/>
          <w:color w:val="000000"/>
          <w:highlight w:val="none"/>
          <w:lang w:val="en-US" w:eastAsia="zh-CN"/>
        </w:rPr>
      </w:pPr>
      <w:bookmarkStart w:id="92" w:name="_Toc1995"/>
      <w:bookmarkEnd w:id="92"/>
      <w:bookmarkStart w:id="93" w:name="_Toc28646"/>
      <w:bookmarkStart w:id="94" w:name="_Toc25239"/>
      <w:bookmarkStart w:id="95" w:name="_Toc29409"/>
      <w:bookmarkStart w:id="96" w:name="_Toc20356"/>
      <w:bookmarkStart w:id="97" w:name="_Toc24436"/>
      <w:bookmarkStart w:id="98" w:name="_Toc25839"/>
      <w:bookmarkStart w:id="99" w:name="_Toc29694"/>
      <w:bookmarkStart w:id="100" w:name="_Toc21425"/>
      <w:bookmarkStart w:id="101" w:name="_Toc17490"/>
      <w:bookmarkStart w:id="102" w:name="_Toc20975"/>
    </w:p>
    <w:p w14:paraId="5D3E7519">
      <w:pPr>
        <w:pStyle w:val="62"/>
        <w:numPr>
          <w:ilvl w:val="-1"/>
          <w:numId w:val="0"/>
        </w:numPr>
        <w:ind w:firstLine="420" w:firstLineChars="200"/>
        <w:rPr>
          <w:rFonts w:hint="default" w:hAnsi="Times New Roman" w:cs="Times New Roman"/>
          <w:color w:val="000000"/>
          <w:highlight w:val="none"/>
          <w:lang w:val="en-US" w:eastAsia="zh-CN"/>
        </w:rPr>
      </w:pPr>
      <w:bookmarkStart w:id="103" w:name="_Toc18208"/>
      <w:r>
        <w:rPr>
          <w:rFonts w:hint="eastAsia" w:hAnsi="Times New Roman" w:cs="Times New Roman"/>
          <w:color w:val="000000"/>
          <w:highlight w:val="none"/>
          <w:lang w:val="en-US" w:eastAsia="zh-CN"/>
        </w:rPr>
        <w:t>典型生态单元 typical ecological unit</w:t>
      </w:r>
      <w:bookmarkEnd w:id="93"/>
      <w:bookmarkEnd w:id="94"/>
      <w:bookmarkEnd w:id="95"/>
      <w:bookmarkEnd w:id="96"/>
      <w:bookmarkEnd w:id="97"/>
      <w:bookmarkEnd w:id="98"/>
      <w:bookmarkEnd w:id="99"/>
      <w:bookmarkEnd w:id="100"/>
      <w:bookmarkEnd w:id="101"/>
      <w:bookmarkEnd w:id="102"/>
      <w:bookmarkEnd w:id="103"/>
    </w:p>
    <w:p w14:paraId="073E4D21">
      <w:pPr>
        <w:pStyle w:val="25"/>
        <w:rPr>
          <w:rFonts w:hint="eastAsia" w:ascii="宋体" w:hAnsi="Times New Roman" w:eastAsia="宋体" w:cs="Times New Roman"/>
          <w:color w:val="000000"/>
          <w:highlight w:val="none"/>
          <w:lang w:val="en-US" w:eastAsia="zh-CN"/>
        </w:rPr>
      </w:pPr>
      <w:r>
        <w:rPr>
          <w:rFonts w:hint="eastAsia" w:cs="Times New Roman"/>
          <w:color w:val="000000"/>
          <w:highlight w:val="none"/>
          <w:lang w:val="en-US" w:eastAsia="zh-CN"/>
        </w:rPr>
        <w:t>生态特征相对一致，且在</w:t>
      </w:r>
      <w:r>
        <w:rPr>
          <w:rFonts w:hint="eastAsia" w:ascii="宋体" w:hAnsi="Times New Roman" w:eastAsia="宋体" w:cs="Times New Roman"/>
          <w:color w:val="000000"/>
          <w:highlight w:val="none"/>
          <w:lang w:val="en-US" w:eastAsia="zh-CN"/>
        </w:rPr>
        <w:t>要素分布、主导功能、保护和利用方向</w:t>
      </w:r>
      <w:r>
        <w:rPr>
          <w:rFonts w:hint="eastAsia" w:cs="Times New Roman"/>
          <w:color w:val="000000"/>
          <w:highlight w:val="none"/>
          <w:lang w:val="en-US" w:eastAsia="zh-CN"/>
        </w:rPr>
        <w:t>等方面相对独立完整</w:t>
      </w:r>
      <w:r>
        <w:rPr>
          <w:rFonts w:hint="eastAsia" w:ascii="宋体" w:hAnsi="Times New Roman" w:eastAsia="宋体" w:cs="Times New Roman"/>
          <w:color w:val="000000"/>
          <w:highlight w:val="none"/>
          <w:lang w:val="en-US" w:eastAsia="zh-CN"/>
        </w:rPr>
        <w:t>的生态单元。</w:t>
      </w:r>
    </w:p>
    <w:p w14:paraId="31BA92BA">
      <w:pPr>
        <w:pStyle w:val="25"/>
        <w:ind w:firstLine="360"/>
        <w:rPr>
          <w:rFonts w:hint="eastAsia" w:ascii="宋体" w:hAnsi="Times New Roman" w:eastAsia="宋体" w:cs="Times New Roman"/>
          <w:color w:val="000000"/>
          <w:sz w:val="18"/>
          <w:szCs w:val="16"/>
          <w:highlight w:val="none"/>
          <w:lang w:val="en-US" w:eastAsia="zh-CN"/>
        </w:rPr>
      </w:pPr>
      <w:r>
        <w:rPr>
          <w:rFonts w:hint="eastAsia" w:ascii="宋体" w:hAnsi="Times New Roman" w:eastAsia="宋体" w:cs="Times New Roman"/>
          <w:color w:val="000000"/>
          <w:sz w:val="18"/>
          <w:szCs w:val="16"/>
          <w:highlight w:val="none"/>
          <w:lang w:val="en-US" w:eastAsia="zh-CN"/>
        </w:rPr>
        <w:t>注：</w:t>
      </w:r>
      <w:r>
        <w:rPr>
          <w:rFonts w:hint="eastAsia" w:cs="Times New Roman"/>
          <w:color w:val="000000"/>
          <w:sz w:val="18"/>
          <w:szCs w:val="16"/>
          <w:highlight w:val="none"/>
          <w:lang w:val="en-US" w:eastAsia="zh-CN"/>
        </w:rPr>
        <w:t>主要包括生态保育单元、河湖湿地水安全单元、重要生态廊道单元、生态游憩单元和生产生活单元五类。</w:t>
      </w:r>
    </w:p>
    <w:p w14:paraId="2487567E">
      <w:pPr>
        <w:pStyle w:val="62"/>
        <w:rPr>
          <w:rFonts w:hint="default" w:hAnsi="Times New Roman" w:cs="Times New Roman"/>
          <w:color w:val="000000"/>
          <w:highlight w:val="none"/>
        </w:rPr>
      </w:pPr>
      <w:bookmarkStart w:id="104" w:name="_Toc30468"/>
      <w:bookmarkEnd w:id="104"/>
      <w:bookmarkStart w:id="105" w:name="_Toc5788"/>
      <w:bookmarkStart w:id="106" w:name="_Toc15773"/>
      <w:bookmarkStart w:id="107" w:name="_Toc5965"/>
      <w:bookmarkStart w:id="108" w:name="_Toc3093"/>
      <w:bookmarkStart w:id="109" w:name="_Toc1809"/>
      <w:bookmarkStart w:id="110" w:name="_Toc25512"/>
      <w:bookmarkStart w:id="111" w:name="_Toc26742"/>
      <w:bookmarkStart w:id="112" w:name="_Toc31954"/>
      <w:bookmarkStart w:id="113" w:name="_Toc27068"/>
      <w:bookmarkStart w:id="114" w:name="_Toc7245"/>
      <w:bookmarkStart w:id="115" w:name="_Toc7985"/>
    </w:p>
    <w:p w14:paraId="20252577">
      <w:pPr>
        <w:pStyle w:val="62"/>
        <w:numPr>
          <w:ilvl w:val="-1"/>
          <w:numId w:val="0"/>
        </w:numPr>
        <w:ind w:firstLine="420" w:firstLineChars="200"/>
        <w:rPr>
          <w:rFonts w:hint="default" w:hAnsi="Times New Roman" w:cs="Times New Roman"/>
          <w:color w:val="000000"/>
          <w:highlight w:val="none"/>
        </w:rPr>
      </w:pPr>
      <w:bookmarkStart w:id="116" w:name="_Toc25696"/>
      <w:r>
        <w:rPr>
          <w:rFonts w:hint="default" w:hAnsi="Times New Roman" w:cs="Times New Roman"/>
          <w:color w:val="000000"/>
          <w:highlight w:val="none"/>
          <w:lang w:val="en-US" w:eastAsia="zh-CN"/>
        </w:rPr>
        <w:t>生态保育单元</w:t>
      </w:r>
      <w:r>
        <w:rPr>
          <w:rFonts w:hint="eastAsia" w:hAnsi="Times New Roman" w:cs="Times New Roman"/>
          <w:color w:val="000000"/>
          <w:highlight w:val="none"/>
          <w:lang w:val="en-US" w:eastAsia="zh-CN"/>
        </w:rPr>
        <w:t xml:space="preserve"> </w:t>
      </w:r>
      <w:r>
        <w:rPr>
          <w:rFonts w:hint="eastAsia" w:cs="Times New Roman"/>
          <w:color w:val="000000"/>
          <w:highlight w:val="none"/>
          <w:lang w:val="en-US" w:eastAsia="zh-CN"/>
        </w:rPr>
        <w:t>e</w:t>
      </w:r>
      <w:r>
        <w:rPr>
          <w:rFonts w:hint="eastAsia" w:hAnsi="Times New Roman" w:cs="Times New Roman"/>
          <w:color w:val="000000"/>
          <w:highlight w:val="none"/>
          <w:lang w:val="en-US" w:eastAsia="zh-CN"/>
        </w:rPr>
        <w:t xml:space="preserve">cological </w:t>
      </w:r>
      <w:r>
        <w:rPr>
          <w:rFonts w:hint="eastAsia" w:cs="Times New Roman"/>
          <w:color w:val="000000"/>
          <w:highlight w:val="none"/>
          <w:lang w:val="en-US" w:eastAsia="zh-CN"/>
        </w:rPr>
        <w:t>c</w:t>
      </w:r>
      <w:r>
        <w:rPr>
          <w:rFonts w:hint="eastAsia" w:hAnsi="Times New Roman" w:cs="Times New Roman"/>
          <w:color w:val="000000"/>
          <w:highlight w:val="none"/>
          <w:lang w:val="en-US" w:eastAsia="zh-CN"/>
        </w:rPr>
        <w:t xml:space="preserve">onservation </w:t>
      </w:r>
      <w:r>
        <w:rPr>
          <w:rFonts w:hint="eastAsia" w:cs="Times New Roman"/>
          <w:color w:val="000000"/>
          <w:highlight w:val="none"/>
          <w:lang w:val="en-US" w:eastAsia="zh-CN"/>
        </w:rPr>
        <w:t>u</w:t>
      </w:r>
      <w:r>
        <w:rPr>
          <w:rFonts w:hint="eastAsia" w:hAnsi="Times New Roman" w:cs="Times New Roman"/>
          <w:color w:val="000000"/>
          <w:highlight w:val="none"/>
          <w:lang w:val="en-US" w:eastAsia="zh-CN"/>
        </w:rPr>
        <w:t>nit</w:t>
      </w:r>
      <w:bookmarkEnd w:id="105"/>
      <w:bookmarkEnd w:id="106"/>
      <w:bookmarkEnd w:id="107"/>
      <w:bookmarkEnd w:id="108"/>
      <w:bookmarkEnd w:id="109"/>
      <w:bookmarkEnd w:id="110"/>
      <w:bookmarkEnd w:id="111"/>
      <w:bookmarkEnd w:id="112"/>
      <w:bookmarkEnd w:id="113"/>
      <w:bookmarkEnd w:id="114"/>
      <w:bookmarkEnd w:id="116"/>
    </w:p>
    <w:p w14:paraId="7C872539">
      <w:pPr>
        <w:keepNext w:val="0"/>
        <w:keepLines w:val="0"/>
        <w:widowControl/>
        <w:suppressLineNumbers w:val="0"/>
        <w:ind w:firstLine="420" w:firstLineChars="200"/>
        <w:jc w:val="left"/>
        <w:rPr>
          <w:rFonts w:hint="eastAsia" w:ascii="宋体" w:hAnsi="Times New Roman" w:eastAsia="宋体" w:cs="Times New Roman"/>
          <w:color w:val="000000"/>
          <w:kern w:val="0"/>
          <w:sz w:val="21"/>
          <w:szCs w:val="20"/>
          <w:highlight w:val="none"/>
          <w:lang w:val="en-US" w:eastAsia="zh-CN" w:bidi="ar-SA"/>
        </w:rPr>
      </w:pPr>
      <w:r>
        <w:rPr>
          <w:rFonts w:hint="eastAsia" w:ascii="宋体" w:hAnsi="Times New Roman" w:eastAsia="宋体" w:cs="Times New Roman"/>
          <w:color w:val="000000"/>
          <w:kern w:val="0"/>
          <w:sz w:val="21"/>
          <w:szCs w:val="20"/>
          <w:highlight w:val="none"/>
          <w:lang w:val="en-US" w:eastAsia="zh-CN" w:bidi="ar-SA"/>
        </w:rPr>
        <w:t>自然生态系统保存最完整、生态核心资源集中分布、具有代表性和特殊性自然遗迹、生态脆弱需要休养生息的</w:t>
      </w:r>
      <w:r>
        <w:rPr>
          <w:rFonts w:hint="eastAsia" w:ascii="宋体" w:cs="Times New Roman"/>
          <w:color w:val="000000"/>
          <w:kern w:val="0"/>
          <w:sz w:val="21"/>
          <w:szCs w:val="20"/>
          <w:highlight w:val="none"/>
          <w:lang w:val="en-US" w:eastAsia="zh-CN" w:bidi="ar-SA"/>
        </w:rPr>
        <w:t>生态空间</w:t>
      </w:r>
      <w:r>
        <w:rPr>
          <w:rFonts w:hint="eastAsia" w:ascii="宋体" w:hAnsi="Times New Roman" w:eastAsia="宋体" w:cs="Times New Roman"/>
          <w:color w:val="000000"/>
          <w:kern w:val="0"/>
          <w:sz w:val="21"/>
          <w:szCs w:val="20"/>
          <w:highlight w:val="none"/>
          <w:lang w:val="en-US" w:eastAsia="zh-CN" w:bidi="ar-SA"/>
        </w:rPr>
        <w:t>。</w:t>
      </w:r>
    </w:p>
    <w:p w14:paraId="34C4DBA6">
      <w:pPr>
        <w:pStyle w:val="62"/>
        <w:rPr>
          <w:rFonts w:hint="default" w:hAnsi="Times New Roman" w:cs="Times New Roman"/>
          <w:color w:val="000000"/>
          <w:highlight w:val="none"/>
          <w:lang w:val="en-US" w:eastAsia="zh-CN"/>
        </w:rPr>
      </w:pPr>
      <w:bookmarkStart w:id="117" w:name="_Toc4383"/>
      <w:bookmarkEnd w:id="117"/>
      <w:bookmarkStart w:id="118" w:name="_Toc22885"/>
      <w:bookmarkStart w:id="119" w:name="_Toc6609"/>
      <w:bookmarkStart w:id="120" w:name="_Toc11427"/>
      <w:bookmarkStart w:id="121" w:name="_Toc21285"/>
      <w:bookmarkStart w:id="122" w:name="_Toc16645"/>
      <w:bookmarkStart w:id="123" w:name="_Toc20592"/>
      <w:bookmarkStart w:id="124" w:name="_Toc32673"/>
      <w:bookmarkStart w:id="125" w:name="_Toc7597"/>
      <w:bookmarkStart w:id="126" w:name="_Toc523"/>
      <w:bookmarkStart w:id="127" w:name="_Toc16150"/>
    </w:p>
    <w:p w14:paraId="42A19377">
      <w:pPr>
        <w:pStyle w:val="62"/>
        <w:numPr>
          <w:ilvl w:val="-1"/>
          <w:numId w:val="0"/>
        </w:numPr>
        <w:ind w:firstLine="420" w:firstLineChars="200"/>
        <w:rPr>
          <w:rFonts w:hint="default" w:hAnsi="Times New Roman" w:cs="Times New Roman"/>
          <w:color w:val="000000"/>
          <w:highlight w:val="none"/>
          <w:lang w:val="en-US" w:eastAsia="zh-CN"/>
        </w:rPr>
      </w:pPr>
      <w:bookmarkStart w:id="128" w:name="_Toc10399"/>
      <w:r>
        <w:rPr>
          <w:rFonts w:hint="default" w:hAnsi="Times New Roman" w:cs="Times New Roman"/>
          <w:color w:val="000000"/>
          <w:highlight w:val="none"/>
          <w:lang w:val="en-US" w:eastAsia="zh-CN"/>
        </w:rPr>
        <w:t>河湖湿地水安全单元</w:t>
      </w:r>
      <w:r>
        <w:rPr>
          <w:rFonts w:hint="eastAsia" w:hAnsi="Times New Roman" w:cs="Times New Roman"/>
          <w:color w:val="000000"/>
          <w:highlight w:val="none"/>
          <w:lang w:val="en-US" w:eastAsia="zh-CN"/>
        </w:rPr>
        <w:t xml:space="preserve"> </w:t>
      </w:r>
      <w:r>
        <w:rPr>
          <w:rFonts w:hint="eastAsia" w:cs="Times New Roman"/>
          <w:color w:val="000000"/>
          <w:highlight w:val="none"/>
          <w:lang w:val="en-US" w:eastAsia="zh-CN"/>
        </w:rPr>
        <w:t>r</w:t>
      </w:r>
      <w:r>
        <w:rPr>
          <w:rFonts w:hint="eastAsia" w:hAnsi="Times New Roman" w:cs="Times New Roman"/>
          <w:color w:val="000000"/>
          <w:highlight w:val="none"/>
          <w:lang w:val="en-US" w:eastAsia="zh-CN"/>
        </w:rPr>
        <w:t xml:space="preserve">iver and </w:t>
      </w:r>
      <w:r>
        <w:rPr>
          <w:rFonts w:hint="eastAsia" w:cs="Times New Roman"/>
          <w:color w:val="000000"/>
          <w:highlight w:val="none"/>
          <w:lang w:val="en-US" w:eastAsia="zh-CN"/>
        </w:rPr>
        <w:t>l</w:t>
      </w:r>
      <w:r>
        <w:rPr>
          <w:rFonts w:hint="eastAsia" w:hAnsi="Times New Roman" w:cs="Times New Roman"/>
          <w:color w:val="000000"/>
          <w:highlight w:val="none"/>
          <w:lang w:val="en-US" w:eastAsia="zh-CN"/>
        </w:rPr>
        <w:t xml:space="preserve">ake </w:t>
      </w:r>
      <w:r>
        <w:rPr>
          <w:rFonts w:hint="eastAsia" w:cs="Times New Roman"/>
          <w:color w:val="000000"/>
          <w:highlight w:val="none"/>
          <w:lang w:val="en-US" w:eastAsia="zh-CN"/>
        </w:rPr>
        <w:t>w</w:t>
      </w:r>
      <w:r>
        <w:rPr>
          <w:rFonts w:hint="eastAsia" w:hAnsi="Times New Roman" w:cs="Times New Roman"/>
          <w:color w:val="000000"/>
          <w:highlight w:val="none"/>
          <w:lang w:val="en-US" w:eastAsia="zh-CN"/>
        </w:rPr>
        <w:t xml:space="preserve">etland </w:t>
      </w:r>
      <w:r>
        <w:rPr>
          <w:rFonts w:hint="eastAsia" w:cs="Times New Roman"/>
          <w:color w:val="000000"/>
          <w:highlight w:val="none"/>
          <w:lang w:val="en-US" w:eastAsia="zh-CN"/>
        </w:rPr>
        <w:t>w</w:t>
      </w:r>
      <w:r>
        <w:rPr>
          <w:rFonts w:hint="eastAsia" w:hAnsi="Times New Roman" w:cs="Times New Roman"/>
          <w:color w:val="000000"/>
          <w:highlight w:val="none"/>
          <w:lang w:val="en-US" w:eastAsia="zh-CN"/>
        </w:rPr>
        <w:t xml:space="preserve">ater </w:t>
      </w:r>
      <w:r>
        <w:rPr>
          <w:rFonts w:hint="eastAsia" w:cs="Times New Roman"/>
          <w:color w:val="000000"/>
          <w:highlight w:val="none"/>
          <w:lang w:val="en-US" w:eastAsia="zh-CN"/>
        </w:rPr>
        <w:t>s</w:t>
      </w:r>
      <w:r>
        <w:rPr>
          <w:rFonts w:hint="eastAsia" w:hAnsi="Times New Roman" w:cs="Times New Roman"/>
          <w:color w:val="000000"/>
          <w:highlight w:val="none"/>
          <w:lang w:val="en-US" w:eastAsia="zh-CN"/>
        </w:rPr>
        <w:t xml:space="preserve">ecurity </w:t>
      </w:r>
      <w:r>
        <w:rPr>
          <w:rFonts w:hint="eastAsia" w:cs="Times New Roman"/>
          <w:color w:val="000000"/>
          <w:highlight w:val="none"/>
          <w:lang w:val="en-US" w:eastAsia="zh-CN"/>
        </w:rPr>
        <w:t>u</w:t>
      </w:r>
      <w:r>
        <w:rPr>
          <w:rFonts w:hint="eastAsia" w:hAnsi="Times New Roman" w:cs="Times New Roman"/>
          <w:color w:val="000000"/>
          <w:highlight w:val="none"/>
          <w:lang w:val="en-US" w:eastAsia="zh-CN"/>
        </w:rPr>
        <w:t>nit</w:t>
      </w:r>
      <w:bookmarkEnd w:id="118"/>
      <w:bookmarkEnd w:id="119"/>
      <w:bookmarkEnd w:id="120"/>
      <w:bookmarkEnd w:id="121"/>
      <w:bookmarkEnd w:id="122"/>
      <w:bookmarkEnd w:id="123"/>
      <w:bookmarkEnd w:id="124"/>
      <w:bookmarkEnd w:id="125"/>
      <w:bookmarkEnd w:id="126"/>
      <w:bookmarkEnd w:id="127"/>
      <w:bookmarkEnd w:id="128"/>
    </w:p>
    <w:p w14:paraId="59F618EB">
      <w:pPr>
        <w:keepNext w:val="0"/>
        <w:keepLines w:val="0"/>
        <w:widowControl/>
        <w:suppressLineNumbers w:val="0"/>
        <w:ind w:firstLine="420" w:firstLineChars="200"/>
        <w:jc w:val="left"/>
        <w:rPr>
          <w:rFonts w:hint="eastAsia" w:ascii="宋体" w:hAnsi="Times New Roman" w:eastAsia="宋体" w:cs="Times New Roman"/>
          <w:color w:val="000000"/>
          <w:kern w:val="0"/>
          <w:sz w:val="21"/>
          <w:szCs w:val="20"/>
          <w:highlight w:val="none"/>
          <w:lang w:val="en-US" w:eastAsia="zh-CN" w:bidi="ar-SA"/>
        </w:rPr>
      </w:pPr>
      <w:r>
        <w:rPr>
          <w:rFonts w:hint="eastAsia" w:ascii="宋体" w:hAnsi="Times New Roman" w:eastAsia="宋体" w:cs="Times New Roman"/>
          <w:color w:val="000000"/>
          <w:kern w:val="0"/>
          <w:sz w:val="21"/>
          <w:szCs w:val="20"/>
          <w:highlight w:val="none"/>
          <w:lang w:val="en-US" w:eastAsia="zh-CN" w:bidi="ar-SA"/>
        </w:rPr>
        <w:t>水资源供给和水域生态环境重点保护</w:t>
      </w:r>
      <w:r>
        <w:rPr>
          <w:rFonts w:hint="eastAsia" w:ascii="宋体" w:cs="Times New Roman"/>
          <w:color w:val="000000"/>
          <w:kern w:val="0"/>
          <w:sz w:val="21"/>
          <w:szCs w:val="20"/>
          <w:highlight w:val="none"/>
          <w:lang w:val="en-US" w:eastAsia="zh-CN" w:bidi="ar-SA"/>
        </w:rPr>
        <w:t>的生态空间</w:t>
      </w:r>
      <w:r>
        <w:rPr>
          <w:rFonts w:hint="eastAsia" w:ascii="宋体" w:hAnsi="Times New Roman" w:eastAsia="宋体" w:cs="Times New Roman"/>
          <w:color w:val="000000"/>
          <w:kern w:val="0"/>
          <w:sz w:val="21"/>
          <w:szCs w:val="20"/>
          <w:highlight w:val="none"/>
          <w:lang w:val="en-US" w:eastAsia="zh-CN" w:bidi="ar-SA"/>
        </w:rPr>
        <w:t>。</w:t>
      </w:r>
    </w:p>
    <w:p w14:paraId="0B88457C">
      <w:pPr>
        <w:pStyle w:val="25"/>
        <w:keepNext w:val="0"/>
        <w:keepLines w:val="0"/>
        <w:widowControl/>
        <w:suppressLineNumbers w:val="0"/>
        <w:ind w:firstLineChars="200"/>
        <w:jc w:val="left"/>
        <w:rPr>
          <w:rFonts w:hint="eastAsia" w:ascii="宋体" w:hAnsi="Times New Roman" w:eastAsia="宋体" w:cs="Times New Roman"/>
          <w:color w:val="000000"/>
          <w:kern w:val="0"/>
          <w:sz w:val="18"/>
          <w:szCs w:val="16"/>
          <w:highlight w:val="none"/>
          <w:lang w:val="en-US" w:eastAsia="zh-CN" w:bidi="ar-SA"/>
        </w:rPr>
      </w:pPr>
      <w:r>
        <w:rPr>
          <w:rFonts w:hint="eastAsia" w:ascii="宋体" w:cs="Times New Roman"/>
          <w:color w:val="000000"/>
          <w:kern w:val="0"/>
          <w:sz w:val="18"/>
          <w:szCs w:val="16"/>
          <w:highlight w:val="none"/>
          <w:lang w:val="en-US" w:eastAsia="zh-CN" w:bidi="ar-SA"/>
        </w:rPr>
        <w:t>注：包括</w:t>
      </w:r>
      <w:r>
        <w:rPr>
          <w:rFonts w:hint="eastAsia" w:ascii="宋体" w:hAnsi="Times New Roman" w:eastAsia="宋体" w:cs="Times New Roman"/>
          <w:color w:val="000000"/>
          <w:kern w:val="0"/>
          <w:sz w:val="18"/>
          <w:szCs w:val="16"/>
          <w:highlight w:val="none"/>
          <w:lang w:val="en-US" w:eastAsia="zh-CN" w:bidi="ar-SA"/>
        </w:rPr>
        <w:t>河湖管理范围线、水源保护区、湿地分布区、水源涵养功能区</w:t>
      </w:r>
      <w:r>
        <w:rPr>
          <w:rFonts w:hint="eastAsia" w:ascii="宋体" w:cs="Times New Roman"/>
          <w:color w:val="000000"/>
          <w:kern w:val="0"/>
          <w:sz w:val="18"/>
          <w:szCs w:val="16"/>
          <w:highlight w:val="none"/>
          <w:lang w:val="en-US" w:eastAsia="zh-CN" w:bidi="ar-SA"/>
        </w:rPr>
        <w:t>等</w:t>
      </w:r>
      <w:r>
        <w:rPr>
          <w:rFonts w:hint="eastAsia" w:cs="Times New Roman"/>
          <w:color w:val="000000"/>
          <w:kern w:val="0"/>
          <w:sz w:val="18"/>
          <w:szCs w:val="16"/>
          <w:highlight w:val="none"/>
          <w:lang w:val="en-US" w:eastAsia="zh-CN" w:bidi="ar-SA"/>
        </w:rPr>
        <w:t>。</w:t>
      </w:r>
    </w:p>
    <w:p w14:paraId="03A5A061">
      <w:pPr>
        <w:pStyle w:val="62"/>
        <w:rPr>
          <w:rFonts w:hint="default" w:hAnsi="Times New Roman" w:cs="Times New Roman"/>
          <w:color w:val="000000"/>
          <w:highlight w:val="none"/>
          <w:lang w:val="en-US" w:eastAsia="zh-CN"/>
        </w:rPr>
      </w:pPr>
      <w:bookmarkStart w:id="129" w:name="_Toc21594"/>
      <w:bookmarkEnd w:id="129"/>
      <w:bookmarkStart w:id="130" w:name="_Toc28047"/>
      <w:bookmarkStart w:id="131" w:name="_Toc19032"/>
      <w:bookmarkStart w:id="132" w:name="_Toc24541"/>
      <w:bookmarkStart w:id="133" w:name="_Toc10178"/>
      <w:bookmarkStart w:id="134" w:name="_Toc24944"/>
      <w:bookmarkStart w:id="135" w:name="_Toc16537"/>
      <w:bookmarkStart w:id="136" w:name="_Toc2915"/>
      <w:bookmarkStart w:id="137" w:name="_Toc22170"/>
      <w:bookmarkStart w:id="138" w:name="_Toc31799"/>
      <w:bookmarkStart w:id="139" w:name="_Toc594"/>
    </w:p>
    <w:p w14:paraId="29C93BC9">
      <w:pPr>
        <w:pStyle w:val="62"/>
        <w:numPr>
          <w:ilvl w:val="-1"/>
          <w:numId w:val="0"/>
        </w:numPr>
        <w:ind w:firstLine="420" w:firstLineChars="200"/>
        <w:rPr>
          <w:rFonts w:hint="default" w:hAnsi="Times New Roman" w:cs="Times New Roman"/>
          <w:color w:val="000000"/>
          <w:highlight w:val="none"/>
          <w:lang w:val="en-US" w:eastAsia="zh-CN"/>
        </w:rPr>
      </w:pPr>
      <w:bookmarkStart w:id="140" w:name="_Toc22565"/>
      <w:r>
        <w:rPr>
          <w:rFonts w:hint="default" w:hAnsi="Times New Roman" w:cs="Times New Roman"/>
          <w:color w:val="000000"/>
          <w:highlight w:val="none"/>
          <w:lang w:val="en-US" w:eastAsia="zh-CN"/>
        </w:rPr>
        <w:t>重要生态廊道单元</w:t>
      </w:r>
      <w:r>
        <w:rPr>
          <w:rFonts w:hint="eastAsia" w:hAnsi="Times New Roman" w:cs="Times New Roman"/>
          <w:color w:val="000000"/>
          <w:highlight w:val="none"/>
          <w:lang w:val="en-US" w:eastAsia="zh-CN"/>
        </w:rPr>
        <w:t xml:space="preserve"> </w:t>
      </w:r>
      <w:r>
        <w:rPr>
          <w:rFonts w:hint="eastAsia" w:cs="Times New Roman"/>
          <w:color w:val="000000"/>
          <w:highlight w:val="none"/>
          <w:lang w:val="en-US" w:eastAsia="zh-CN"/>
        </w:rPr>
        <w:t>i</w:t>
      </w:r>
      <w:r>
        <w:rPr>
          <w:rFonts w:hint="eastAsia" w:hAnsi="Times New Roman" w:cs="Times New Roman"/>
          <w:color w:val="000000"/>
          <w:highlight w:val="none"/>
          <w:lang w:val="en-US" w:eastAsia="zh-CN"/>
        </w:rPr>
        <w:t xml:space="preserve">mportant </w:t>
      </w:r>
      <w:r>
        <w:rPr>
          <w:rFonts w:hint="eastAsia" w:cs="Times New Roman"/>
          <w:color w:val="000000"/>
          <w:highlight w:val="none"/>
          <w:lang w:val="en-US" w:eastAsia="zh-CN"/>
        </w:rPr>
        <w:t>e</w:t>
      </w:r>
      <w:r>
        <w:rPr>
          <w:rFonts w:hint="eastAsia" w:hAnsi="Times New Roman" w:cs="Times New Roman"/>
          <w:color w:val="000000"/>
          <w:highlight w:val="none"/>
          <w:lang w:val="en-US" w:eastAsia="zh-CN"/>
        </w:rPr>
        <w:t xml:space="preserve">cological </w:t>
      </w:r>
      <w:r>
        <w:rPr>
          <w:rFonts w:hint="eastAsia" w:cs="Times New Roman"/>
          <w:color w:val="000000"/>
          <w:highlight w:val="none"/>
          <w:lang w:val="en-US" w:eastAsia="zh-CN"/>
        </w:rPr>
        <w:t>c</w:t>
      </w:r>
      <w:r>
        <w:rPr>
          <w:rFonts w:hint="eastAsia" w:hAnsi="Times New Roman" w:cs="Times New Roman"/>
          <w:color w:val="000000"/>
          <w:highlight w:val="none"/>
          <w:lang w:val="en-US" w:eastAsia="zh-CN"/>
        </w:rPr>
        <w:t xml:space="preserve">orridor </w:t>
      </w:r>
      <w:r>
        <w:rPr>
          <w:rFonts w:hint="eastAsia" w:cs="Times New Roman"/>
          <w:color w:val="000000"/>
          <w:highlight w:val="none"/>
          <w:lang w:val="en-US" w:eastAsia="zh-CN"/>
        </w:rPr>
        <w:t>u</w:t>
      </w:r>
      <w:r>
        <w:rPr>
          <w:rFonts w:hint="eastAsia" w:hAnsi="Times New Roman" w:cs="Times New Roman"/>
          <w:color w:val="000000"/>
          <w:highlight w:val="none"/>
          <w:lang w:val="en-US" w:eastAsia="zh-CN"/>
        </w:rPr>
        <w:t>nits</w:t>
      </w:r>
      <w:bookmarkEnd w:id="130"/>
      <w:bookmarkEnd w:id="131"/>
      <w:bookmarkEnd w:id="132"/>
      <w:bookmarkEnd w:id="133"/>
      <w:bookmarkEnd w:id="134"/>
      <w:bookmarkEnd w:id="135"/>
      <w:bookmarkEnd w:id="136"/>
      <w:bookmarkEnd w:id="137"/>
      <w:bookmarkEnd w:id="138"/>
      <w:bookmarkEnd w:id="139"/>
      <w:bookmarkEnd w:id="140"/>
    </w:p>
    <w:p w14:paraId="325AC5A9">
      <w:pPr>
        <w:keepNext w:val="0"/>
        <w:keepLines w:val="0"/>
        <w:widowControl/>
        <w:suppressLineNumbers w:val="0"/>
        <w:ind w:firstLine="420" w:firstLineChars="200"/>
        <w:jc w:val="left"/>
        <w:rPr>
          <w:rFonts w:hint="eastAsia" w:ascii="宋体" w:hAnsi="Times New Roman" w:eastAsia="宋体" w:cs="Times New Roman"/>
          <w:color w:val="000000"/>
          <w:kern w:val="0"/>
          <w:sz w:val="21"/>
          <w:szCs w:val="20"/>
          <w:highlight w:val="none"/>
          <w:lang w:val="en-US" w:eastAsia="zh-CN" w:bidi="ar-SA"/>
        </w:rPr>
      </w:pPr>
      <w:r>
        <w:rPr>
          <w:rFonts w:hint="eastAsia" w:ascii="宋体" w:hAnsi="Times New Roman" w:eastAsia="宋体" w:cs="Times New Roman"/>
          <w:color w:val="000000"/>
          <w:kern w:val="0"/>
          <w:sz w:val="21"/>
          <w:szCs w:val="20"/>
          <w:highlight w:val="none"/>
          <w:lang w:val="en-US" w:eastAsia="zh-CN" w:bidi="ar-SA"/>
        </w:rPr>
        <w:t>以森林、草原、河湖湿地等生态系统组成的线性或带状</w:t>
      </w:r>
      <w:r>
        <w:rPr>
          <w:rFonts w:hint="eastAsia" w:ascii="宋体" w:cs="Times New Roman"/>
          <w:color w:val="000000"/>
          <w:kern w:val="0"/>
          <w:sz w:val="21"/>
          <w:szCs w:val="20"/>
          <w:highlight w:val="none"/>
          <w:lang w:val="en-US" w:eastAsia="zh-CN" w:bidi="ar-SA"/>
        </w:rPr>
        <w:t>生态空间</w:t>
      </w:r>
      <w:r>
        <w:rPr>
          <w:rFonts w:hint="eastAsia" w:ascii="宋体" w:hAnsi="Times New Roman" w:eastAsia="宋体" w:cs="Times New Roman"/>
          <w:color w:val="000000"/>
          <w:kern w:val="0"/>
          <w:sz w:val="21"/>
          <w:szCs w:val="20"/>
          <w:highlight w:val="none"/>
          <w:lang w:val="en-US" w:eastAsia="zh-CN" w:bidi="ar-SA"/>
        </w:rPr>
        <w:t>。</w:t>
      </w:r>
    </w:p>
    <w:p w14:paraId="0D46EA90">
      <w:pPr>
        <w:pStyle w:val="62"/>
        <w:rPr>
          <w:rFonts w:hint="default" w:hAnsi="Times New Roman" w:cs="Times New Roman"/>
          <w:color w:val="000000"/>
          <w:highlight w:val="none"/>
          <w:lang w:val="en-US" w:eastAsia="zh-CN"/>
        </w:rPr>
      </w:pPr>
      <w:bookmarkStart w:id="141" w:name="_Toc24253"/>
      <w:bookmarkEnd w:id="141"/>
      <w:bookmarkStart w:id="142" w:name="_Toc27034"/>
      <w:bookmarkStart w:id="143" w:name="_Toc10075"/>
      <w:bookmarkStart w:id="144" w:name="_Toc10481"/>
      <w:bookmarkStart w:id="145" w:name="_Toc8312"/>
      <w:bookmarkStart w:id="146" w:name="_Toc20697"/>
      <w:bookmarkStart w:id="147" w:name="_Toc30876"/>
      <w:bookmarkStart w:id="148" w:name="_Toc7524"/>
      <w:bookmarkStart w:id="149" w:name="_Toc3975"/>
      <w:bookmarkStart w:id="150" w:name="_Toc22860"/>
      <w:bookmarkStart w:id="151" w:name="_Toc9169"/>
    </w:p>
    <w:p w14:paraId="6018C7FA">
      <w:pPr>
        <w:pStyle w:val="62"/>
        <w:numPr>
          <w:ilvl w:val="-1"/>
          <w:numId w:val="0"/>
        </w:numPr>
        <w:ind w:firstLine="420" w:firstLineChars="200"/>
        <w:rPr>
          <w:rFonts w:hint="default" w:hAnsi="Times New Roman" w:cs="Times New Roman"/>
          <w:color w:val="000000"/>
          <w:highlight w:val="none"/>
          <w:lang w:val="en-US" w:eastAsia="zh-CN"/>
        </w:rPr>
      </w:pPr>
      <w:bookmarkStart w:id="152" w:name="_Toc24635"/>
      <w:r>
        <w:rPr>
          <w:rFonts w:hint="default" w:hAnsi="Times New Roman" w:cs="Times New Roman"/>
          <w:color w:val="000000"/>
          <w:highlight w:val="none"/>
          <w:lang w:val="en-US" w:eastAsia="zh-CN"/>
        </w:rPr>
        <w:t>生态游憩单元</w:t>
      </w:r>
      <w:r>
        <w:rPr>
          <w:rFonts w:hint="eastAsia" w:hAnsi="Times New Roman" w:cs="Times New Roman"/>
          <w:color w:val="000000"/>
          <w:highlight w:val="none"/>
          <w:lang w:val="en-US" w:eastAsia="zh-CN"/>
        </w:rPr>
        <w:t xml:space="preserve"> </w:t>
      </w:r>
      <w:r>
        <w:rPr>
          <w:rFonts w:hint="eastAsia" w:cs="Times New Roman"/>
          <w:color w:val="000000"/>
          <w:highlight w:val="none"/>
          <w:lang w:val="en-US" w:eastAsia="zh-CN"/>
        </w:rPr>
        <w:t>e</w:t>
      </w:r>
      <w:r>
        <w:rPr>
          <w:rFonts w:hint="eastAsia" w:hAnsi="Times New Roman" w:cs="Times New Roman"/>
          <w:color w:val="000000"/>
          <w:highlight w:val="none"/>
          <w:lang w:val="en-US" w:eastAsia="zh-CN"/>
        </w:rPr>
        <w:t xml:space="preserve">cological </w:t>
      </w:r>
      <w:r>
        <w:rPr>
          <w:rFonts w:hint="eastAsia" w:cs="Times New Roman"/>
          <w:color w:val="000000"/>
          <w:highlight w:val="none"/>
          <w:lang w:val="en-US" w:eastAsia="zh-CN"/>
        </w:rPr>
        <w:t>r</w:t>
      </w:r>
      <w:r>
        <w:rPr>
          <w:rFonts w:hint="eastAsia" w:hAnsi="Times New Roman" w:cs="Times New Roman"/>
          <w:color w:val="000000"/>
          <w:highlight w:val="none"/>
          <w:lang w:val="en-US" w:eastAsia="zh-CN"/>
        </w:rPr>
        <w:t xml:space="preserve">ecreation </w:t>
      </w:r>
      <w:r>
        <w:rPr>
          <w:rFonts w:hint="eastAsia" w:cs="Times New Roman"/>
          <w:color w:val="000000"/>
          <w:highlight w:val="none"/>
          <w:lang w:val="en-US" w:eastAsia="zh-CN"/>
        </w:rPr>
        <w:t>u</w:t>
      </w:r>
      <w:r>
        <w:rPr>
          <w:rFonts w:hint="eastAsia" w:hAnsi="Times New Roman" w:cs="Times New Roman"/>
          <w:color w:val="000000"/>
          <w:highlight w:val="none"/>
          <w:lang w:val="en-US" w:eastAsia="zh-CN"/>
        </w:rPr>
        <w:t>nit</w:t>
      </w:r>
      <w:bookmarkEnd w:id="142"/>
      <w:bookmarkEnd w:id="143"/>
      <w:bookmarkEnd w:id="144"/>
      <w:bookmarkEnd w:id="145"/>
      <w:bookmarkEnd w:id="146"/>
      <w:bookmarkEnd w:id="147"/>
      <w:bookmarkEnd w:id="148"/>
      <w:bookmarkEnd w:id="149"/>
      <w:bookmarkEnd w:id="150"/>
      <w:bookmarkEnd w:id="151"/>
      <w:bookmarkEnd w:id="152"/>
    </w:p>
    <w:p w14:paraId="07383EF5">
      <w:pPr>
        <w:keepNext w:val="0"/>
        <w:keepLines w:val="0"/>
        <w:widowControl/>
        <w:suppressLineNumbers w:val="0"/>
        <w:ind w:firstLine="420" w:firstLineChars="200"/>
        <w:jc w:val="left"/>
        <w:rPr>
          <w:rFonts w:hint="eastAsia" w:ascii="宋体" w:hAnsi="Times New Roman" w:eastAsia="宋体" w:cs="Times New Roman"/>
          <w:color w:val="000000"/>
          <w:kern w:val="0"/>
          <w:sz w:val="21"/>
          <w:szCs w:val="20"/>
          <w:highlight w:val="none"/>
          <w:lang w:val="en-US" w:eastAsia="zh-CN" w:bidi="ar-SA"/>
        </w:rPr>
      </w:pPr>
      <w:r>
        <w:rPr>
          <w:rFonts w:hint="eastAsia" w:ascii="宋体" w:cs="Times New Roman"/>
          <w:color w:val="000000"/>
          <w:kern w:val="0"/>
          <w:sz w:val="21"/>
          <w:szCs w:val="20"/>
          <w:highlight w:val="none"/>
          <w:lang w:val="en-US" w:eastAsia="zh-CN" w:bidi="ar-SA"/>
        </w:rPr>
        <w:t>适宜生态休闲旅游的</w:t>
      </w:r>
      <w:r>
        <w:rPr>
          <w:rFonts w:hint="eastAsia" w:ascii="宋体" w:hAnsi="Times New Roman" w:eastAsia="宋体" w:cs="Times New Roman"/>
          <w:color w:val="000000"/>
          <w:kern w:val="0"/>
          <w:sz w:val="21"/>
          <w:szCs w:val="20"/>
          <w:highlight w:val="none"/>
          <w:lang w:val="en-US" w:eastAsia="zh-CN" w:bidi="ar-SA"/>
        </w:rPr>
        <w:t>特色优质自然景观资源集中分布区。</w:t>
      </w:r>
    </w:p>
    <w:p w14:paraId="48BEC0EC">
      <w:pPr>
        <w:pStyle w:val="62"/>
        <w:rPr>
          <w:rFonts w:hint="default" w:hAnsi="Times New Roman" w:cs="Times New Roman"/>
          <w:color w:val="000000"/>
          <w:highlight w:val="none"/>
          <w:lang w:val="en-US" w:eastAsia="zh-CN"/>
        </w:rPr>
      </w:pPr>
      <w:bookmarkStart w:id="153" w:name="_Toc31329"/>
      <w:bookmarkEnd w:id="153"/>
      <w:bookmarkStart w:id="154" w:name="_Toc1205"/>
      <w:bookmarkStart w:id="155" w:name="_Toc23675"/>
      <w:bookmarkStart w:id="156" w:name="_Toc12129"/>
      <w:bookmarkStart w:id="157" w:name="_Toc17024"/>
      <w:bookmarkStart w:id="158" w:name="_Toc25564"/>
      <w:bookmarkStart w:id="159" w:name="_Toc28780"/>
      <w:bookmarkStart w:id="160" w:name="_Toc6828"/>
    </w:p>
    <w:p w14:paraId="754D5833">
      <w:pPr>
        <w:pStyle w:val="62"/>
        <w:numPr>
          <w:ilvl w:val="-1"/>
          <w:numId w:val="0"/>
        </w:numPr>
        <w:ind w:firstLine="420" w:firstLineChars="200"/>
        <w:rPr>
          <w:rFonts w:hint="default" w:hAnsi="Times New Roman" w:cs="Times New Roman"/>
          <w:color w:val="000000"/>
          <w:highlight w:val="none"/>
          <w:lang w:val="en-US" w:eastAsia="zh-CN"/>
        </w:rPr>
      </w:pPr>
      <w:bookmarkStart w:id="161" w:name="_Toc29883"/>
      <w:r>
        <w:rPr>
          <w:rFonts w:hint="default" w:hAnsi="Times New Roman" w:cs="Times New Roman"/>
          <w:color w:val="000000"/>
          <w:highlight w:val="none"/>
          <w:lang w:val="en-US" w:eastAsia="zh-CN"/>
        </w:rPr>
        <w:t>生产生活单元</w:t>
      </w:r>
      <w:r>
        <w:rPr>
          <w:rFonts w:hint="eastAsia" w:hAnsi="Times New Roman" w:cs="Times New Roman"/>
          <w:color w:val="000000"/>
          <w:highlight w:val="none"/>
          <w:lang w:val="en-US" w:eastAsia="zh-CN"/>
        </w:rPr>
        <w:t xml:space="preserve"> </w:t>
      </w:r>
      <w:r>
        <w:rPr>
          <w:rFonts w:hint="eastAsia" w:cs="Times New Roman"/>
          <w:color w:val="000000"/>
          <w:highlight w:val="none"/>
          <w:lang w:val="en-US" w:eastAsia="zh-CN"/>
        </w:rPr>
        <w:t>p</w:t>
      </w:r>
      <w:r>
        <w:rPr>
          <w:rFonts w:hint="eastAsia" w:hAnsi="Times New Roman" w:cs="Times New Roman"/>
          <w:color w:val="000000"/>
          <w:highlight w:val="none"/>
          <w:lang w:val="en-US" w:eastAsia="zh-CN"/>
        </w:rPr>
        <w:t xml:space="preserve">roduction and </w:t>
      </w:r>
      <w:r>
        <w:rPr>
          <w:rFonts w:hint="eastAsia" w:cs="Times New Roman"/>
          <w:color w:val="000000"/>
          <w:highlight w:val="none"/>
          <w:lang w:val="en-US" w:eastAsia="zh-CN"/>
        </w:rPr>
        <w:t>l</w:t>
      </w:r>
      <w:r>
        <w:rPr>
          <w:rFonts w:hint="eastAsia" w:hAnsi="Times New Roman" w:cs="Times New Roman"/>
          <w:color w:val="000000"/>
          <w:highlight w:val="none"/>
          <w:lang w:val="en-US" w:eastAsia="zh-CN"/>
        </w:rPr>
        <w:t>iving units</w:t>
      </w:r>
      <w:bookmarkEnd w:id="154"/>
      <w:bookmarkEnd w:id="155"/>
      <w:bookmarkEnd w:id="156"/>
      <w:bookmarkEnd w:id="157"/>
      <w:bookmarkEnd w:id="158"/>
      <w:bookmarkEnd w:id="159"/>
      <w:bookmarkEnd w:id="160"/>
      <w:bookmarkEnd w:id="161"/>
    </w:p>
    <w:p w14:paraId="39928DDC">
      <w:pPr>
        <w:keepNext w:val="0"/>
        <w:keepLines w:val="0"/>
        <w:widowControl/>
        <w:suppressLineNumbers w:val="0"/>
        <w:ind w:firstLine="420" w:firstLineChars="200"/>
        <w:jc w:val="left"/>
        <w:rPr>
          <w:rFonts w:hint="eastAsia" w:ascii="宋体" w:hAnsi="Times New Roman" w:cs="Times New Roman"/>
          <w:color w:val="000000"/>
          <w:kern w:val="0"/>
          <w:sz w:val="21"/>
          <w:szCs w:val="20"/>
          <w:highlight w:val="none"/>
          <w:lang w:val="en-US" w:eastAsia="zh-CN" w:bidi="ar-SA"/>
        </w:rPr>
      </w:pPr>
      <w:r>
        <w:rPr>
          <w:rFonts w:hint="eastAsia" w:ascii="宋体" w:hAnsi="Times New Roman" w:eastAsia="宋体" w:cs="Times New Roman"/>
          <w:color w:val="000000"/>
          <w:kern w:val="0"/>
          <w:sz w:val="21"/>
          <w:szCs w:val="20"/>
          <w:highlight w:val="none"/>
          <w:lang w:val="en-US" w:eastAsia="zh-CN" w:bidi="ar-SA"/>
        </w:rPr>
        <w:t>原住民集中居住</w:t>
      </w:r>
      <w:r>
        <w:rPr>
          <w:rFonts w:hint="eastAsia" w:ascii="宋体" w:hAnsi="Times New Roman" w:cs="Times New Roman"/>
          <w:color w:val="000000"/>
          <w:kern w:val="0"/>
          <w:sz w:val="21"/>
          <w:szCs w:val="20"/>
          <w:highlight w:val="none"/>
          <w:lang w:val="en-US" w:eastAsia="zh-CN" w:bidi="ar-SA"/>
        </w:rPr>
        <w:t>和</w:t>
      </w:r>
      <w:r>
        <w:rPr>
          <w:rFonts w:hint="eastAsia" w:ascii="宋体" w:hAnsi="Times New Roman" w:eastAsia="宋体" w:cs="Times New Roman"/>
          <w:color w:val="000000"/>
          <w:kern w:val="0"/>
          <w:sz w:val="21"/>
          <w:szCs w:val="20"/>
          <w:highlight w:val="none"/>
          <w:lang w:val="en-US" w:eastAsia="zh-CN" w:bidi="ar-SA"/>
        </w:rPr>
        <w:t>从事农、林、牧、渔业等生产活动的</w:t>
      </w:r>
      <w:r>
        <w:rPr>
          <w:rFonts w:hint="eastAsia" w:ascii="宋体" w:hAnsi="Times New Roman" w:cs="Times New Roman"/>
          <w:color w:val="000000"/>
          <w:kern w:val="0"/>
          <w:sz w:val="21"/>
          <w:szCs w:val="20"/>
          <w:highlight w:val="none"/>
          <w:lang w:val="en-US" w:eastAsia="zh-CN" w:bidi="ar-SA"/>
        </w:rPr>
        <w:t>生态空间</w:t>
      </w:r>
      <w:r>
        <w:rPr>
          <w:rFonts w:hint="eastAsia" w:ascii="宋体" w:cs="Times New Roman"/>
          <w:color w:val="000000"/>
          <w:kern w:val="0"/>
          <w:sz w:val="21"/>
          <w:szCs w:val="20"/>
          <w:highlight w:val="none"/>
          <w:lang w:val="en-US" w:eastAsia="zh-CN" w:bidi="ar-SA"/>
        </w:rPr>
        <w:t>。</w:t>
      </w:r>
    </w:p>
    <w:p w14:paraId="78539C4B">
      <w:pPr>
        <w:pStyle w:val="62"/>
        <w:keepNext w:val="0"/>
        <w:keepLines w:val="0"/>
        <w:widowControl/>
        <w:suppressLineNumbers w:val="0"/>
        <w:ind w:firstLineChars="0"/>
        <w:jc w:val="left"/>
        <w:rPr>
          <w:rFonts w:hint="default" w:ascii="黑体" w:cs="Times New Roman"/>
          <w:color w:val="000000"/>
          <w:kern w:val="0"/>
          <w:sz w:val="21"/>
          <w:szCs w:val="21"/>
          <w:highlight w:val="none"/>
          <w:lang w:val="en-US" w:eastAsia="zh-CN" w:bidi="ar-SA"/>
        </w:rPr>
      </w:pPr>
      <w:bookmarkStart w:id="162" w:name="_Toc32058"/>
      <w:bookmarkEnd w:id="162"/>
      <w:bookmarkStart w:id="163" w:name="_Toc4322"/>
      <w:bookmarkStart w:id="164" w:name="_Toc26343"/>
      <w:bookmarkStart w:id="165" w:name="_Toc21489"/>
      <w:bookmarkStart w:id="166" w:name="_Toc7856"/>
      <w:bookmarkStart w:id="167" w:name="_Toc7226"/>
      <w:bookmarkStart w:id="168" w:name="_Toc9854"/>
    </w:p>
    <w:p w14:paraId="367FFB43">
      <w:pPr>
        <w:pStyle w:val="62"/>
        <w:keepNext w:val="0"/>
        <w:keepLines w:val="0"/>
        <w:widowControl/>
        <w:numPr>
          <w:ilvl w:val="-1"/>
          <w:numId w:val="0"/>
        </w:numPr>
        <w:suppressLineNumbers w:val="0"/>
        <w:ind w:firstLine="420" w:firstLineChars="200"/>
        <w:jc w:val="left"/>
        <w:rPr>
          <w:rFonts w:hint="default" w:ascii="黑体" w:cs="Times New Roman"/>
          <w:color w:val="000000"/>
          <w:kern w:val="0"/>
          <w:sz w:val="21"/>
          <w:szCs w:val="21"/>
          <w:highlight w:val="none"/>
          <w:lang w:val="en-US" w:eastAsia="zh-CN" w:bidi="ar-SA"/>
        </w:rPr>
      </w:pPr>
      <w:bookmarkStart w:id="169" w:name="_Toc18247"/>
      <w:r>
        <w:rPr>
          <w:rFonts w:hint="eastAsia" w:cs="Times New Roman"/>
          <w:b w:val="0"/>
          <w:bCs w:val="0"/>
          <w:color w:val="000000"/>
          <w:kern w:val="0"/>
          <w:sz w:val="21"/>
          <w:szCs w:val="21"/>
          <w:highlight w:val="none"/>
          <w:lang w:val="en-US" w:eastAsia="zh-CN" w:bidi="ar-SA"/>
        </w:rPr>
        <w:t>生态现状 ecological status</w:t>
      </w:r>
      <w:bookmarkEnd w:id="163"/>
      <w:bookmarkEnd w:id="164"/>
      <w:bookmarkEnd w:id="165"/>
      <w:bookmarkEnd w:id="166"/>
      <w:bookmarkEnd w:id="167"/>
      <w:bookmarkEnd w:id="168"/>
      <w:bookmarkEnd w:id="169"/>
    </w:p>
    <w:p w14:paraId="23D12BBF">
      <w:pPr>
        <w:pStyle w:val="25"/>
        <w:keepNext w:val="0"/>
        <w:keepLines w:val="0"/>
        <w:widowControl/>
        <w:suppressLineNumbers w:val="0"/>
        <w:ind w:firstLineChars="200"/>
        <w:jc w:val="left"/>
        <w:rPr>
          <w:rFonts w:hint="eastAsia" w:cs="Times New Roman"/>
          <w:color w:val="000000"/>
          <w:kern w:val="0"/>
          <w:sz w:val="21"/>
          <w:szCs w:val="21"/>
          <w:highlight w:val="none"/>
          <w:lang w:val="en-US" w:eastAsia="zh-CN" w:bidi="ar-SA"/>
        </w:rPr>
      </w:pPr>
      <w:r>
        <w:rPr>
          <w:rFonts w:hint="eastAsia" w:cs="Times New Roman"/>
          <w:color w:val="000000"/>
          <w:kern w:val="0"/>
          <w:sz w:val="21"/>
          <w:szCs w:val="21"/>
          <w:highlight w:val="none"/>
          <w:lang w:val="en-US" w:eastAsia="zh-CN" w:bidi="ar-SA"/>
        </w:rPr>
        <w:t>在自然和人为因素作用下，生态单元内生态系统（包括生物因子和非生物因子）所呈现健康与否的状态。</w:t>
      </w:r>
    </w:p>
    <w:p w14:paraId="1B14C9DC">
      <w:pPr>
        <w:pStyle w:val="25"/>
        <w:keepNext w:val="0"/>
        <w:keepLines w:val="0"/>
        <w:widowControl/>
        <w:suppressLineNumbers w:val="0"/>
        <w:ind w:firstLineChars="200"/>
        <w:jc w:val="left"/>
        <w:rPr>
          <w:rFonts w:hint="eastAsia" w:ascii="宋体" w:hAnsi="Times New Roman" w:cs="Times New Roman"/>
          <w:color w:val="000000"/>
          <w:kern w:val="0"/>
          <w:sz w:val="21"/>
          <w:szCs w:val="21"/>
          <w:highlight w:val="none"/>
          <w:lang w:val="en-US" w:eastAsia="zh-CN" w:bidi="ar-SA"/>
        </w:rPr>
      </w:pPr>
      <w:r>
        <w:rPr>
          <w:rFonts w:hint="eastAsia" w:ascii="宋体" w:hAnsi="Times New Roman" w:eastAsia="宋体" w:cs="Times New Roman"/>
          <w:color w:val="000000"/>
          <w:sz w:val="21"/>
          <w:szCs w:val="21"/>
          <w:highlight w:val="none"/>
          <w:lang w:val="en-US" w:eastAsia="zh-CN"/>
        </w:rPr>
        <w:t>[</w:t>
      </w:r>
      <w:r>
        <w:rPr>
          <w:rFonts w:hint="eastAsia" w:cs="Times New Roman"/>
          <w:color w:val="000000"/>
          <w:sz w:val="21"/>
          <w:szCs w:val="21"/>
          <w:highlight w:val="none"/>
          <w:lang w:val="en-US" w:eastAsia="zh-CN"/>
        </w:rPr>
        <w:t>来源</w:t>
      </w:r>
      <w:r>
        <w:rPr>
          <w:rFonts w:hint="eastAsia" w:ascii="宋体" w:hAnsi="Times New Roman" w:eastAsia="宋体" w:cs="Times New Roman"/>
          <w:color w:val="000000"/>
          <w:sz w:val="21"/>
          <w:szCs w:val="21"/>
          <w:highlight w:val="none"/>
          <w:lang w:val="en-US" w:eastAsia="zh-CN"/>
        </w:rPr>
        <w:t>：</w:t>
      </w:r>
      <w:r>
        <w:rPr>
          <w:rFonts w:hint="eastAsia" w:ascii="Times New Roman" w:cs="Times New Roman"/>
          <w:color w:val="000000"/>
          <w:sz w:val="21"/>
          <w:szCs w:val="24"/>
          <w:highlight w:val="none"/>
          <w:shd w:val="clear" w:color="auto" w:fill="auto"/>
          <w:lang w:val="en-US" w:eastAsia="zh-CN" w:bidi="ar"/>
        </w:rPr>
        <w:t>LY/T3371，</w:t>
      </w:r>
      <w:r>
        <w:rPr>
          <w:rFonts w:hint="eastAsia" w:cs="Times New Roman"/>
          <w:color w:val="000000"/>
          <w:sz w:val="21"/>
          <w:szCs w:val="21"/>
          <w:highlight w:val="none"/>
          <w:lang w:val="en-US" w:eastAsia="zh-CN"/>
        </w:rPr>
        <w:t>有修改</w:t>
      </w:r>
      <w:r>
        <w:rPr>
          <w:rFonts w:hint="eastAsia" w:ascii="宋体" w:hAnsi="Times New Roman" w:eastAsia="宋体" w:cs="Times New Roman"/>
          <w:color w:val="000000"/>
          <w:sz w:val="21"/>
          <w:szCs w:val="21"/>
          <w:highlight w:val="none"/>
          <w:lang w:val="en-US" w:eastAsia="zh-CN"/>
        </w:rPr>
        <w:t>]</w:t>
      </w:r>
    </w:p>
    <w:bookmarkEnd w:id="115"/>
    <w:p w14:paraId="7F69CBFB">
      <w:pPr>
        <w:pStyle w:val="80"/>
        <w:rPr>
          <w:rFonts w:hint="eastAsia" w:hAnsi="Times New Roman" w:cs="Times New Roman"/>
          <w:highlight w:val="none"/>
          <w:lang w:val="en-US" w:eastAsia="zh-CN"/>
        </w:rPr>
      </w:pPr>
      <w:bookmarkStart w:id="170" w:name="_Toc26042"/>
      <w:bookmarkStart w:id="171" w:name="_Toc24284"/>
      <w:bookmarkStart w:id="172" w:name="_Toc7604"/>
      <w:bookmarkStart w:id="173" w:name="_Toc10029"/>
      <w:bookmarkStart w:id="174" w:name="_Toc10156"/>
      <w:bookmarkStart w:id="175" w:name="_Toc8178"/>
      <w:bookmarkStart w:id="176" w:name="_Toc8575"/>
      <w:bookmarkStart w:id="177" w:name="_Toc5570"/>
      <w:bookmarkStart w:id="178" w:name="_Toc12671"/>
      <w:r>
        <w:rPr>
          <w:rFonts w:hint="eastAsia" w:hAnsi="Times New Roman" w:cs="Times New Roman"/>
          <w:highlight w:val="none"/>
          <w:lang w:val="en-US" w:eastAsia="zh-CN"/>
        </w:rPr>
        <w:t>基本原则</w:t>
      </w:r>
      <w:bookmarkEnd w:id="170"/>
      <w:bookmarkEnd w:id="171"/>
      <w:bookmarkEnd w:id="172"/>
      <w:bookmarkEnd w:id="173"/>
      <w:bookmarkEnd w:id="174"/>
      <w:bookmarkEnd w:id="175"/>
      <w:bookmarkEnd w:id="176"/>
      <w:bookmarkEnd w:id="177"/>
      <w:bookmarkEnd w:id="178"/>
    </w:p>
    <w:p w14:paraId="7D38E68A">
      <w:pPr>
        <w:pStyle w:val="62"/>
        <w:rPr>
          <w:rFonts w:hint="default" w:hAnsi="Times New Roman" w:cs="Times New Roman"/>
          <w:highlight w:val="none"/>
          <w:lang w:val="en-US" w:eastAsia="zh-CN"/>
        </w:rPr>
      </w:pPr>
      <w:bookmarkStart w:id="179" w:name="_Toc12039"/>
      <w:bookmarkStart w:id="180" w:name="_Toc21916"/>
      <w:bookmarkStart w:id="181" w:name="_Toc17549"/>
      <w:bookmarkStart w:id="182" w:name="_Toc3022"/>
      <w:bookmarkStart w:id="183" w:name="_Toc28907"/>
      <w:bookmarkStart w:id="184" w:name="_Toc31006"/>
      <w:bookmarkStart w:id="185" w:name="_Toc24211"/>
      <w:bookmarkStart w:id="186" w:name="_Toc3368"/>
      <w:bookmarkStart w:id="187" w:name="_Toc23900"/>
      <w:r>
        <w:rPr>
          <w:rFonts w:hint="eastAsia" w:hAnsi="Times New Roman" w:cs="Times New Roman"/>
          <w:highlight w:val="none"/>
          <w:lang w:eastAsia="zh-CN"/>
        </w:rPr>
        <w:t>科学性</w:t>
      </w:r>
      <w:bookmarkEnd w:id="179"/>
      <w:bookmarkEnd w:id="180"/>
      <w:bookmarkEnd w:id="181"/>
      <w:bookmarkEnd w:id="182"/>
      <w:bookmarkEnd w:id="183"/>
      <w:bookmarkEnd w:id="184"/>
      <w:bookmarkEnd w:id="185"/>
      <w:bookmarkEnd w:id="186"/>
    </w:p>
    <w:p w14:paraId="023F87C6">
      <w:pPr>
        <w:pStyle w:val="25"/>
        <w:rPr>
          <w:rFonts w:hint="eastAsia" w:ascii="宋体" w:hAnsi="Times New Roman" w:eastAsia="宋体" w:cs="Times New Roman"/>
          <w:color w:val="000000"/>
          <w:kern w:val="0"/>
          <w:sz w:val="21"/>
          <w:szCs w:val="20"/>
          <w:highlight w:val="none"/>
          <w:lang w:val="en-US" w:eastAsia="zh-CN" w:bidi="ar-SA"/>
        </w:rPr>
      </w:pPr>
      <w:r>
        <w:rPr>
          <w:rFonts w:hint="eastAsia" w:hAnsi="Times New Roman" w:cs="Times New Roman"/>
          <w:highlight w:val="none"/>
          <w:lang w:eastAsia="zh-CN"/>
        </w:rPr>
        <w:t>以全面系统把握生态单元的生态现状为目标，遵循自然规律</w:t>
      </w:r>
      <w:r>
        <w:rPr>
          <w:rFonts w:hint="eastAsia" w:cs="Times New Roman"/>
          <w:highlight w:val="none"/>
          <w:lang w:eastAsia="zh-CN"/>
        </w:rPr>
        <w:t>，</w:t>
      </w:r>
      <w:r>
        <w:rPr>
          <w:rFonts w:hint="eastAsia" w:hAnsi="Times New Roman" w:cs="Times New Roman"/>
          <w:highlight w:val="none"/>
          <w:lang w:eastAsia="zh-CN"/>
        </w:rPr>
        <w:t>科学确定调查评估方法、内容和指标，</w:t>
      </w:r>
      <w:r>
        <w:rPr>
          <w:rFonts w:hint="eastAsia" w:ascii="宋体" w:hAnsi="Times New Roman" w:eastAsia="宋体" w:cs="Times New Roman"/>
          <w:color w:val="000000"/>
          <w:kern w:val="0"/>
          <w:sz w:val="21"/>
          <w:szCs w:val="20"/>
          <w:highlight w:val="none"/>
          <w:lang w:val="en-US" w:eastAsia="zh-CN" w:bidi="ar-SA"/>
        </w:rPr>
        <w:t>指标之间相对独立，指标体系条理清晰。</w:t>
      </w:r>
    </w:p>
    <w:p w14:paraId="01FDA7A9">
      <w:pPr>
        <w:pStyle w:val="62"/>
        <w:rPr>
          <w:rFonts w:hint="default" w:hAnsi="Times New Roman" w:cs="Times New Roman"/>
          <w:highlight w:val="none"/>
          <w:lang w:val="en-US" w:eastAsia="zh-CN"/>
        </w:rPr>
      </w:pPr>
      <w:bookmarkStart w:id="188" w:name="_Toc8349"/>
      <w:bookmarkStart w:id="189" w:name="_Toc5986"/>
      <w:bookmarkStart w:id="190" w:name="_Toc5014"/>
      <w:bookmarkStart w:id="191" w:name="_Toc12165"/>
      <w:bookmarkStart w:id="192" w:name="_Toc7647"/>
      <w:bookmarkStart w:id="193" w:name="_Toc15946"/>
      <w:bookmarkStart w:id="194" w:name="_Toc20130"/>
      <w:bookmarkStart w:id="195" w:name="_Toc19668"/>
      <w:r>
        <w:rPr>
          <w:rFonts w:hint="eastAsia" w:hAnsi="Times New Roman" w:cs="Times New Roman"/>
          <w:highlight w:val="none"/>
          <w:lang w:eastAsia="zh-CN"/>
        </w:rPr>
        <w:t>可行性</w:t>
      </w:r>
      <w:bookmarkEnd w:id="188"/>
      <w:bookmarkEnd w:id="189"/>
      <w:bookmarkEnd w:id="190"/>
      <w:bookmarkEnd w:id="191"/>
      <w:bookmarkEnd w:id="192"/>
      <w:bookmarkEnd w:id="193"/>
      <w:bookmarkEnd w:id="194"/>
      <w:bookmarkEnd w:id="195"/>
    </w:p>
    <w:p w14:paraId="1C2F648D">
      <w:pPr>
        <w:keepNext w:val="0"/>
        <w:keepLines w:val="0"/>
        <w:widowControl/>
        <w:suppressLineNumbers w:val="0"/>
        <w:ind w:firstLine="420" w:firstLineChars="200"/>
        <w:jc w:val="left"/>
        <w:rPr>
          <w:rFonts w:hint="eastAsia" w:hAnsi="Times New Roman" w:cs="Times New Roman"/>
          <w:highlight w:val="none"/>
          <w:lang w:eastAsia="zh-CN"/>
        </w:rPr>
      </w:pPr>
      <w:r>
        <w:rPr>
          <w:rFonts w:hint="eastAsia" w:ascii="宋体" w:hAnsi="宋体" w:eastAsia="宋体" w:cs="宋体"/>
          <w:color w:val="000000"/>
          <w:kern w:val="0"/>
          <w:sz w:val="21"/>
          <w:szCs w:val="21"/>
          <w:highlight w:val="none"/>
          <w:lang w:val="en-US" w:eastAsia="zh-CN" w:bidi="ar"/>
        </w:rPr>
        <w:t>设计的生态现状调查评价指标和技术方法易于理解和实施，</w:t>
      </w:r>
      <w:r>
        <w:rPr>
          <w:rFonts w:hint="eastAsia" w:hAnsi="Times New Roman" w:cs="Times New Roman"/>
          <w:highlight w:val="none"/>
          <w:lang w:eastAsia="zh-CN"/>
        </w:rPr>
        <w:t>确保方法的可</w:t>
      </w:r>
      <w:r>
        <w:rPr>
          <w:rFonts w:hint="eastAsia" w:cs="Times New Roman"/>
          <w:highlight w:val="none"/>
          <w:lang w:eastAsia="zh-CN"/>
        </w:rPr>
        <w:t>操作</w:t>
      </w:r>
      <w:r>
        <w:rPr>
          <w:rFonts w:hint="eastAsia" w:hAnsi="Times New Roman" w:cs="Times New Roman"/>
          <w:highlight w:val="none"/>
          <w:lang w:eastAsia="zh-CN"/>
        </w:rPr>
        <w:t>性、数据的可取性和结果的可量化，经济可行。</w:t>
      </w:r>
    </w:p>
    <w:bookmarkEnd w:id="187"/>
    <w:p w14:paraId="3E6F6EF7">
      <w:pPr>
        <w:pStyle w:val="62"/>
        <w:rPr>
          <w:rFonts w:hint="default" w:hAnsi="Times New Roman" w:cs="Times New Roman"/>
          <w:highlight w:val="none"/>
          <w:lang w:val="en-US" w:eastAsia="zh-CN"/>
        </w:rPr>
      </w:pPr>
      <w:bookmarkStart w:id="196" w:name="_Toc8496"/>
      <w:bookmarkStart w:id="197" w:name="_Toc3444"/>
      <w:bookmarkStart w:id="198" w:name="_Toc3805"/>
      <w:bookmarkStart w:id="199" w:name="_Toc466"/>
      <w:bookmarkStart w:id="200" w:name="_Toc25250"/>
      <w:bookmarkStart w:id="201" w:name="_Toc932"/>
      <w:bookmarkStart w:id="202" w:name="_Toc28954"/>
      <w:bookmarkStart w:id="203" w:name="_Toc26152"/>
      <w:bookmarkStart w:id="204" w:name="_Toc13775"/>
      <w:r>
        <w:rPr>
          <w:rFonts w:hint="eastAsia" w:hAnsi="Times New Roman" w:cs="Times New Roman"/>
          <w:highlight w:val="none"/>
          <w:lang w:val="en-US" w:eastAsia="zh-CN"/>
        </w:rPr>
        <w:t>典型性</w:t>
      </w:r>
      <w:bookmarkEnd w:id="196"/>
      <w:bookmarkEnd w:id="197"/>
      <w:bookmarkEnd w:id="198"/>
      <w:bookmarkEnd w:id="199"/>
      <w:bookmarkEnd w:id="200"/>
      <w:bookmarkEnd w:id="201"/>
      <w:bookmarkEnd w:id="202"/>
      <w:bookmarkEnd w:id="203"/>
      <w:bookmarkEnd w:id="204"/>
    </w:p>
    <w:p w14:paraId="58233447">
      <w:pPr>
        <w:keepNext w:val="0"/>
        <w:keepLines w:val="0"/>
        <w:widowControl/>
        <w:suppressLineNumbers w:val="0"/>
        <w:ind w:firstLine="420" w:firstLineChars="200"/>
        <w:jc w:val="left"/>
        <w:rPr>
          <w:rFonts w:hint="eastAsia"/>
          <w:highlight w:val="none"/>
          <w:lang w:val="en-US" w:eastAsia="zh-CN"/>
        </w:rPr>
      </w:pPr>
      <w:r>
        <w:rPr>
          <w:rFonts w:hint="eastAsia" w:ascii="宋体" w:hAnsi="宋体" w:eastAsia="宋体" w:cs="宋体"/>
          <w:color w:val="000000"/>
          <w:kern w:val="0"/>
          <w:sz w:val="21"/>
          <w:szCs w:val="21"/>
          <w:highlight w:val="none"/>
          <w:lang w:val="en-US" w:eastAsia="zh-CN" w:bidi="ar"/>
        </w:rPr>
        <w:t>考虑到不同生态单元的</w:t>
      </w:r>
      <w:r>
        <w:rPr>
          <w:rFonts w:hint="eastAsia"/>
          <w:highlight w:val="none"/>
          <w:lang w:val="en-US" w:eastAsia="zh-CN"/>
        </w:rPr>
        <w:t>典型性</w:t>
      </w:r>
      <w:r>
        <w:rPr>
          <w:rFonts w:hint="eastAsia" w:ascii="宋体" w:hAnsi="宋体" w:eastAsia="宋体" w:cs="宋体"/>
          <w:color w:val="000000"/>
          <w:kern w:val="0"/>
          <w:sz w:val="21"/>
          <w:szCs w:val="21"/>
          <w:highlight w:val="none"/>
          <w:lang w:val="en-US" w:eastAsia="zh-CN" w:bidi="ar"/>
        </w:rPr>
        <w:t>特征，</w:t>
      </w:r>
      <w:r>
        <w:rPr>
          <w:rFonts w:hint="eastAsia"/>
          <w:highlight w:val="none"/>
          <w:lang w:val="en-US" w:eastAsia="zh-CN"/>
        </w:rPr>
        <w:t>调查评价内容</w:t>
      </w:r>
      <w:r>
        <w:rPr>
          <w:rFonts w:hint="eastAsia" w:ascii="宋体" w:hAnsi="宋体" w:eastAsia="宋体" w:cs="宋体"/>
          <w:color w:val="000000"/>
          <w:kern w:val="0"/>
          <w:sz w:val="21"/>
          <w:szCs w:val="21"/>
          <w:highlight w:val="none"/>
          <w:lang w:val="en-US" w:eastAsia="zh-CN" w:bidi="ar"/>
        </w:rPr>
        <w:t>在约束性指标的基础上，</w:t>
      </w:r>
      <w:r>
        <w:rPr>
          <w:rFonts w:hint="eastAsia"/>
          <w:highlight w:val="none"/>
          <w:lang w:val="en-US" w:eastAsia="zh-CN"/>
        </w:rPr>
        <w:t>可根据不同类型生态单元的</w:t>
      </w:r>
      <w:r>
        <w:rPr>
          <w:rFonts w:hint="eastAsia" w:ascii="宋体" w:hAnsi="宋体" w:eastAsia="宋体" w:cs="宋体"/>
          <w:color w:val="000000"/>
          <w:kern w:val="0"/>
          <w:sz w:val="21"/>
          <w:szCs w:val="21"/>
          <w:highlight w:val="none"/>
          <w:lang w:val="en-US" w:eastAsia="zh-CN" w:bidi="ar"/>
        </w:rPr>
        <w:t>实际情况对参考性指标进行增减。</w:t>
      </w:r>
      <w:r>
        <w:rPr>
          <w:rFonts w:hint="eastAsia"/>
          <w:highlight w:val="none"/>
          <w:lang w:val="en-US" w:eastAsia="zh-CN"/>
        </w:rPr>
        <w:t>确保调查评价结果重点突出、特征鲜明。</w:t>
      </w:r>
    </w:p>
    <w:p w14:paraId="3BECCE59">
      <w:pPr>
        <w:pStyle w:val="62"/>
        <w:rPr>
          <w:rFonts w:hint="eastAsia" w:hAnsi="Times New Roman" w:cs="Times New Roman"/>
          <w:highlight w:val="none"/>
          <w:lang w:val="en-US" w:eastAsia="zh-CN"/>
        </w:rPr>
      </w:pPr>
      <w:bookmarkStart w:id="205" w:name="_Toc696"/>
      <w:bookmarkStart w:id="206" w:name="_Toc12675"/>
      <w:bookmarkStart w:id="207" w:name="_Toc13987"/>
      <w:bookmarkStart w:id="208" w:name="_Toc13943"/>
      <w:bookmarkStart w:id="209" w:name="_Toc31486"/>
      <w:bookmarkStart w:id="210" w:name="_Toc10858"/>
      <w:bookmarkStart w:id="211" w:name="_Toc11993"/>
      <w:r>
        <w:rPr>
          <w:rFonts w:hint="eastAsia" w:cs="Times New Roman"/>
          <w:highlight w:val="none"/>
          <w:lang w:val="en-US" w:eastAsia="zh-CN"/>
        </w:rPr>
        <w:t>协调性</w:t>
      </w:r>
      <w:bookmarkEnd w:id="205"/>
      <w:bookmarkEnd w:id="206"/>
      <w:bookmarkEnd w:id="207"/>
      <w:bookmarkEnd w:id="208"/>
      <w:bookmarkEnd w:id="209"/>
      <w:bookmarkEnd w:id="210"/>
      <w:bookmarkEnd w:id="211"/>
    </w:p>
    <w:p w14:paraId="45B79575">
      <w:pPr>
        <w:keepNext w:val="0"/>
        <w:keepLines w:val="0"/>
        <w:widowControl/>
        <w:suppressLineNumbers w:val="0"/>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本着发展与创新的思路，在调查评价指标选取方面以权威的国家标准和行业标准为依据，</w:t>
      </w:r>
      <w:r>
        <w:rPr>
          <w:rFonts w:hint="eastAsia" w:ascii="宋体" w:hAnsi="Times New Roman" w:eastAsia="宋体" w:cs="Times New Roman"/>
          <w:color w:val="000000"/>
          <w:kern w:val="0"/>
          <w:sz w:val="21"/>
          <w:szCs w:val="20"/>
          <w:highlight w:val="none"/>
          <w:lang w:val="en-US" w:eastAsia="zh-CN" w:bidi="ar-SA"/>
        </w:rPr>
        <w:t>相应的技术方法规范，均</w:t>
      </w:r>
      <w:r>
        <w:rPr>
          <w:rFonts w:hint="eastAsia" w:ascii="宋体" w:cs="Times New Roman"/>
          <w:color w:val="000000"/>
          <w:kern w:val="0"/>
          <w:sz w:val="21"/>
          <w:szCs w:val="20"/>
          <w:highlight w:val="none"/>
          <w:lang w:val="en-US" w:eastAsia="zh-CN" w:bidi="ar-SA"/>
        </w:rPr>
        <w:t>按照</w:t>
      </w:r>
      <w:r>
        <w:rPr>
          <w:rFonts w:hint="eastAsia" w:ascii="宋体" w:hAnsi="Times New Roman" w:eastAsia="宋体" w:cs="Times New Roman"/>
          <w:color w:val="000000"/>
          <w:kern w:val="0"/>
          <w:sz w:val="21"/>
          <w:szCs w:val="20"/>
          <w:highlight w:val="none"/>
          <w:lang w:val="en-US" w:eastAsia="zh-CN" w:bidi="ar-SA"/>
        </w:rPr>
        <w:t>已正式发布的标准或成熟的方法</w:t>
      </w:r>
      <w:r>
        <w:rPr>
          <w:rFonts w:hint="eastAsia" w:ascii="宋体" w:cs="Times New Roman"/>
          <w:color w:val="000000"/>
          <w:kern w:val="0"/>
          <w:sz w:val="21"/>
          <w:szCs w:val="20"/>
          <w:highlight w:val="none"/>
          <w:lang w:val="en-US" w:eastAsia="zh-CN" w:bidi="ar-SA"/>
        </w:rPr>
        <w:t>执行</w:t>
      </w:r>
      <w:r>
        <w:rPr>
          <w:rFonts w:hint="eastAsia" w:ascii="宋体" w:hAnsi="宋体" w:eastAsia="宋体" w:cs="宋体"/>
          <w:color w:val="000000"/>
          <w:kern w:val="0"/>
          <w:sz w:val="21"/>
          <w:szCs w:val="21"/>
          <w:highlight w:val="none"/>
          <w:lang w:val="en-US" w:eastAsia="zh-CN" w:bidi="ar"/>
        </w:rPr>
        <w:t>。</w:t>
      </w:r>
    </w:p>
    <w:p w14:paraId="6CE8C162">
      <w:pPr>
        <w:pStyle w:val="80"/>
        <w:rPr>
          <w:rFonts w:hint="default" w:hAnsi="Times New Roman" w:cs="Times New Roman"/>
          <w:highlight w:val="none"/>
          <w:lang w:val="en-US" w:eastAsia="zh-CN"/>
        </w:rPr>
      </w:pPr>
      <w:bookmarkStart w:id="212" w:name="_Toc31310"/>
      <w:bookmarkStart w:id="213" w:name="_Toc19714"/>
      <w:bookmarkStart w:id="214" w:name="_Toc14773"/>
      <w:bookmarkStart w:id="215" w:name="_Toc12496"/>
      <w:bookmarkStart w:id="216" w:name="_Toc10769"/>
      <w:bookmarkStart w:id="217" w:name="_Toc9120"/>
      <w:bookmarkStart w:id="218" w:name="_Toc25487"/>
      <w:bookmarkStart w:id="219" w:name="_Toc14487"/>
      <w:bookmarkStart w:id="220" w:name="_Toc5500"/>
      <w:r>
        <w:rPr>
          <w:rFonts w:hint="eastAsia" w:hAnsi="Times New Roman" w:cs="Times New Roman"/>
          <w:highlight w:val="none"/>
          <w:lang w:val="en-US" w:eastAsia="zh-CN"/>
        </w:rPr>
        <w:t>调查评价技术流程</w:t>
      </w:r>
      <w:bookmarkEnd w:id="212"/>
      <w:bookmarkEnd w:id="213"/>
      <w:bookmarkEnd w:id="214"/>
      <w:bookmarkEnd w:id="215"/>
      <w:bookmarkEnd w:id="216"/>
      <w:bookmarkEnd w:id="217"/>
      <w:bookmarkEnd w:id="218"/>
      <w:bookmarkEnd w:id="219"/>
      <w:bookmarkEnd w:id="220"/>
    </w:p>
    <w:p w14:paraId="563FC643">
      <w:pPr>
        <w:pStyle w:val="62"/>
        <w:rPr>
          <w:rFonts w:hint="default" w:hAnsi="Times New Roman" w:cs="Times New Roman"/>
          <w:highlight w:val="none"/>
          <w:lang w:val="en-US" w:eastAsia="zh-CN"/>
        </w:rPr>
      </w:pPr>
      <w:bookmarkStart w:id="221" w:name="_Toc18246"/>
      <w:bookmarkStart w:id="222" w:name="_Toc13878"/>
      <w:bookmarkStart w:id="223" w:name="_Toc2809"/>
      <w:bookmarkStart w:id="224" w:name="_Toc2501"/>
      <w:bookmarkStart w:id="225" w:name="_Toc29978"/>
      <w:bookmarkStart w:id="226" w:name="_Toc1560"/>
      <w:bookmarkStart w:id="227" w:name="_Toc19030"/>
      <w:bookmarkStart w:id="228" w:name="_Toc23780"/>
      <w:r>
        <w:rPr>
          <w:rFonts w:hint="eastAsia" w:cs="Times New Roman"/>
          <w:highlight w:val="none"/>
          <w:lang w:val="en-US" w:eastAsia="zh-CN"/>
        </w:rPr>
        <w:t>工作</w:t>
      </w:r>
      <w:r>
        <w:rPr>
          <w:rFonts w:hint="eastAsia" w:hAnsi="Times New Roman" w:cs="Times New Roman"/>
          <w:highlight w:val="none"/>
          <w:lang w:val="en-US" w:eastAsia="zh-CN"/>
        </w:rPr>
        <w:t>准备</w:t>
      </w:r>
      <w:bookmarkEnd w:id="221"/>
      <w:bookmarkEnd w:id="222"/>
      <w:bookmarkEnd w:id="223"/>
      <w:r>
        <w:rPr>
          <w:rFonts w:hint="eastAsia" w:cs="Times New Roman"/>
          <w:highlight w:val="none"/>
          <w:lang w:val="en-US" w:eastAsia="zh-CN"/>
        </w:rPr>
        <w:t>阶段</w:t>
      </w:r>
      <w:bookmarkEnd w:id="224"/>
      <w:bookmarkEnd w:id="225"/>
      <w:bookmarkEnd w:id="226"/>
      <w:bookmarkEnd w:id="227"/>
      <w:bookmarkEnd w:id="228"/>
    </w:p>
    <w:p w14:paraId="6C86FA52">
      <w:pPr>
        <w:pStyle w:val="61"/>
        <w:spacing w:before="156" w:after="156"/>
        <w:rPr>
          <w:rFonts w:hint="default" w:hAnsi="Times New Roman" w:cs="Times New Roman"/>
          <w:highlight w:val="none"/>
          <w:lang w:val="en-US" w:eastAsia="zh-CN"/>
        </w:rPr>
      </w:pPr>
      <w:bookmarkStart w:id="229" w:name="_Toc31968"/>
      <w:r>
        <w:rPr>
          <w:rFonts w:hint="eastAsia" w:hAnsi="Times New Roman" w:cs="Times New Roman"/>
          <w:highlight w:val="none"/>
          <w:lang w:val="en-US" w:eastAsia="zh-CN"/>
        </w:rPr>
        <w:t>明确</w:t>
      </w:r>
      <w:r>
        <w:rPr>
          <w:rFonts w:hint="eastAsia" w:cs="Times New Roman"/>
          <w:highlight w:val="none"/>
          <w:lang w:val="en-US" w:eastAsia="zh-CN"/>
        </w:rPr>
        <w:t>调查评价</w:t>
      </w:r>
      <w:r>
        <w:rPr>
          <w:rFonts w:hint="eastAsia" w:hAnsi="Times New Roman" w:cs="Times New Roman"/>
          <w:highlight w:val="none"/>
          <w:lang w:val="en-US" w:eastAsia="zh-CN"/>
        </w:rPr>
        <w:t>对象</w:t>
      </w:r>
      <w:bookmarkEnd w:id="229"/>
    </w:p>
    <w:p w14:paraId="1B87A3FE">
      <w:pPr>
        <w:pStyle w:val="25"/>
        <w:rPr>
          <w:rFonts w:hint="default"/>
          <w:highlight w:val="none"/>
          <w:lang w:val="en-US" w:eastAsia="zh-CN"/>
        </w:rPr>
      </w:pPr>
      <w:r>
        <w:rPr>
          <w:rFonts w:hint="eastAsia"/>
          <w:highlight w:val="none"/>
        </w:rPr>
        <w:t>实地踏勘和资料收集整理分析，</w:t>
      </w:r>
      <w:r>
        <w:rPr>
          <w:rFonts w:hint="eastAsia"/>
          <w:highlight w:val="none"/>
          <w:lang w:val="en-US" w:eastAsia="zh-CN"/>
        </w:rPr>
        <w:t>明确待调查评价生态单元的类型、位置和范围。</w:t>
      </w:r>
    </w:p>
    <w:p w14:paraId="78D23F6F">
      <w:pPr>
        <w:pStyle w:val="61"/>
        <w:spacing w:before="156" w:after="156"/>
        <w:rPr>
          <w:rFonts w:hint="default" w:hAnsi="Times New Roman" w:cs="Times New Roman"/>
          <w:highlight w:val="none"/>
          <w:lang w:val="en-US" w:eastAsia="zh-CN"/>
        </w:rPr>
      </w:pPr>
      <w:bookmarkStart w:id="230" w:name="_Toc27526"/>
      <w:r>
        <w:rPr>
          <w:rFonts w:hint="eastAsia" w:hAnsi="Times New Roman" w:cs="Times New Roman"/>
          <w:highlight w:val="none"/>
          <w:lang w:val="en-US" w:eastAsia="zh-CN"/>
        </w:rPr>
        <w:t>明确调查评价内容</w:t>
      </w:r>
    </w:p>
    <w:p w14:paraId="0455AF67">
      <w:pPr>
        <w:keepNext w:val="0"/>
        <w:keepLines w:val="0"/>
        <w:widowControl/>
        <w:suppressLineNumbers w:val="0"/>
        <w:ind w:firstLine="420" w:firstLineChars="200"/>
        <w:jc w:val="left"/>
        <w:rPr>
          <w:rFonts w:hint="eastAsia" w:ascii="宋体" w:hAnsi="Times New Roman" w:eastAsia="宋体" w:cs="Times New Roman"/>
          <w:color w:val="000000"/>
          <w:kern w:val="0"/>
          <w:sz w:val="21"/>
          <w:szCs w:val="20"/>
          <w:highlight w:val="none"/>
          <w:lang w:val="en-US" w:eastAsia="zh-CN" w:bidi="ar-SA"/>
        </w:rPr>
      </w:pPr>
      <w:r>
        <w:rPr>
          <w:rFonts w:hint="eastAsia" w:ascii="宋体" w:hAnsi="Times New Roman" w:eastAsia="宋体" w:cs="Times New Roman"/>
          <w:color w:val="000000"/>
          <w:kern w:val="0"/>
          <w:sz w:val="21"/>
          <w:szCs w:val="20"/>
          <w:highlight w:val="none"/>
          <w:lang w:val="en-US" w:eastAsia="zh-CN" w:bidi="ar-SA"/>
        </w:rPr>
        <w:t>调查评价内容应围绕生态单元的实际情况进行设定，根据生态单元</w:t>
      </w:r>
      <w:r>
        <w:rPr>
          <w:rFonts w:hint="eastAsia" w:ascii="宋体" w:hAnsi="Times New Roman" w:eastAsia="宋体" w:cs="Times New Roman"/>
          <w:color w:val="000000"/>
          <w:highlight w:val="none"/>
          <w:lang w:val="en-US" w:eastAsia="zh-CN"/>
        </w:rPr>
        <w:t>要素分布、主导功能、保护和利用方向等，针对性的选取</w:t>
      </w:r>
      <w:r>
        <w:rPr>
          <w:rFonts w:hint="eastAsia" w:ascii="宋体" w:hAnsi="Times New Roman" w:eastAsia="宋体" w:cs="Times New Roman"/>
          <w:color w:val="000000"/>
          <w:kern w:val="0"/>
          <w:sz w:val="21"/>
          <w:szCs w:val="20"/>
          <w:highlight w:val="none"/>
          <w:lang w:val="en-US" w:eastAsia="zh-CN" w:bidi="ar-SA"/>
        </w:rPr>
        <w:t>调查评价内容。</w:t>
      </w:r>
    </w:p>
    <w:p w14:paraId="6C8546F8">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制定</w:t>
      </w:r>
      <w:r>
        <w:rPr>
          <w:rFonts w:hint="eastAsia" w:cs="Times New Roman"/>
          <w:highlight w:val="none"/>
          <w:lang w:val="en-US" w:eastAsia="zh-CN"/>
        </w:rPr>
        <w:t>工作</w:t>
      </w:r>
      <w:r>
        <w:rPr>
          <w:rFonts w:hint="eastAsia" w:hAnsi="Times New Roman" w:cs="Times New Roman"/>
          <w:highlight w:val="none"/>
          <w:lang w:val="en-US" w:eastAsia="zh-CN"/>
        </w:rPr>
        <w:t>方案</w:t>
      </w:r>
      <w:bookmarkEnd w:id="230"/>
    </w:p>
    <w:p w14:paraId="3E0E6279">
      <w:pPr>
        <w:pStyle w:val="25"/>
        <w:rPr>
          <w:rFonts w:hint="eastAsia" w:hAnsi="Times New Roman" w:cs="Times New Roman"/>
          <w:highlight w:val="none"/>
          <w:lang w:val="en-US" w:eastAsia="zh-CN"/>
        </w:rPr>
      </w:pPr>
      <w:r>
        <w:rPr>
          <w:rFonts w:hint="eastAsia" w:hAnsi="Times New Roman" w:cs="Times New Roman"/>
          <w:highlight w:val="none"/>
          <w:lang w:val="en-US" w:eastAsia="zh-CN"/>
        </w:rPr>
        <w:t>应明确调查评价工作的组织方式、技术方法、实施周期、阶段性任务、成果要求等。</w:t>
      </w:r>
    </w:p>
    <w:p w14:paraId="3AD68A7C">
      <w:pPr>
        <w:pStyle w:val="62"/>
        <w:rPr>
          <w:rFonts w:hint="default" w:hAnsi="Times New Roman" w:cs="Times New Roman"/>
          <w:highlight w:val="none"/>
          <w:lang w:val="en-US" w:eastAsia="zh-CN"/>
        </w:rPr>
      </w:pPr>
      <w:bookmarkStart w:id="231" w:name="_Toc25814"/>
      <w:bookmarkStart w:id="232" w:name="_Toc15187"/>
      <w:bookmarkStart w:id="233" w:name="_Toc7578"/>
      <w:bookmarkStart w:id="234" w:name="_Toc32009"/>
      <w:bookmarkStart w:id="235" w:name="_Toc27030"/>
      <w:bookmarkStart w:id="236" w:name="_Toc24673"/>
      <w:bookmarkStart w:id="237" w:name="_Toc18144"/>
      <w:bookmarkStart w:id="238" w:name="_Toc7947"/>
      <w:r>
        <w:rPr>
          <w:rFonts w:hint="eastAsia" w:hAnsi="Times New Roman" w:cs="Times New Roman"/>
          <w:highlight w:val="none"/>
          <w:lang w:val="en-US" w:eastAsia="zh-CN"/>
        </w:rPr>
        <w:t>具体</w:t>
      </w:r>
      <w:bookmarkEnd w:id="231"/>
      <w:bookmarkEnd w:id="232"/>
      <w:bookmarkEnd w:id="233"/>
      <w:r>
        <w:rPr>
          <w:rFonts w:hint="eastAsia" w:cs="Times New Roman"/>
          <w:highlight w:val="none"/>
          <w:lang w:val="en-US" w:eastAsia="zh-CN"/>
        </w:rPr>
        <w:t>实施阶段</w:t>
      </w:r>
      <w:bookmarkEnd w:id="234"/>
      <w:bookmarkEnd w:id="235"/>
      <w:bookmarkEnd w:id="236"/>
      <w:bookmarkEnd w:id="237"/>
      <w:bookmarkEnd w:id="238"/>
    </w:p>
    <w:p w14:paraId="1636FFC8">
      <w:pPr>
        <w:pStyle w:val="61"/>
        <w:spacing w:before="156" w:after="156"/>
        <w:rPr>
          <w:rFonts w:hint="default" w:hAnsi="Times New Roman" w:cs="Times New Roman"/>
          <w:highlight w:val="none"/>
          <w:lang w:val="en-US" w:eastAsia="zh-CN"/>
        </w:rPr>
      </w:pPr>
      <w:bookmarkStart w:id="239" w:name="_Toc2826"/>
      <w:r>
        <w:rPr>
          <w:rFonts w:hint="eastAsia" w:hAnsi="Times New Roman" w:cs="Times New Roman"/>
          <w:highlight w:val="none"/>
          <w:lang w:val="en-US" w:eastAsia="zh-CN"/>
        </w:rPr>
        <w:t>开展调查工作</w:t>
      </w:r>
    </w:p>
    <w:p w14:paraId="2B22A484">
      <w:pPr>
        <w:pStyle w:val="25"/>
        <w:rPr>
          <w:rFonts w:hint="default"/>
          <w:highlight w:val="none"/>
          <w:lang w:val="en-US" w:eastAsia="zh-CN"/>
        </w:rPr>
      </w:pPr>
      <w:r>
        <w:rPr>
          <w:rFonts w:hint="eastAsia"/>
          <w:highlight w:val="none"/>
          <w:lang w:val="en-US" w:eastAsia="zh-CN"/>
        </w:rPr>
        <w:t>基于设计的调查评价内容，确定针对性的调查方法，采用资料收集、遥感调查、地面调查、样品采集等多种方式获取相应的指标数据。</w:t>
      </w:r>
    </w:p>
    <w:p w14:paraId="72B60260">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开展评价</w:t>
      </w:r>
      <w:bookmarkEnd w:id="239"/>
      <w:r>
        <w:rPr>
          <w:rFonts w:hint="eastAsia" w:hAnsi="Times New Roman" w:cs="Times New Roman"/>
          <w:highlight w:val="none"/>
          <w:lang w:val="en-US" w:eastAsia="zh-CN"/>
        </w:rPr>
        <w:t>工作</w:t>
      </w:r>
    </w:p>
    <w:p w14:paraId="245654C3">
      <w:pPr>
        <w:pStyle w:val="25"/>
        <w:rPr>
          <w:rFonts w:hint="eastAsia" w:cs="Times New Roman"/>
          <w:color w:val="000000"/>
          <w:highlight w:val="none"/>
          <w:lang w:val="en-US" w:eastAsia="zh-CN"/>
        </w:rPr>
      </w:pPr>
      <w:r>
        <w:rPr>
          <w:rFonts w:hint="eastAsia"/>
          <w:highlight w:val="none"/>
          <w:lang w:eastAsia="zh-CN"/>
        </w:rPr>
        <w:t>基于调查结果，</w:t>
      </w:r>
      <w:r>
        <w:rPr>
          <w:rFonts w:hint="eastAsia" w:cs="Times New Roman"/>
          <w:color w:val="000000"/>
          <w:highlight w:val="none"/>
          <w:lang w:val="en-US" w:eastAsia="zh-CN"/>
        </w:rPr>
        <w:t>采用定性描述和定量分析相结合的方式进行评价，在此基础上对生态单元的生态现状进行多指标、全方位的综合评价，对典型问题进行识别。</w:t>
      </w:r>
    </w:p>
    <w:p w14:paraId="56D9D9AE">
      <w:pPr>
        <w:pStyle w:val="62"/>
        <w:rPr>
          <w:rFonts w:hint="default" w:hAnsi="Times New Roman" w:cs="Times New Roman"/>
          <w:highlight w:val="none"/>
          <w:lang w:val="en-US" w:eastAsia="zh-CN"/>
        </w:rPr>
      </w:pPr>
      <w:bookmarkStart w:id="240" w:name="_Toc19619"/>
      <w:bookmarkStart w:id="241" w:name="_Toc373"/>
      <w:bookmarkStart w:id="242" w:name="_Toc724"/>
      <w:bookmarkStart w:id="243" w:name="_Toc25945"/>
      <w:bookmarkStart w:id="244" w:name="_Toc498"/>
      <w:bookmarkStart w:id="245" w:name="_Toc29658"/>
      <w:bookmarkStart w:id="246" w:name="_Toc21534"/>
      <w:r>
        <w:rPr>
          <w:rFonts w:hint="eastAsia" w:hAnsi="Times New Roman" w:cs="Times New Roman"/>
          <w:highlight w:val="none"/>
          <w:lang w:val="en-US" w:eastAsia="zh-CN"/>
        </w:rPr>
        <w:t>成果</w:t>
      </w:r>
      <w:r>
        <w:rPr>
          <w:rFonts w:hint="eastAsia" w:cs="Times New Roman"/>
          <w:highlight w:val="none"/>
          <w:lang w:val="en-US" w:eastAsia="zh-CN"/>
        </w:rPr>
        <w:t>形成阶段</w:t>
      </w:r>
      <w:bookmarkEnd w:id="240"/>
      <w:bookmarkEnd w:id="241"/>
      <w:bookmarkEnd w:id="242"/>
      <w:bookmarkEnd w:id="243"/>
      <w:bookmarkEnd w:id="244"/>
      <w:bookmarkEnd w:id="245"/>
      <w:bookmarkEnd w:id="246"/>
    </w:p>
    <w:p w14:paraId="37CA5E08">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形成调查评价成果</w:t>
      </w:r>
    </w:p>
    <w:p w14:paraId="05FBA9A9">
      <w:pPr>
        <w:pStyle w:val="25"/>
        <w:rPr>
          <w:rFonts w:hint="eastAsia" w:hAnsi="Times New Roman" w:cs="Times New Roman"/>
          <w:highlight w:val="none"/>
          <w:lang w:val="en-US" w:eastAsia="zh-CN"/>
        </w:rPr>
      </w:pPr>
      <w:r>
        <w:rPr>
          <w:rFonts w:hint="eastAsia" w:hAnsi="Times New Roman" w:cs="Times New Roman"/>
          <w:highlight w:val="none"/>
          <w:lang w:val="en-US" w:eastAsia="zh-CN"/>
        </w:rPr>
        <w:t>应根据调查评价内容</w:t>
      </w:r>
      <w:r>
        <w:rPr>
          <w:rFonts w:hint="eastAsia" w:cs="Times New Roman"/>
          <w:highlight w:val="none"/>
          <w:lang w:val="en-US" w:eastAsia="zh-CN"/>
        </w:rPr>
        <w:t>，采用适当的</w:t>
      </w:r>
      <w:r>
        <w:rPr>
          <w:rFonts w:hint="eastAsia" w:hAnsi="Times New Roman" w:cs="Times New Roman"/>
          <w:highlight w:val="none"/>
          <w:lang w:val="en-US" w:eastAsia="zh-CN"/>
        </w:rPr>
        <w:t>方法分析典型生态单元的生态现状特征，形成调查评价报告、附图、附表及其他附件。</w:t>
      </w:r>
    </w:p>
    <w:p w14:paraId="3E743D68">
      <w:pPr>
        <w:pStyle w:val="61"/>
        <w:spacing w:before="156" w:after="156"/>
        <w:rPr>
          <w:rFonts w:hint="default" w:hAnsi="Times New Roman" w:cs="Times New Roman"/>
          <w:highlight w:val="none"/>
          <w:lang w:val="en-US" w:eastAsia="zh-CN"/>
        </w:rPr>
      </w:pPr>
      <w:r>
        <w:rPr>
          <w:rFonts w:hint="eastAsia" w:cs="Times New Roman"/>
          <w:highlight w:val="none"/>
          <w:lang w:val="en-US" w:eastAsia="zh-CN"/>
        </w:rPr>
        <w:t>提出对策建议</w:t>
      </w:r>
    </w:p>
    <w:p w14:paraId="3DDAE525">
      <w:pPr>
        <w:pStyle w:val="25"/>
        <w:widowControl/>
        <w:jc w:val="both"/>
        <w:rPr>
          <w:rFonts w:hint="eastAsia" w:ascii="宋体" w:hAnsi="Times New Roman" w:eastAsia="宋体"/>
          <w:sz w:val="21"/>
          <w:szCs w:val="20"/>
          <w:highlight w:val="none"/>
          <w:lang w:val="en-US" w:eastAsia="zh-CN"/>
        </w:rPr>
      </w:pPr>
      <w:r>
        <w:rPr>
          <w:rFonts w:hint="eastAsia" w:ascii="宋体" w:hAnsi="Times New Roman" w:eastAsia="宋体" w:cs="Times New Roman"/>
          <w:color w:val="000000"/>
          <w:highlight w:val="none"/>
          <w:lang w:eastAsia="zh-CN"/>
        </w:rPr>
        <w:t>依据调查评价结果，形成单元内生态保护和修复目标，提出后续规划布局和工程部署建议。</w:t>
      </w:r>
      <w:r>
        <w:rPr>
          <w:rFonts w:hint="eastAsia" w:ascii="宋体" w:hAnsi="Times New Roman" w:eastAsia="宋体"/>
          <w:sz w:val="21"/>
          <w:szCs w:val="20"/>
          <w:highlight w:val="none"/>
          <w:lang w:val="en-US" w:eastAsia="zh-CN"/>
        </w:rPr>
        <w:t>生态保护修复目标应与所在区域国土空间总体规划生态管控要求衔接。</w:t>
      </w:r>
    </w:p>
    <w:p w14:paraId="662054D3">
      <w:pPr>
        <w:pStyle w:val="25"/>
        <w:rPr>
          <w:rFonts w:hint="eastAsia" w:ascii="宋体" w:hAnsi="Times New Roman" w:eastAsia="宋体" w:cs="Times New Roman"/>
          <w:highlight w:val="none"/>
          <w:lang w:val="en-US" w:eastAsia="zh-CN"/>
        </w:rPr>
      </w:pPr>
      <w:r>
        <w:rPr>
          <w:rFonts w:hint="eastAsia" w:hAnsi="Times New Roman" w:cs="Times New Roman"/>
          <w:highlight w:val="none"/>
          <w:lang w:val="en-US" w:eastAsia="zh-CN"/>
        </w:rPr>
        <w:t>生态单元生态现状调查</w:t>
      </w:r>
      <w:r>
        <w:rPr>
          <w:rFonts w:hint="eastAsia" w:ascii="宋体" w:hAnsi="Times New Roman" w:eastAsia="宋体" w:cs="Times New Roman"/>
          <w:highlight w:val="none"/>
          <w:lang w:val="en-US" w:eastAsia="zh-CN"/>
        </w:rPr>
        <w:t>评价技术流程见图1。</w:t>
      </w:r>
    </w:p>
    <w:p w14:paraId="5D42D424">
      <w:pPr>
        <w:pStyle w:val="25"/>
        <w:ind w:left="0" w:leftChars="0" w:firstLine="0" w:firstLineChars="0"/>
        <w:jc w:val="center"/>
        <w:rPr>
          <w:rFonts w:hint="eastAsia" w:ascii="宋体" w:hAnsi="Times New Roman" w:eastAsia="宋体" w:cs="Times New Roman"/>
          <w:highlight w:val="none"/>
          <w:lang w:val="en-US" w:eastAsia="zh-CN"/>
        </w:rPr>
      </w:pPr>
      <w:r>
        <w:drawing>
          <wp:inline distT="0" distB="0" distL="114300" distR="114300">
            <wp:extent cx="3794125" cy="3863975"/>
            <wp:effectExtent l="0" t="0" r="635" b="698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3"/>
                    <a:stretch>
                      <a:fillRect/>
                    </a:stretch>
                  </pic:blipFill>
                  <pic:spPr>
                    <a:xfrm>
                      <a:off x="0" y="0"/>
                      <a:ext cx="3794125" cy="3863975"/>
                    </a:xfrm>
                    <a:prstGeom prst="rect">
                      <a:avLst/>
                    </a:prstGeom>
                    <a:noFill/>
                    <a:ln>
                      <a:noFill/>
                    </a:ln>
                  </pic:spPr>
                </pic:pic>
              </a:graphicData>
            </a:graphic>
          </wp:inline>
        </w:drawing>
      </w:r>
    </w:p>
    <w:p w14:paraId="5D9B13EB">
      <w:pPr>
        <w:pStyle w:val="25"/>
        <w:ind w:left="0" w:leftChars="0" w:firstLine="0" w:firstLineChars="0"/>
        <w:jc w:val="center"/>
        <w:rPr>
          <w:rFonts w:hint="default" w:ascii="黑体" w:hAnsi="黑体" w:eastAsia="黑体" w:cs="黑体"/>
          <w:b w:val="0"/>
          <w:bCs w:val="0"/>
          <w:highlight w:val="none"/>
          <w:lang w:val="en-US" w:eastAsia="zh-CN"/>
        </w:rPr>
      </w:pPr>
      <w:r>
        <w:rPr>
          <w:rFonts w:hint="eastAsia" w:ascii="黑体" w:hAnsi="黑体" w:eastAsia="黑体" w:cs="黑体"/>
          <w:b w:val="0"/>
          <w:bCs w:val="0"/>
          <w:highlight w:val="none"/>
          <w:lang w:val="en-US" w:eastAsia="zh-CN"/>
        </w:rPr>
        <w:t>图1 典型生态单元生态现状调查评价技术流程图</w:t>
      </w:r>
    </w:p>
    <w:p w14:paraId="49AA5318">
      <w:pPr>
        <w:pStyle w:val="80"/>
        <w:rPr>
          <w:rFonts w:hint="eastAsia" w:hAnsi="Times New Roman" w:cs="Times New Roman"/>
          <w:highlight w:val="none"/>
          <w:lang w:val="en-US" w:eastAsia="zh-CN"/>
        </w:rPr>
      </w:pPr>
      <w:bookmarkStart w:id="247" w:name="_Toc13712"/>
      <w:bookmarkStart w:id="248" w:name="_Toc4881"/>
      <w:bookmarkStart w:id="249" w:name="_Toc10788"/>
      <w:bookmarkStart w:id="250" w:name="_Toc31403"/>
      <w:bookmarkStart w:id="251" w:name="_Toc27067"/>
      <w:bookmarkStart w:id="252" w:name="_Toc16012"/>
      <w:bookmarkStart w:id="253" w:name="_Toc21073"/>
      <w:bookmarkStart w:id="254" w:name="_Toc3202"/>
      <w:bookmarkStart w:id="255" w:name="_Toc9692"/>
      <w:r>
        <w:rPr>
          <w:rFonts w:hint="eastAsia" w:hAnsi="Times New Roman" w:cs="Times New Roman"/>
          <w:highlight w:val="none"/>
          <w:lang w:val="en-US" w:eastAsia="zh-CN"/>
        </w:rPr>
        <w:t>调查评价内容</w:t>
      </w:r>
      <w:bookmarkEnd w:id="247"/>
      <w:bookmarkEnd w:id="248"/>
      <w:bookmarkEnd w:id="249"/>
      <w:bookmarkEnd w:id="250"/>
      <w:bookmarkEnd w:id="251"/>
      <w:bookmarkEnd w:id="252"/>
      <w:bookmarkEnd w:id="253"/>
      <w:bookmarkEnd w:id="254"/>
      <w:bookmarkEnd w:id="255"/>
    </w:p>
    <w:p w14:paraId="086BCEEC">
      <w:pPr>
        <w:pStyle w:val="62"/>
        <w:rPr>
          <w:rFonts w:hint="eastAsia" w:hAnsi="Times New Roman" w:cs="Times New Roman"/>
          <w:highlight w:val="none"/>
          <w:lang w:val="en-US" w:eastAsia="zh-CN"/>
        </w:rPr>
      </w:pPr>
      <w:bookmarkStart w:id="256" w:name="_Toc25058"/>
      <w:bookmarkStart w:id="257" w:name="_Toc14052"/>
      <w:bookmarkStart w:id="258" w:name="_Toc964"/>
      <w:bookmarkStart w:id="259" w:name="_Toc21424"/>
      <w:bookmarkStart w:id="260" w:name="_Toc5485"/>
      <w:bookmarkStart w:id="261" w:name="_Toc24380"/>
      <w:bookmarkStart w:id="262" w:name="_Toc32176"/>
      <w:bookmarkStart w:id="263" w:name="_Toc2812"/>
      <w:r>
        <w:rPr>
          <w:rFonts w:hint="eastAsia" w:hAnsi="Times New Roman" w:cs="Times New Roman"/>
          <w:highlight w:val="none"/>
          <w:lang w:val="en-US" w:eastAsia="zh-CN"/>
        </w:rPr>
        <w:t>生态系统格局</w:t>
      </w:r>
      <w:bookmarkEnd w:id="256"/>
      <w:bookmarkEnd w:id="257"/>
      <w:bookmarkEnd w:id="258"/>
      <w:bookmarkEnd w:id="259"/>
      <w:bookmarkEnd w:id="260"/>
      <w:bookmarkEnd w:id="261"/>
      <w:bookmarkEnd w:id="262"/>
    </w:p>
    <w:p w14:paraId="78E3443E">
      <w:pPr>
        <w:pStyle w:val="61"/>
        <w:spacing w:before="156" w:after="156"/>
        <w:rPr>
          <w:rFonts w:hint="eastAsia" w:ascii="黑体" w:hAnsi="Times New Roman" w:eastAsia="黑体" w:cs="Times New Roman"/>
          <w:color w:val="000000"/>
          <w:kern w:val="0"/>
          <w:sz w:val="21"/>
          <w:szCs w:val="21"/>
          <w:highlight w:val="none"/>
          <w:lang w:val="en-US" w:eastAsia="zh-CN" w:bidi="ar"/>
        </w:rPr>
      </w:pPr>
      <w:r>
        <w:rPr>
          <w:rFonts w:hint="eastAsia" w:ascii="黑体" w:hAnsi="Times New Roman" w:eastAsia="黑体" w:cs="Times New Roman"/>
          <w:color w:val="000000"/>
          <w:kern w:val="0"/>
          <w:sz w:val="21"/>
          <w:szCs w:val="21"/>
          <w:highlight w:val="none"/>
          <w:lang w:val="en-US" w:eastAsia="zh-CN" w:bidi="ar"/>
        </w:rPr>
        <w:t>总</w:t>
      </w:r>
      <w:r>
        <w:rPr>
          <w:rFonts w:hint="eastAsia" w:cs="Times New Roman"/>
          <w:color w:val="000000"/>
          <w:kern w:val="0"/>
          <w:sz w:val="21"/>
          <w:szCs w:val="21"/>
          <w:highlight w:val="none"/>
          <w:lang w:val="en-US" w:eastAsia="zh-CN" w:bidi="ar"/>
        </w:rPr>
        <w:t>体要求</w:t>
      </w:r>
    </w:p>
    <w:p w14:paraId="13E86499">
      <w:pPr>
        <w:pStyle w:val="25"/>
        <w:rPr>
          <w:rFonts w:hint="default" w:ascii="Times New Roman" w:hAnsi="Times New Roman" w:eastAsia="宋体" w:cs="Times New Roman"/>
          <w:highlight w:val="none"/>
          <w:lang w:val="en-US" w:eastAsia="zh-CN"/>
        </w:rPr>
      </w:pPr>
      <w:r>
        <w:rPr>
          <w:rFonts w:hint="eastAsia" w:hAnsi="宋体" w:cs="宋体"/>
          <w:color w:val="000000"/>
          <w:kern w:val="0"/>
          <w:sz w:val="21"/>
          <w:szCs w:val="21"/>
          <w:highlight w:val="none"/>
          <w:lang w:val="en-US" w:eastAsia="zh-CN" w:bidi="ar"/>
        </w:rPr>
        <w:t>调查评价</w:t>
      </w:r>
      <w:r>
        <w:rPr>
          <w:rFonts w:hint="eastAsia" w:hAnsi="Times New Roman" w:cs="Times New Roman"/>
          <w:highlight w:val="none"/>
          <w:lang w:val="en-US" w:eastAsia="zh-CN"/>
        </w:rPr>
        <w:t>生态系统构成、生态系统空间格局和生态连通性三个方面，</w:t>
      </w:r>
      <w:r>
        <w:rPr>
          <w:rFonts w:hint="eastAsia" w:hAnsi="宋体" w:cs="宋体"/>
          <w:color w:val="000000"/>
          <w:kern w:val="0"/>
          <w:sz w:val="21"/>
          <w:szCs w:val="21"/>
          <w:highlight w:val="none"/>
          <w:lang w:val="en-US" w:eastAsia="zh-CN" w:bidi="ar"/>
        </w:rPr>
        <w:t>分析</w:t>
      </w:r>
      <w:r>
        <w:rPr>
          <w:rFonts w:hint="eastAsia" w:ascii="宋体" w:hAnsi="宋体" w:eastAsia="宋体" w:cs="宋体"/>
          <w:color w:val="000000"/>
          <w:kern w:val="0"/>
          <w:sz w:val="21"/>
          <w:szCs w:val="21"/>
          <w:highlight w:val="none"/>
          <w:lang w:val="en-US" w:eastAsia="zh-CN" w:bidi="ar"/>
        </w:rPr>
        <w:t>生态单元的生态系统类型、构成、空间分布格局及其相互关系。</w:t>
      </w:r>
      <w:r>
        <w:rPr>
          <w:rFonts w:hint="eastAsia" w:ascii="宋体" w:hAnsi="Times New Roman" w:eastAsia="宋体" w:cs="Times New Roman"/>
          <w:highlight w:val="none"/>
          <w:lang w:val="en-US" w:eastAsia="zh-CN"/>
        </w:rPr>
        <w:t>具体二级和三级</w:t>
      </w:r>
      <w:r>
        <w:rPr>
          <w:rFonts w:hint="eastAsia" w:hAnsi="Times New Roman" w:cs="Times New Roman"/>
          <w:highlight w:val="none"/>
          <w:lang w:val="en-US" w:eastAsia="zh-CN"/>
        </w:rPr>
        <w:t>指标见表</w:t>
      </w:r>
      <w:r>
        <w:rPr>
          <w:rFonts w:hint="eastAsia" w:cs="Times New Roman"/>
          <w:highlight w:val="none"/>
          <w:lang w:val="en-US" w:eastAsia="zh-CN"/>
        </w:rPr>
        <w:t>1</w:t>
      </w:r>
      <w:r>
        <w:rPr>
          <w:rFonts w:hint="eastAsia" w:hAnsi="Times New Roman" w:cs="Times New Roman"/>
          <w:highlight w:val="none"/>
          <w:lang w:val="en-US" w:eastAsia="zh-CN"/>
        </w:rPr>
        <w:t>。</w:t>
      </w:r>
      <w:r>
        <w:rPr>
          <w:rFonts w:hint="eastAsia" w:ascii="Times New Roman" w:hAnsi="Times New Roman" w:eastAsia="宋体" w:cs="Times New Roman"/>
          <w:highlight w:val="none"/>
          <w:lang w:val="en-US" w:eastAsia="zh-CN"/>
        </w:rPr>
        <w:t>指标含义见附录A。</w:t>
      </w:r>
    </w:p>
    <w:p w14:paraId="7ACEC8FF">
      <w:pPr>
        <w:pStyle w:val="61"/>
        <w:spacing w:before="156" w:after="156"/>
        <w:rPr>
          <w:rFonts w:hint="eastAsia" w:hAnsi="Times New Roman" w:cs="Times New Roman"/>
          <w:highlight w:val="none"/>
          <w:lang w:val="en-US" w:eastAsia="zh-CN"/>
        </w:rPr>
      </w:pPr>
      <w:r>
        <w:rPr>
          <w:rFonts w:hint="eastAsia" w:hAnsi="Times New Roman" w:cs="Times New Roman"/>
          <w:highlight w:val="none"/>
          <w:lang w:val="en-US" w:eastAsia="zh-CN"/>
        </w:rPr>
        <w:t>生态系统构成</w:t>
      </w:r>
    </w:p>
    <w:p w14:paraId="39699D87">
      <w:pPr>
        <w:pStyle w:val="25"/>
        <w:ind w:left="0" w:leftChars="0" w:firstLine="420" w:firstLineChars="200"/>
        <w:jc w:val="both"/>
        <w:rPr>
          <w:rFonts w:hint="eastAsia" w:ascii="Times New Roman" w:hAnsi="Times New Roman" w:eastAsia="宋体" w:cs="Times New Roman"/>
          <w:highlight w:val="none"/>
          <w:lang w:val="en-US" w:eastAsia="zh-CN"/>
        </w:rPr>
      </w:pPr>
      <w:r>
        <w:rPr>
          <w:rFonts w:hint="eastAsia" w:ascii="Times New Roman" w:cs="Times New Roman"/>
          <w:highlight w:val="none"/>
          <w:lang w:val="en-US" w:eastAsia="zh-CN"/>
        </w:rPr>
        <w:t>调查评价</w:t>
      </w:r>
      <w:r>
        <w:rPr>
          <w:rFonts w:hint="eastAsia" w:ascii="Times New Roman" w:hAnsi="Times New Roman" w:eastAsia="宋体" w:cs="Times New Roman"/>
          <w:highlight w:val="none"/>
          <w:lang w:val="en-US" w:eastAsia="zh-CN"/>
        </w:rPr>
        <w:t>单元内生态系统的类型、不同类型的面积及其所占的比例。</w:t>
      </w:r>
    </w:p>
    <w:p w14:paraId="0C3047F5">
      <w:pPr>
        <w:pStyle w:val="61"/>
        <w:spacing w:before="156" w:after="156"/>
        <w:rPr>
          <w:rFonts w:hint="eastAsia" w:hAnsi="Times New Roman" w:cs="Times New Roman"/>
          <w:highlight w:val="none"/>
          <w:lang w:val="en-US" w:eastAsia="zh-CN"/>
        </w:rPr>
      </w:pPr>
      <w:r>
        <w:rPr>
          <w:rFonts w:hint="eastAsia" w:hAnsi="Times New Roman" w:cs="Times New Roman"/>
          <w:highlight w:val="none"/>
          <w:lang w:val="en-US" w:eastAsia="zh-CN"/>
        </w:rPr>
        <w:t>生态系统空间格局</w:t>
      </w:r>
    </w:p>
    <w:p w14:paraId="111A8AB5">
      <w:pPr>
        <w:pStyle w:val="25"/>
        <w:ind w:left="0" w:leftChars="0" w:firstLine="420" w:firstLineChars="200"/>
        <w:jc w:val="both"/>
        <w:rPr>
          <w:rFonts w:hint="eastAsia" w:ascii="Times New Roman" w:hAnsi="Times New Roman" w:eastAsia="宋体" w:cs="Times New Roman"/>
          <w:highlight w:val="none"/>
          <w:lang w:val="en-US" w:eastAsia="zh-CN"/>
        </w:rPr>
      </w:pPr>
      <w:r>
        <w:rPr>
          <w:rFonts w:hint="eastAsia" w:ascii="Times New Roman" w:cs="Times New Roman"/>
          <w:highlight w:val="none"/>
          <w:lang w:val="en-US" w:eastAsia="zh-CN"/>
        </w:rPr>
        <w:t>调查评价</w:t>
      </w:r>
      <w:r>
        <w:rPr>
          <w:rFonts w:hint="eastAsia" w:ascii="Times New Roman" w:hAnsi="Times New Roman" w:eastAsia="宋体" w:cs="Times New Roman"/>
          <w:highlight w:val="none"/>
          <w:lang w:val="en-US" w:eastAsia="zh-CN"/>
        </w:rPr>
        <w:t>各类不同生态系统在空间上的排列和组合，包括生态系统类型、数目及空间分布与配置。</w:t>
      </w:r>
    </w:p>
    <w:p w14:paraId="378382CE">
      <w:pPr>
        <w:pStyle w:val="61"/>
        <w:spacing w:before="156" w:after="156"/>
        <w:rPr>
          <w:rFonts w:hint="eastAsia" w:hAnsi="Times New Roman" w:cs="Times New Roman"/>
          <w:highlight w:val="none"/>
          <w:lang w:val="en-US" w:eastAsia="zh-CN"/>
        </w:rPr>
      </w:pPr>
      <w:r>
        <w:rPr>
          <w:rFonts w:hint="eastAsia" w:hAnsi="Times New Roman" w:cs="Times New Roman"/>
          <w:highlight w:val="none"/>
          <w:lang w:val="en-US" w:eastAsia="zh-CN"/>
        </w:rPr>
        <w:t>生态连通性</w:t>
      </w:r>
    </w:p>
    <w:p w14:paraId="1888A4D5">
      <w:pPr>
        <w:pStyle w:val="25"/>
        <w:ind w:left="0" w:leftChars="0" w:firstLine="420" w:firstLineChars="200"/>
        <w:jc w:val="both"/>
        <w:rPr>
          <w:rFonts w:hint="eastAsia" w:ascii="Times New Roman" w:hAnsi="Times New Roman" w:eastAsia="宋体" w:cs="Times New Roman"/>
          <w:highlight w:val="none"/>
          <w:lang w:val="en-US" w:eastAsia="zh-CN"/>
        </w:rPr>
      </w:pPr>
      <w:r>
        <w:rPr>
          <w:rFonts w:hint="eastAsia" w:ascii="Times New Roman" w:cs="Times New Roman"/>
          <w:highlight w:val="none"/>
          <w:lang w:val="en-US" w:eastAsia="zh-CN"/>
        </w:rPr>
        <w:t>调查评价</w:t>
      </w:r>
      <w:r>
        <w:rPr>
          <w:rFonts w:hint="eastAsia" w:ascii="Times New Roman" w:hAnsi="Times New Roman" w:eastAsia="宋体" w:cs="Times New Roman"/>
          <w:highlight w:val="none"/>
          <w:lang w:val="en-US" w:eastAsia="zh-CN"/>
        </w:rPr>
        <w:t>单元内各类景观廊道或基质在空间上的连续性</w:t>
      </w:r>
      <w:r>
        <w:rPr>
          <w:rFonts w:hint="default" w:ascii="Times New Roman" w:hAnsi="Times New Roman" w:eastAsia="宋体" w:cs="Times New Roman"/>
          <w:highlight w:val="none"/>
          <w:lang w:val="en-US" w:eastAsia="zh-CN"/>
        </w:rPr>
        <w:t>。</w:t>
      </w:r>
      <w:r>
        <w:rPr>
          <w:rFonts w:hint="eastAsia" w:ascii="Times New Roman" w:cs="Times New Roman"/>
          <w:highlight w:val="none"/>
          <w:lang w:val="en-US" w:eastAsia="zh-CN"/>
        </w:rPr>
        <w:t>除约束性指标外，</w:t>
      </w:r>
      <w:r>
        <w:rPr>
          <w:rFonts w:hint="eastAsia" w:ascii="Times New Roman" w:hAnsi="Times New Roman" w:eastAsia="宋体"/>
          <w:sz w:val="21"/>
          <w:szCs w:val="20"/>
          <w:highlight w:val="none"/>
          <w:lang w:val="en-US" w:eastAsia="zh-CN"/>
        </w:rPr>
        <w:t>可结合生态单元类型，增加廊道宽度、节点数量及连通状况等补充指标</w:t>
      </w:r>
      <w:r>
        <w:rPr>
          <w:rFonts w:hint="eastAsia" w:ascii="Times New Roman"/>
          <w:sz w:val="21"/>
          <w:szCs w:val="20"/>
          <w:highlight w:val="none"/>
          <w:lang w:val="en-US" w:eastAsia="zh-CN"/>
        </w:rPr>
        <w:t>。</w:t>
      </w:r>
    </w:p>
    <w:p w14:paraId="3F5FCD6F">
      <w:pPr>
        <w:pStyle w:val="25"/>
        <w:ind w:left="0" w:leftChars="0" w:firstLine="0" w:firstLineChars="0"/>
        <w:jc w:val="center"/>
        <w:rPr>
          <w:rFonts w:hint="eastAsia" w:ascii="黑体" w:hAnsi="黑体" w:eastAsia="黑体" w:cs="黑体"/>
          <w:b w:val="0"/>
          <w:bCs w:val="0"/>
          <w:highlight w:val="none"/>
          <w:lang w:val="en-US" w:eastAsia="zh-CN"/>
        </w:rPr>
      </w:pPr>
    </w:p>
    <w:p w14:paraId="79808153">
      <w:pPr>
        <w:pStyle w:val="25"/>
        <w:ind w:left="0" w:leftChars="0" w:firstLine="0" w:firstLineChars="0"/>
        <w:jc w:val="center"/>
        <w:rPr>
          <w:rFonts w:hint="eastAsia" w:ascii="黑体" w:hAnsi="黑体" w:eastAsia="黑体" w:cs="黑体"/>
          <w:b w:val="0"/>
          <w:bCs w:val="0"/>
          <w:highlight w:val="none"/>
          <w:lang w:val="en-US" w:eastAsia="zh-CN"/>
        </w:rPr>
      </w:pPr>
      <w:r>
        <w:rPr>
          <w:rFonts w:hint="eastAsia" w:ascii="黑体" w:hAnsi="黑体" w:eastAsia="黑体" w:cs="黑体"/>
          <w:b w:val="0"/>
          <w:bCs w:val="0"/>
          <w:highlight w:val="none"/>
          <w:lang w:val="en-US" w:eastAsia="zh-CN"/>
        </w:rPr>
        <w:t>表1 生态系统格局调查评价指标体系</w:t>
      </w:r>
    </w:p>
    <w:tbl>
      <w:tblPr>
        <w:tblStyle w:val="3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2012"/>
        <w:gridCol w:w="2911"/>
        <w:gridCol w:w="1599"/>
        <w:gridCol w:w="2376"/>
      </w:tblGrid>
      <w:tr w14:paraId="4A00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 w:type="pct"/>
            <w:noWrap w:val="0"/>
            <w:vAlign w:val="center"/>
          </w:tcPr>
          <w:p w14:paraId="3E5EEE0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序号</w:t>
            </w:r>
          </w:p>
        </w:tc>
        <w:tc>
          <w:tcPr>
            <w:tcW w:w="1052" w:type="pct"/>
            <w:noWrap w:val="0"/>
            <w:vAlign w:val="center"/>
          </w:tcPr>
          <w:p w14:paraId="2FE618D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二级指标</w:t>
            </w:r>
          </w:p>
        </w:tc>
        <w:tc>
          <w:tcPr>
            <w:tcW w:w="1522" w:type="pct"/>
            <w:noWrap w:val="0"/>
            <w:vAlign w:val="center"/>
          </w:tcPr>
          <w:p w14:paraId="56A7A3B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三级指标</w:t>
            </w:r>
          </w:p>
        </w:tc>
        <w:tc>
          <w:tcPr>
            <w:tcW w:w="836" w:type="pct"/>
            <w:noWrap w:val="0"/>
            <w:vAlign w:val="center"/>
          </w:tcPr>
          <w:p w14:paraId="0EB994E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指标类型</w:t>
            </w:r>
          </w:p>
        </w:tc>
        <w:tc>
          <w:tcPr>
            <w:tcW w:w="1242" w:type="pct"/>
            <w:noWrap w:val="0"/>
            <w:vAlign w:val="center"/>
          </w:tcPr>
          <w:p w14:paraId="793D122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适用生态单元</w:t>
            </w:r>
          </w:p>
        </w:tc>
      </w:tr>
      <w:tr w14:paraId="15F4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346" w:type="pct"/>
            <w:noWrap w:val="0"/>
            <w:vAlign w:val="center"/>
          </w:tcPr>
          <w:p w14:paraId="578F12A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w:t>
            </w:r>
          </w:p>
        </w:tc>
        <w:tc>
          <w:tcPr>
            <w:tcW w:w="1052" w:type="pct"/>
            <w:vMerge w:val="restart"/>
            <w:noWrap w:val="0"/>
            <w:vAlign w:val="center"/>
          </w:tcPr>
          <w:p w14:paraId="3256FC99">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生态系统构成</w:t>
            </w:r>
          </w:p>
        </w:tc>
        <w:tc>
          <w:tcPr>
            <w:tcW w:w="1522" w:type="pct"/>
            <w:noWrap w:val="0"/>
            <w:vAlign w:val="center"/>
          </w:tcPr>
          <w:p w14:paraId="35E8D8AA">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生态系统类型</w:t>
            </w:r>
          </w:p>
        </w:tc>
        <w:tc>
          <w:tcPr>
            <w:tcW w:w="836" w:type="pct"/>
            <w:noWrap w:val="0"/>
            <w:vAlign w:val="center"/>
          </w:tcPr>
          <w:p w14:paraId="48734AB9">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1242" w:type="pct"/>
            <w:noWrap w:val="0"/>
            <w:vAlign w:val="center"/>
          </w:tcPr>
          <w:p w14:paraId="6ECE46F4">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76F6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346" w:type="pct"/>
            <w:noWrap w:val="0"/>
            <w:vAlign w:val="center"/>
          </w:tcPr>
          <w:p w14:paraId="663413D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2</w:t>
            </w:r>
          </w:p>
        </w:tc>
        <w:tc>
          <w:tcPr>
            <w:tcW w:w="1052" w:type="pct"/>
            <w:vMerge w:val="continue"/>
            <w:noWrap w:val="0"/>
            <w:vAlign w:val="center"/>
          </w:tcPr>
          <w:p w14:paraId="6BF4C028">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1522" w:type="pct"/>
            <w:noWrap w:val="0"/>
            <w:vAlign w:val="center"/>
          </w:tcPr>
          <w:p w14:paraId="1F40C1A7">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生态系统面积</w:t>
            </w:r>
          </w:p>
        </w:tc>
        <w:tc>
          <w:tcPr>
            <w:tcW w:w="836" w:type="pct"/>
            <w:noWrap w:val="0"/>
            <w:vAlign w:val="center"/>
          </w:tcPr>
          <w:p w14:paraId="4BB74151">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1242" w:type="pct"/>
            <w:noWrap w:val="0"/>
            <w:vAlign w:val="center"/>
          </w:tcPr>
          <w:p w14:paraId="00EA6F5C">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08AF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346" w:type="pct"/>
            <w:noWrap w:val="0"/>
            <w:vAlign w:val="center"/>
          </w:tcPr>
          <w:p w14:paraId="2C23371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3</w:t>
            </w:r>
          </w:p>
        </w:tc>
        <w:tc>
          <w:tcPr>
            <w:tcW w:w="1052" w:type="pct"/>
            <w:vMerge w:val="continue"/>
            <w:noWrap w:val="0"/>
            <w:vAlign w:val="center"/>
          </w:tcPr>
          <w:p w14:paraId="269C9826">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1522" w:type="pct"/>
            <w:noWrap w:val="0"/>
            <w:vAlign w:val="center"/>
          </w:tcPr>
          <w:p w14:paraId="1FFA74D9">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生态系统类型构成比例</w:t>
            </w:r>
          </w:p>
        </w:tc>
        <w:tc>
          <w:tcPr>
            <w:tcW w:w="836" w:type="pct"/>
            <w:noWrap w:val="0"/>
            <w:vAlign w:val="center"/>
          </w:tcPr>
          <w:p w14:paraId="5BC7E1D7">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1242" w:type="pct"/>
            <w:noWrap w:val="0"/>
            <w:vAlign w:val="center"/>
          </w:tcPr>
          <w:p w14:paraId="35354365">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12CD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6" w:type="pct"/>
            <w:noWrap w:val="0"/>
            <w:vAlign w:val="center"/>
          </w:tcPr>
          <w:p w14:paraId="1E348F7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4</w:t>
            </w:r>
          </w:p>
        </w:tc>
        <w:tc>
          <w:tcPr>
            <w:tcW w:w="1052" w:type="pct"/>
            <w:vMerge w:val="restart"/>
            <w:noWrap w:val="0"/>
            <w:vAlign w:val="center"/>
          </w:tcPr>
          <w:p w14:paraId="1954D27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生态系统空间格局</w:t>
            </w:r>
          </w:p>
        </w:tc>
        <w:tc>
          <w:tcPr>
            <w:tcW w:w="1522" w:type="pct"/>
            <w:noWrap w:val="0"/>
            <w:vAlign w:val="center"/>
          </w:tcPr>
          <w:p w14:paraId="7A6944E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eastAsia="zh-CN"/>
              </w:rPr>
              <w:t>生境丰富度</w:t>
            </w:r>
          </w:p>
        </w:tc>
        <w:tc>
          <w:tcPr>
            <w:tcW w:w="836" w:type="pct"/>
            <w:noWrap w:val="0"/>
            <w:vAlign w:val="center"/>
          </w:tcPr>
          <w:p w14:paraId="4B4E1BB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1242" w:type="pct"/>
            <w:noWrap w:val="0"/>
            <w:vAlign w:val="center"/>
          </w:tcPr>
          <w:p w14:paraId="134B1B1B">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4EA0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6" w:type="pct"/>
            <w:noWrap w:val="0"/>
            <w:vAlign w:val="center"/>
          </w:tcPr>
          <w:p w14:paraId="2DC5E5F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5</w:t>
            </w:r>
          </w:p>
        </w:tc>
        <w:tc>
          <w:tcPr>
            <w:tcW w:w="1052" w:type="pct"/>
            <w:vMerge w:val="continue"/>
            <w:noWrap w:val="0"/>
            <w:vAlign w:val="center"/>
          </w:tcPr>
          <w:p w14:paraId="4019A5D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1522" w:type="pct"/>
            <w:noWrap w:val="0"/>
            <w:vAlign w:val="center"/>
          </w:tcPr>
          <w:p w14:paraId="58FF9BF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eastAsia="zh-CN"/>
              </w:rPr>
              <w:t>斑块数量</w:t>
            </w:r>
          </w:p>
        </w:tc>
        <w:tc>
          <w:tcPr>
            <w:tcW w:w="836" w:type="pct"/>
            <w:noWrap w:val="0"/>
            <w:vAlign w:val="center"/>
          </w:tcPr>
          <w:p w14:paraId="3906159A">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1242" w:type="pct"/>
            <w:noWrap w:val="0"/>
            <w:vAlign w:val="center"/>
          </w:tcPr>
          <w:p w14:paraId="5B9BD286">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2E41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346" w:type="pct"/>
            <w:noWrap w:val="0"/>
            <w:vAlign w:val="center"/>
          </w:tcPr>
          <w:p w14:paraId="7962D7F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val="en-US" w:eastAsia="zh-CN"/>
              </w:rPr>
              <w:t>6</w:t>
            </w:r>
          </w:p>
        </w:tc>
        <w:tc>
          <w:tcPr>
            <w:tcW w:w="1052" w:type="pct"/>
            <w:vMerge w:val="continue"/>
            <w:noWrap w:val="0"/>
            <w:vAlign w:val="center"/>
          </w:tcPr>
          <w:p w14:paraId="042C1DF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1522" w:type="pct"/>
            <w:noWrap w:val="0"/>
            <w:vAlign w:val="center"/>
          </w:tcPr>
          <w:p w14:paraId="52DC380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eastAsia="zh-CN"/>
              </w:rPr>
            </w:pPr>
            <w:r>
              <w:rPr>
                <w:rFonts w:hint="default" w:ascii="宋体" w:hAnsi="Times New Roman" w:eastAsia="宋体" w:cs="Times New Roman"/>
                <w:szCs w:val="18"/>
                <w:highlight w:val="none"/>
                <w:vertAlign w:val="baseline"/>
                <w:lang w:eastAsia="zh-CN"/>
              </w:rPr>
              <w:t>平均斑块面积</w:t>
            </w:r>
          </w:p>
        </w:tc>
        <w:tc>
          <w:tcPr>
            <w:tcW w:w="836" w:type="pct"/>
            <w:noWrap w:val="0"/>
            <w:vAlign w:val="center"/>
          </w:tcPr>
          <w:p w14:paraId="672EB65E">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1242" w:type="pct"/>
            <w:noWrap w:val="0"/>
            <w:vAlign w:val="center"/>
          </w:tcPr>
          <w:p w14:paraId="3876D87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1090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 w:type="pct"/>
            <w:noWrap w:val="0"/>
            <w:vAlign w:val="center"/>
          </w:tcPr>
          <w:p w14:paraId="763DE68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val="en-US" w:eastAsia="zh-CN"/>
              </w:rPr>
              <w:t>7</w:t>
            </w:r>
          </w:p>
        </w:tc>
        <w:tc>
          <w:tcPr>
            <w:tcW w:w="1052" w:type="pct"/>
            <w:vMerge w:val="continue"/>
            <w:noWrap w:val="0"/>
            <w:vAlign w:val="center"/>
          </w:tcPr>
          <w:p w14:paraId="15FDAD3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1522" w:type="pct"/>
            <w:noWrap w:val="0"/>
            <w:vAlign w:val="center"/>
          </w:tcPr>
          <w:p w14:paraId="3927768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eastAsia="zh-CN"/>
              </w:rPr>
            </w:pPr>
            <w:r>
              <w:rPr>
                <w:rFonts w:hint="default" w:ascii="宋体" w:hAnsi="Times New Roman" w:eastAsia="宋体" w:cs="Times New Roman"/>
                <w:szCs w:val="18"/>
                <w:highlight w:val="none"/>
                <w:vertAlign w:val="baseline"/>
                <w:lang w:eastAsia="zh-CN"/>
              </w:rPr>
              <w:t>边界密度</w:t>
            </w:r>
          </w:p>
        </w:tc>
        <w:tc>
          <w:tcPr>
            <w:tcW w:w="836" w:type="pct"/>
            <w:noWrap w:val="0"/>
            <w:vAlign w:val="center"/>
          </w:tcPr>
          <w:p w14:paraId="451A5985">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1242" w:type="pct"/>
            <w:noWrap w:val="0"/>
            <w:vAlign w:val="center"/>
          </w:tcPr>
          <w:p w14:paraId="4960CF0D">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生态保育单元</w:t>
            </w:r>
          </w:p>
        </w:tc>
      </w:tr>
      <w:tr w14:paraId="610E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 w:type="pct"/>
            <w:noWrap w:val="0"/>
            <w:vAlign w:val="center"/>
          </w:tcPr>
          <w:p w14:paraId="2482194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8</w:t>
            </w:r>
          </w:p>
        </w:tc>
        <w:tc>
          <w:tcPr>
            <w:tcW w:w="1052" w:type="pct"/>
            <w:vMerge w:val="continue"/>
            <w:noWrap w:val="0"/>
            <w:vAlign w:val="center"/>
          </w:tcPr>
          <w:p w14:paraId="736813A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1522" w:type="pct"/>
            <w:noWrap w:val="0"/>
            <w:vAlign w:val="center"/>
          </w:tcPr>
          <w:p w14:paraId="043BF05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eastAsia="zh-CN"/>
              </w:rPr>
              <w:t>生境破碎度</w:t>
            </w:r>
          </w:p>
        </w:tc>
        <w:tc>
          <w:tcPr>
            <w:tcW w:w="836" w:type="pct"/>
            <w:noWrap w:val="0"/>
            <w:vAlign w:val="center"/>
          </w:tcPr>
          <w:p w14:paraId="1D6A2B07">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1242" w:type="pct"/>
            <w:noWrap w:val="0"/>
            <w:vAlign w:val="center"/>
          </w:tcPr>
          <w:p w14:paraId="050742F1">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生态保育单元</w:t>
            </w:r>
          </w:p>
          <w:p w14:paraId="5C668DF9">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重要生态廊道单元</w:t>
            </w:r>
          </w:p>
        </w:tc>
      </w:tr>
      <w:tr w14:paraId="1337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 w:type="pct"/>
            <w:noWrap w:val="0"/>
            <w:vAlign w:val="center"/>
          </w:tcPr>
          <w:p w14:paraId="02E5B90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val="en-US" w:eastAsia="zh-CN"/>
              </w:rPr>
              <w:t>9</w:t>
            </w:r>
          </w:p>
        </w:tc>
        <w:tc>
          <w:tcPr>
            <w:tcW w:w="1052" w:type="pct"/>
            <w:vMerge w:val="restart"/>
            <w:noWrap w:val="0"/>
            <w:vAlign w:val="center"/>
          </w:tcPr>
          <w:p w14:paraId="382D24B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生态连通性</w:t>
            </w:r>
          </w:p>
        </w:tc>
        <w:tc>
          <w:tcPr>
            <w:tcW w:w="1522" w:type="pct"/>
            <w:noWrap w:val="0"/>
            <w:vAlign w:val="center"/>
          </w:tcPr>
          <w:p w14:paraId="5842F0B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eastAsia="zh-CN"/>
              </w:rPr>
            </w:pPr>
            <w:r>
              <w:rPr>
                <w:rFonts w:hint="default" w:ascii="宋体" w:hAnsi="Times New Roman" w:eastAsia="宋体" w:cs="Times New Roman"/>
                <w:szCs w:val="18"/>
                <w:highlight w:val="none"/>
                <w:vertAlign w:val="baseline"/>
                <w:lang w:eastAsia="zh-CN"/>
              </w:rPr>
              <w:t>聚</w:t>
            </w:r>
            <w:r>
              <w:rPr>
                <w:rFonts w:hint="eastAsia" w:ascii="宋体" w:hAnsi="Times New Roman" w:eastAsia="宋体" w:cs="Times New Roman"/>
                <w:szCs w:val="18"/>
                <w:highlight w:val="none"/>
                <w:vertAlign w:val="baseline"/>
                <w:lang w:eastAsia="zh-CN"/>
              </w:rPr>
              <w:t>集</w:t>
            </w:r>
            <w:r>
              <w:rPr>
                <w:rFonts w:hint="default" w:ascii="宋体" w:hAnsi="Times New Roman" w:eastAsia="宋体" w:cs="Times New Roman"/>
                <w:szCs w:val="18"/>
                <w:highlight w:val="none"/>
                <w:vertAlign w:val="baseline"/>
                <w:lang w:eastAsia="zh-CN"/>
              </w:rPr>
              <w:t>度指数</w:t>
            </w:r>
          </w:p>
        </w:tc>
        <w:tc>
          <w:tcPr>
            <w:tcW w:w="836" w:type="pct"/>
            <w:noWrap w:val="0"/>
            <w:vAlign w:val="center"/>
          </w:tcPr>
          <w:p w14:paraId="1098DCA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1242" w:type="pct"/>
            <w:noWrap w:val="0"/>
            <w:vAlign w:val="center"/>
          </w:tcPr>
          <w:p w14:paraId="702786C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5C13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 w:type="pct"/>
            <w:noWrap w:val="0"/>
            <w:vAlign w:val="center"/>
          </w:tcPr>
          <w:p w14:paraId="463B1EB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10</w:t>
            </w:r>
          </w:p>
        </w:tc>
        <w:tc>
          <w:tcPr>
            <w:tcW w:w="1052" w:type="pct"/>
            <w:vMerge w:val="continue"/>
            <w:noWrap w:val="0"/>
            <w:vAlign w:val="center"/>
          </w:tcPr>
          <w:p w14:paraId="0E3B172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1522" w:type="pct"/>
            <w:noWrap w:val="0"/>
            <w:vAlign w:val="center"/>
          </w:tcPr>
          <w:p w14:paraId="1BA5DA3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eastAsia="zh-CN"/>
              </w:rPr>
              <w:t>连接度指数</w:t>
            </w:r>
          </w:p>
        </w:tc>
        <w:tc>
          <w:tcPr>
            <w:tcW w:w="836" w:type="pct"/>
            <w:noWrap w:val="0"/>
            <w:vAlign w:val="center"/>
          </w:tcPr>
          <w:p w14:paraId="63486B5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1242" w:type="pct"/>
            <w:noWrap w:val="0"/>
            <w:vAlign w:val="center"/>
          </w:tcPr>
          <w:p w14:paraId="0AC3322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bookmarkEnd w:id="263"/>
    </w:tbl>
    <w:p w14:paraId="262D3C63">
      <w:pPr>
        <w:pStyle w:val="62"/>
        <w:rPr>
          <w:rFonts w:hint="default" w:hAnsi="Times New Roman" w:cs="Times New Roman"/>
          <w:highlight w:val="none"/>
          <w:lang w:val="en-US" w:eastAsia="zh-CN"/>
        </w:rPr>
      </w:pPr>
      <w:bookmarkStart w:id="264" w:name="_Toc15431"/>
      <w:bookmarkStart w:id="265" w:name="_Toc9914"/>
      <w:bookmarkStart w:id="266" w:name="_Toc25443"/>
      <w:bookmarkStart w:id="267" w:name="_Toc21342"/>
      <w:bookmarkStart w:id="268" w:name="_Toc11691"/>
      <w:bookmarkStart w:id="269" w:name="_Toc18448"/>
      <w:bookmarkStart w:id="270" w:name="_Toc20180"/>
      <w:r>
        <w:rPr>
          <w:rFonts w:hint="eastAsia" w:hAnsi="Times New Roman" w:cs="Times New Roman"/>
          <w:highlight w:val="none"/>
          <w:lang w:val="en-US" w:eastAsia="zh-CN"/>
        </w:rPr>
        <w:t>生态系统质量</w:t>
      </w:r>
      <w:bookmarkEnd w:id="264"/>
      <w:bookmarkEnd w:id="265"/>
      <w:bookmarkEnd w:id="266"/>
      <w:bookmarkEnd w:id="267"/>
      <w:bookmarkEnd w:id="268"/>
      <w:bookmarkEnd w:id="269"/>
      <w:bookmarkEnd w:id="270"/>
    </w:p>
    <w:p w14:paraId="486A2912">
      <w:pPr>
        <w:pStyle w:val="61"/>
        <w:spacing w:before="156" w:after="156"/>
        <w:rPr>
          <w:rFonts w:hint="eastAsia" w:ascii="黑体" w:hAnsi="Times New Roman" w:eastAsia="黑体" w:cs="Times New Roman"/>
          <w:color w:val="000000"/>
          <w:kern w:val="0"/>
          <w:sz w:val="21"/>
          <w:szCs w:val="21"/>
          <w:highlight w:val="none"/>
          <w:lang w:val="en-US" w:eastAsia="zh-CN" w:bidi="ar"/>
        </w:rPr>
      </w:pPr>
      <w:r>
        <w:rPr>
          <w:rFonts w:hint="eastAsia" w:hAnsi="Times New Roman" w:cs="Times New Roman"/>
          <w:kern w:val="0"/>
          <w:sz w:val="21"/>
          <w:szCs w:val="21"/>
          <w:highlight w:val="none"/>
          <w:lang w:val="en-US" w:eastAsia="zh-CN" w:bidi="ar"/>
        </w:rPr>
        <w:t>总</w:t>
      </w:r>
      <w:r>
        <w:rPr>
          <w:rFonts w:hint="eastAsia" w:cs="Times New Roman"/>
          <w:kern w:val="0"/>
          <w:sz w:val="21"/>
          <w:szCs w:val="21"/>
          <w:highlight w:val="none"/>
          <w:lang w:val="en-US" w:eastAsia="zh-CN" w:bidi="ar"/>
        </w:rPr>
        <w:t>体要求</w:t>
      </w:r>
    </w:p>
    <w:p w14:paraId="6CC90D9B">
      <w:pPr>
        <w:pStyle w:val="25"/>
        <w:rPr>
          <w:rFonts w:hint="default" w:ascii="宋体" w:hAnsi="Times New Roman" w:eastAsia="宋体" w:cs="Times New Roman"/>
          <w:highlight w:val="none"/>
          <w:lang w:val="en-US" w:eastAsia="zh-CN"/>
        </w:rPr>
      </w:pPr>
      <w:r>
        <w:rPr>
          <w:rFonts w:hint="eastAsia" w:hAnsi="宋体" w:cs="宋体"/>
          <w:color w:val="000000"/>
          <w:kern w:val="0"/>
          <w:sz w:val="21"/>
          <w:szCs w:val="21"/>
          <w:highlight w:val="none"/>
          <w:lang w:val="en-US" w:eastAsia="zh-CN" w:bidi="ar"/>
        </w:rPr>
        <w:t>调查评价</w:t>
      </w:r>
      <w:r>
        <w:rPr>
          <w:rFonts w:hint="eastAsia" w:ascii="宋体" w:hAnsi="宋体" w:eastAsia="宋体" w:cs="宋体"/>
          <w:color w:val="000000"/>
          <w:kern w:val="0"/>
          <w:sz w:val="21"/>
          <w:szCs w:val="21"/>
          <w:highlight w:val="none"/>
          <w:lang w:val="en-US" w:eastAsia="zh-CN" w:bidi="ar"/>
        </w:rPr>
        <w:t>生态单元内水、土、大气、</w:t>
      </w:r>
      <w:r>
        <w:rPr>
          <w:rFonts w:hint="eastAsia" w:hAnsi="宋体" w:cs="宋体"/>
          <w:color w:val="000000"/>
          <w:kern w:val="0"/>
          <w:sz w:val="21"/>
          <w:szCs w:val="21"/>
          <w:highlight w:val="none"/>
          <w:lang w:val="en-US" w:eastAsia="zh-CN" w:bidi="ar"/>
        </w:rPr>
        <w:t>生物</w:t>
      </w:r>
      <w:r>
        <w:rPr>
          <w:rFonts w:hint="eastAsia" w:ascii="宋体" w:hAnsi="宋体" w:eastAsia="宋体" w:cs="宋体"/>
          <w:color w:val="000000"/>
          <w:kern w:val="0"/>
          <w:sz w:val="21"/>
          <w:szCs w:val="21"/>
          <w:highlight w:val="none"/>
          <w:lang w:val="en-US" w:eastAsia="zh-CN" w:bidi="ar"/>
        </w:rPr>
        <w:t>等生态要素的状况</w:t>
      </w:r>
      <w:r>
        <w:rPr>
          <w:rFonts w:hint="eastAsia" w:hAnsi="宋体" w:cs="宋体"/>
          <w:color w:val="000000"/>
          <w:kern w:val="0"/>
          <w:sz w:val="21"/>
          <w:szCs w:val="21"/>
          <w:highlight w:val="none"/>
          <w:lang w:val="en-US" w:eastAsia="zh-CN" w:bidi="ar"/>
        </w:rPr>
        <w:t>，分析单元内</w:t>
      </w:r>
      <w:r>
        <w:rPr>
          <w:rFonts w:hint="eastAsia" w:ascii="宋体" w:hAnsi="Times New Roman" w:eastAsia="宋体" w:cs="Times New Roman"/>
          <w:highlight w:val="none"/>
          <w:lang w:val="en-US" w:eastAsia="zh-CN"/>
        </w:rPr>
        <w:t>生态</w:t>
      </w:r>
      <w:r>
        <w:rPr>
          <w:rFonts w:hint="eastAsia" w:cs="Times New Roman"/>
          <w:highlight w:val="none"/>
          <w:lang w:val="en-US" w:eastAsia="zh-CN"/>
        </w:rPr>
        <w:t>系统质量总体</w:t>
      </w:r>
      <w:r>
        <w:rPr>
          <w:rFonts w:hint="eastAsia" w:ascii="宋体" w:hAnsi="Times New Roman" w:eastAsia="宋体" w:cs="Times New Roman"/>
          <w:highlight w:val="none"/>
          <w:lang w:val="en-US" w:eastAsia="zh-CN"/>
        </w:rPr>
        <w:t>的优劣程度</w:t>
      </w:r>
      <w:r>
        <w:rPr>
          <w:rFonts w:hint="eastAsia" w:cs="Times New Roman"/>
          <w:highlight w:val="none"/>
          <w:lang w:val="en-US" w:eastAsia="zh-CN"/>
        </w:rPr>
        <w:t>及变化趋势</w:t>
      </w:r>
      <w:r>
        <w:rPr>
          <w:rFonts w:hint="eastAsia" w:ascii="宋体" w:hAnsi="Times New Roman" w:eastAsia="宋体" w:cs="Times New Roman"/>
          <w:highlight w:val="none"/>
          <w:lang w:val="en-US" w:eastAsia="zh-CN"/>
        </w:rPr>
        <w:t>。具体二级和三级指标见表</w:t>
      </w:r>
      <w:r>
        <w:rPr>
          <w:rFonts w:hint="eastAsia" w:cs="Times New Roman"/>
          <w:highlight w:val="none"/>
          <w:lang w:val="en-US" w:eastAsia="zh-CN"/>
        </w:rPr>
        <w:t>2</w:t>
      </w:r>
      <w:r>
        <w:rPr>
          <w:rFonts w:hint="eastAsia" w:ascii="宋体" w:hAnsi="Times New Roman" w:eastAsia="宋体" w:cs="Times New Roman"/>
          <w:highlight w:val="none"/>
          <w:lang w:val="en-US" w:eastAsia="zh-CN"/>
        </w:rPr>
        <w:t>。</w:t>
      </w:r>
    </w:p>
    <w:p w14:paraId="213E25B2">
      <w:pPr>
        <w:pStyle w:val="61"/>
        <w:spacing w:before="156" w:after="156"/>
        <w:rPr>
          <w:rFonts w:hint="eastAsia" w:hAnsi="Times New Roman" w:cs="Times New Roman"/>
          <w:highlight w:val="none"/>
          <w:lang w:val="en-US" w:eastAsia="zh-CN"/>
        </w:rPr>
      </w:pPr>
      <w:r>
        <w:rPr>
          <w:rFonts w:hint="eastAsia" w:hAnsi="Times New Roman" w:cs="Times New Roman"/>
          <w:highlight w:val="none"/>
          <w:lang w:val="en-US" w:eastAsia="zh-CN"/>
        </w:rPr>
        <w:t>水环境质量</w:t>
      </w:r>
    </w:p>
    <w:p w14:paraId="1697DE92">
      <w:pPr>
        <w:pStyle w:val="25"/>
        <w:rPr>
          <w:rFonts w:hint="eastAsia" w:hAnsi="Times New Roman" w:cs="Times New Roman"/>
          <w:color w:val="000000"/>
          <w:highlight w:val="none"/>
          <w:lang w:val="en-US" w:eastAsia="zh-CN"/>
        </w:rPr>
      </w:pPr>
      <w:r>
        <w:rPr>
          <w:rFonts w:hint="eastAsia" w:hAnsi="宋体" w:cs="宋体"/>
          <w:color w:val="000000"/>
          <w:kern w:val="0"/>
          <w:sz w:val="21"/>
          <w:szCs w:val="21"/>
          <w:highlight w:val="none"/>
          <w:lang w:val="en-US" w:eastAsia="zh-CN" w:bidi="ar"/>
        </w:rPr>
        <w:t>调查评价</w:t>
      </w:r>
      <w:r>
        <w:rPr>
          <w:rFonts w:hint="eastAsia"/>
          <w:highlight w:val="none"/>
          <w:lang w:val="en-US" w:eastAsia="zh-CN"/>
        </w:rPr>
        <w:t>单元内水环境质量情况。评价指标主要包括</w:t>
      </w:r>
      <w:r>
        <w:rPr>
          <w:rFonts w:hint="eastAsia" w:hAnsi="Times New Roman" w:cs="Times New Roman"/>
          <w:color w:val="000000"/>
          <w:highlight w:val="none"/>
          <w:lang w:val="en-US" w:eastAsia="zh-CN"/>
        </w:rPr>
        <w:t>水质指数、地下水水位、地表积水深度、河湖生态流量达标率、自然岸线保有率、河</w:t>
      </w:r>
      <w:r>
        <w:rPr>
          <w:rFonts w:hint="eastAsia" w:hAnsi="宋体" w:cs="宋体"/>
          <w:color w:val="000000"/>
          <w:szCs w:val="21"/>
          <w:highlight w:val="none"/>
          <w:lang w:val="en-US" w:eastAsia="zh-CN" w:bidi="ar"/>
        </w:rPr>
        <w:t>流纵向连通指数等。污染严重地区可</w:t>
      </w:r>
      <w:r>
        <w:rPr>
          <w:rFonts w:hint="eastAsia" w:ascii="宋体" w:hAnsi="宋体" w:eastAsia="宋体" w:cs="宋体"/>
          <w:color w:val="000000"/>
          <w:sz w:val="21"/>
          <w:szCs w:val="21"/>
          <w:highlight w:val="none"/>
          <w:lang w:val="en-US" w:eastAsia="zh-CN" w:bidi="ar"/>
        </w:rPr>
        <w:t>针对性增加重金属、硫酸盐、特定有机物等特征污染物的监测与评价。</w:t>
      </w:r>
    </w:p>
    <w:p w14:paraId="3FECD0C0">
      <w:pPr>
        <w:pStyle w:val="61"/>
        <w:spacing w:before="156" w:after="156"/>
        <w:rPr>
          <w:rFonts w:hint="eastAsia" w:hAnsi="Times New Roman" w:cs="Times New Roman"/>
          <w:highlight w:val="none"/>
          <w:lang w:val="en-US" w:eastAsia="zh-CN"/>
        </w:rPr>
      </w:pPr>
      <w:r>
        <w:rPr>
          <w:rFonts w:hint="eastAsia" w:hAnsi="Times New Roman" w:cs="Times New Roman"/>
          <w:highlight w:val="none"/>
          <w:lang w:val="en-US" w:eastAsia="zh-CN"/>
        </w:rPr>
        <w:t>大气环境质量</w:t>
      </w:r>
    </w:p>
    <w:p w14:paraId="438D6A15">
      <w:pPr>
        <w:pStyle w:val="25"/>
        <w:rPr>
          <w:rFonts w:hint="eastAsia"/>
          <w:highlight w:val="none"/>
          <w:lang w:val="en-US" w:eastAsia="zh-CN"/>
        </w:rPr>
      </w:pPr>
      <w:r>
        <w:rPr>
          <w:rFonts w:hint="eastAsia" w:hAnsi="宋体" w:cs="宋体"/>
          <w:color w:val="000000"/>
          <w:kern w:val="0"/>
          <w:sz w:val="21"/>
          <w:szCs w:val="21"/>
          <w:highlight w:val="none"/>
          <w:lang w:val="en-US" w:eastAsia="zh-CN" w:bidi="ar"/>
        </w:rPr>
        <w:t>调查评价</w:t>
      </w:r>
      <w:r>
        <w:rPr>
          <w:rFonts w:hint="eastAsia"/>
          <w:highlight w:val="none"/>
          <w:lang w:val="en-US" w:eastAsia="zh-CN"/>
        </w:rPr>
        <w:t>单元内大气环境情况。评价指标主要包括</w:t>
      </w:r>
      <w:r>
        <w:rPr>
          <w:rFonts w:hint="eastAsia" w:ascii="宋体" w:hAnsi="Times New Roman" w:eastAsia="宋体" w:cs="Times New Roman"/>
          <w:color w:val="000000"/>
          <w:highlight w:val="none"/>
          <w:lang w:val="en-US" w:eastAsia="zh-CN"/>
        </w:rPr>
        <w:t>环境空气质量指数（AQI）、</w:t>
      </w:r>
      <w:r>
        <w:rPr>
          <w:rFonts w:hint="eastAsia" w:ascii="宋体" w:hAnsi="Times New Roman" w:eastAsia="宋体" w:cs="Times New Roman"/>
          <w:highlight w:val="none"/>
          <w:vertAlign w:val="baseline"/>
          <w:lang w:val="en-US" w:eastAsia="zh-CN"/>
        </w:rPr>
        <w:t>负氧离子等。</w:t>
      </w:r>
    </w:p>
    <w:p w14:paraId="15DA9552">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土壤环境质量</w:t>
      </w:r>
    </w:p>
    <w:p w14:paraId="790E7EF7">
      <w:pPr>
        <w:pStyle w:val="25"/>
        <w:rPr>
          <w:rFonts w:hint="eastAsia" w:hAnsi="宋体" w:cs="宋体"/>
          <w:color w:val="000000"/>
          <w:szCs w:val="21"/>
          <w:highlight w:val="none"/>
          <w:lang w:val="en-US" w:eastAsia="zh-CN" w:bidi="ar"/>
        </w:rPr>
      </w:pPr>
      <w:r>
        <w:rPr>
          <w:rFonts w:hint="eastAsia" w:hAnsi="宋体" w:cs="宋体"/>
          <w:color w:val="000000"/>
          <w:szCs w:val="21"/>
          <w:highlight w:val="none"/>
          <w:lang w:val="en-US" w:eastAsia="zh-CN" w:bidi="ar"/>
        </w:rPr>
        <w:t>调查评价单元内</w:t>
      </w:r>
      <w:r>
        <w:rPr>
          <w:rFonts w:hint="eastAsia" w:ascii="宋体" w:hAnsi="宋体" w:eastAsia="宋体" w:cs="宋体"/>
          <w:color w:val="000000"/>
          <w:sz w:val="21"/>
          <w:szCs w:val="21"/>
          <w:highlight w:val="none"/>
          <w:lang w:val="en-US" w:eastAsia="zh-CN" w:bidi="ar"/>
        </w:rPr>
        <w:t>土壤的类型、厚度、质地、有机质含量、综合污染指数</w:t>
      </w:r>
      <w:r>
        <w:rPr>
          <w:rFonts w:hint="eastAsia" w:hAnsi="宋体" w:cs="宋体"/>
          <w:color w:val="000000"/>
          <w:szCs w:val="21"/>
          <w:highlight w:val="none"/>
          <w:lang w:val="en-US" w:eastAsia="zh-CN" w:bidi="ar"/>
        </w:rPr>
        <w:t>。</w:t>
      </w:r>
      <w:r>
        <w:rPr>
          <w:rFonts w:hint="eastAsia" w:ascii="宋体" w:hAnsi="宋体" w:eastAsia="宋体" w:cs="宋体"/>
          <w:color w:val="000000"/>
          <w:sz w:val="21"/>
          <w:szCs w:val="21"/>
          <w:highlight w:val="none"/>
          <w:lang w:val="en-US" w:eastAsia="zh-CN" w:bidi="ar"/>
        </w:rPr>
        <w:t>关注污染物垂向分布与迁移特征。</w:t>
      </w:r>
    </w:p>
    <w:p w14:paraId="55FB4A81">
      <w:pPr>
        <w:pStyle w:val="61"/>
        <w:spacing w:before="156" w:after="156"/>
        <w:rPr>
          <w:rFonts w:hint="default" w:hAnsi="Times New Roman" w:cs="Times New Roman"/>
          <w:highlight w:val="none"/>
          <w:lang w:val="en-US" w:eastAsia="zh-CN"/>
        </w:rPr>
      </w:pPr>
      <w:r>
        <w:rPr>
          <w:rFonts w:hint="eastAsia" w:cs="Times New Roman"/>
          <w:highlight w:val="none"/>
          <w:lang w:val="en-US" w:eastAsia="zh-CN"/>
        </w:rPr>
        <w:t>生物环境</w:t>
      </w:r>
      <w:r>
        <w:rPr>
          <w:rFonts w:hint="eastAsia" w:hAnsi="Times New Roman" w:cs="Times New Roman"/>
          <w:highlight w:val="none"/>
          <w:lang w:val="en-US" w:eastAsia="zh-CN"/>
        </w:rPr>
        <w:t>质量</w:t>
      </w:r>
    </w:p>
    <w:p w14:paraId="18668C5C">
      <w:pPr>
        <w:pStyle w:val="25"/>
        <w:ind w:left="0" w:leftChars="0" w:firstLine="420" w:firstLineChars="200"/>
        <w:jc w:val="both"/>
        <w:rPr>
          <w:rFonts w:hint="eastAsia" w:ascii="黑体" w:hAnsi="黑体" w:eastAsia="黑体" w:cs="黑体"/>
          <w:b w:val="0"/>
          <w:bCs w:val="0"/>
          <w:highlight w:val="none"/>
          <w:lang w:val="en-US" w:eastAsia="zh-CN"/>
        </w:rPr>
      </w:pPr>
      <w:r>
        <w:rPr>
          <w:rFonts w:hint="eastAsia" w:cs="Times New Roman"/>
          <w:highlight w:val="none"/>
          <w:lang w:val="en-US" w:eastAsia="zh-CN"/>
        </w:rPr>
        <w:t>调查评价</w:t>
      </w:r>
      <w:r>
        <w:rPr>
          <w:rFonts w:hint="eastAsia" w:ascii="宋体" w:hAnsi="Times New Roman" w:eastAsia="宋体" w:cs="Times New Roman"/>
          <w:highlight w:val="none"/>
          <w:lang w:val="en-US" w:eastAsia="zh-CN"/>
        </w:rPr>
        <w:t>单元内植被的垂直结构和水平结构状况，以及</w:t>
      </w:r>
      <w:r>
        <w:rPr>
          <w:rFonts w:hint="eastAsia" w:ascii="宋体" w:hAnsi="宋体" w:eastAsia="宋体" w:cs="宋体"/>
          <w:color w:val="000000"/>
          <w:kern w:val="0"/>
          <w:sz w:val="21"/>
          <w:szCs w:val="21"/>
          <w:highlight w:val="none"/>
          <w:lang w:val="en-US" w:eastAsia="zh-CN" w:bidi="ar"/>
        </w:rPr>
        <w:t>在一定时间内积累的有机质总量和固定的有机碳总量。</w:t>
      </w:r>
      <w:r>
        <w:rPr>
          <w:rFonts w:hint="eastAsia" w:hAnsi="宋体" w:eastAsia="宋体" w:cs="宋体"/>
          <w:color w:val="000000"/>
          <w:kern w:val="0"/>
          <w:sz w:val="21"/>
          <w:szCs w:val="21"/>
          <w:highlight w:val="none"/>
          <w:lang w:val="en-US" w:eastAsia="zh-CN" w:bidi="ar"/>
        </w:rPr>
        <w:t>主要指标包括</w:t>
      </w:r>
      <w:r>
        <w:rPr>
          <w:rFonts w:hint="eastAsia" w:ascii="宋体" w:hAnsi="Times New Roman" w:eastAsia="宋体" w:cs="Times New Roman"/>
          <w:highlight w:val="none"/>
          <w:vertAlign w:val="baseline"/>
          <w:lang w:val="en-US" w:eastAsia="zh-CN"/>
        </w:rPr>
        <w:t>植被覆盖度、叶面积指数、生物量、总初级生产力和森林蓄积量。</w:t>
      </w:r>
    </w:p>
    <w:p w14:paraId="3D1A12F4">
      <w:pPr>
        <w:pStyle w:val="25"/>
        <w:ind w:left="0" w:leftChars="0" w:firstLine="0" w:firstLineChars="0"/>
        <w:jc w:val="center"/>
        <w:rPr>
          <w:rFonts w:hint="default"/>
          <w:highlight w:val="none"/>
          <w:lang w:val="en-US" w:eastAsia="zh-CN"/>
        </w:rPr>
      </w:pPr>
      <w:r>
        <w:rPr>
          <w:rFonts w:hint="eastAsia" w:ascii="黑体" w:hAnsi="黑体" w:eastAsia="黑体" w:cs="黑体"/>
          <w:b w:val="0"/>
          <w:bCs w:val="0"/>
          <w:highlight w:val="none"/>
          <w:lang w:val="en-US" w:eastAsia="zh-CN"/>
        </w:rPr>
        <w:t>表2 生态系统质量调查评价指标体系</w:t>
      </w:r>
    </w:p>
    <w:tbl>
      <w:tblPr>
        <w:tblStyle w:val="3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2055"/>
        <w:gridCol w:w="3089"/>
        <w:gridCol w:w="1359"/>
        <w:gridCol w:w="2375"/>
      </w:tblGrid>
      <w:tr w14:paraId="168B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57D5EE7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序号</w:t>
            </w:r>
          </w:p>
        </w:tc>
        <w:tc>
          <w:tcPr>
            <w:tcW w:w="2055" w:type="dxa"/>
            <w:noWrap w:val="0"/>
            <w:vAlign w:val="center"/>
          </w:tcPr>
          <w:p w14:paraId="26A96FF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二级指标</w:t>
            </w:r>
          </w:p>
        </w:tc>
        <w:tc>
          <w:tcPr>
            <w:tcW w:w="3089" w:type="dxa"/>
            <w:noWrap w:val="0"/>
            <w:vAlign w:val="center"/>
          </w:tcPr>
          <w:p w14:paraId="3075625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三级指标</w:t>
            </w:r>
          </w:p>
        </w:tc>
        <w:tc>
          <w:tcPr>
            <w:tcW w:w="1359" w:type="dxa"/>
            <w:noWrap w:val="0"/>
            <w:vAlign w:val="center"/>
          </w:tcPr>
          <w:p w14:paraId="08C6BF6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指标类型</w:t>
            </w:r>
          </w:p>
        </w:tc>
        <w:tc>
          <w:tcPr>
            <w:tcW w:w="2375" w:type="dxa"/>
            <w:noWrap w:val="0"/>
            <w:vAlign w:val="center"/>
          </w:tcPr>
          <w:p w14:paraId="706C405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适用生态单元</w:t>
            </w:r>
          </w:p>
        </w:tc>
      </w:tr>
      <w:tr w14:paraId="1C9F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74A3666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w:t>
            </w:r>
          </w:p>
        </w:tc>
        <w:tc>
          <w:tcPr>
            <w:tcW w:w="2055" w:type="dxa"/>
            <w:vMerge w:val="restart"/>
            <w:noWrap w:val="0"/>
            <w:vAlign w:val="center"/>
          </w:tcPr>
          <w:p w14:paraId="1AE9B7F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水环境质量</w:t>
            </w:r>
          </w:p>
        </w:tc>
        <w:tc>
          <w:tcPr>
            <w:tcW w:w="3089" w:type="dxa"/>
            <w:noWrap w:val="0"/>
            <w:vAlign w:val="center"/>
          </w:tcPr>
          <w:p w14:paraId="1441468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hAnsi="Times New Roman" w:cs="Times New Roman"/>
                <w:color w:val="000000"/>
                <w:szCs w:val="18"/>
                <w:highlight w:val="none"/>
                <w:lang w:val="en-US" w:eastAsia="zh-CN"/>
              </w:rPr>
              <w:t>水质指数</w:t>
            </w:r>
          </w:p>
        </w:tc>
        <w:tc>
          <w:tcPr>
            <w:tcW w:w="1359" w:type="dxa"/>
            <w:noWrap w:val="0"/>
            <w:vAlign w:val="center"/>
          </w:tcPr>
          <w:p w14:paraId="17A48A1B">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375" w:type="dxa"/>
            <w:noWrap w:val="0"/>
            <w:vAlign w:val="center"/>
          </w:tcPr>
          <w:p w14:paraId="094E9664">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18CD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07E7FEA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2</w:t>
            </w:r>
          </w:p>
        </w:tc>
        <w:tc>
          <w:tcPr>
            <w:tcW w:w="2055" w:type="dxa"/>
            <w:vMerge w:val="continue"/>
            <w:noWrap w:val="0"/>
            <w:vAlign w:val="center"/>
          </w:tcPr>
          <w:p w14:paraId="1AC0A92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62EF1C2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 xml:space="preserve">地下水水位 </w:t>
            </w:r>
          </w:p>
        </w:tc>
        <w:tc>
          <w:tcPr>
            <w:tcW w:w="1359" w:type="dxa"/>
            <w:noWrap w:val="0"/>
            <w:vAlign w:val="center"/>
          </w:tcPr>
          <w:p w14:paraId="5CEF801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2375" w:type="dxa"/>
            <w:noWrap w:val="0"/>
            <w:vAlign w:val="center"/>
          </w:tcPr>
          <w:p w14:paraId="1B21E9B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182D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1191AFB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3</w:t>
            </w:r>
          </w:p>
        </w:tc>
        <w:tc>
          <w:tcPr>
            <w:tcW w:w="2055" w:type="dxa"/>
            <w:vMerge w:val="continue"/>
            <w:noWrap w:val="0"/>
            <w:vAlign w:val="center"/>
          </w:tcPr>
          <w:p w14:paraId="07275DC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11489DC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color w:val="000000"/>
                <w:szCs w:val="18"/>
                <w:highlight w:val="none"/>
                <w:lang w:val="en-US" w:eastAsia="zh-CN"/>
              </w:rPr>
              <w:t>地表积水深度</w:t>
            </w:r>
          </w:p>
        </w:tc>
        <w:tc>
          <w:tcPr>
            <w:tcW w:w="1359" w:type="dxa"/>
            <w:noWrap w:val="0"/>
            <w:vAlign w:val="center"/>
          </w:tcPr>
          <w:p w14:paraId="08A1B93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color w:val="000000"/>
                <w:szCs w:val="18"/>
                <w:highlight w:val="none"/>
                <w:lang w:val="en-US" w:eastAsia="zh-CN"/>
              </w:rPr>
              <w:t>参考性指标</w:t>
            </w:r>
          </w:p>
        </w:tc>
        <w:tc>
          <w:tcPr>
            <w:tcW w:w="2375" w:type="dxa"/>
            <w:noWrap w:val="0"/>
            <w:vAlign w:val="center"/>
          </w:tcPr>
          <w:p w14:paraId="38C3194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3298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noWrap w:val="0"/>
            <w:vAlign w:val="center"/>
          </w:tcPr>
          <w:p w14:paraId="6F11CFA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4</w:t>
            </w:r>
          </w:p>
        </w:tc>
        <w:tc>
          <w:tcPr>
            <w:tcW w:w="2055" w:type="dxa"/>
            <w:vMerge w:val="continue"/>
            <w:noWrap w:val="0"/>
            <w:vAlign w:val="center"/>
          </w:tcPr>
          <w:p w14:paraId="62B48EC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066E41B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hAnsi="Times New Roman" w:cs="Times New Roman"/>
                <w:color w:val="000000"/>
                <w:szCs w:val="18"/>
                <w:highlight w:val="none"/>
                <w:lang w:val="en-US" w:eastAsia="zh-CN"/>
              </w:rPr>
              <w:t>河湖生态流量达标率</w:t>
            </w:r>
          </w:p>
        </w:tc>
        <w:tc>
          <w:tcPr>
            <w:tcW w:w="1359" w:type="dxa"/>
            <w:noWrap w:val="0"/>
            <w:vAlign w:val="center"/>
          </w:tcPr>
          <w:p w14:paraId="55479F23">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375" w:type="dxa"/>
            <w:noWrap w:val="0"/>
            <w:vAlign w:val="center"/>
          </w:tcPr>
          <w:p w14:paraId="469065CA">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default" w:ascii="宋体" w:hAnsi="Times New Roman" w:cs="Times New Roman"/>
                <w:color w:val="000000"/>
                <w:highlight w:val="none"/>
                <w:lang w:val="en-US" w:eastAsia="zh-CN"/>
              </w:rPr>
              <w:t>河湖湿地水安全单元</w:t>
            </w:r>
          </w:p>
        </w:tc>
      </w:tr>
      <w:tr w14:paraId="183D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noWrap w:val="0"/>
            <w:vAlign w:val="center"/>
          </w:tcPr>
          <w:p w14:paraId="4AD8FFC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5</w:t>
            </w:r>
          </w:p>
        </w:tc>
        <w:tc>
          <w:tcPr>
            <w:tcW w:w="2055" w:type="dxa"/>
            <w:vMerge w:val="continue"/>
            <w:noWrap w:val="0"/>
            <w:vAlign w:val="center"/>
          </w:tcPr>
          <w:p w14:paraId="00516CE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4185393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hAnsi="Times New Roman" w:cs="Times New Roman"/>
                <w:color w:val="000000"/>
                <w:szCs w:val="18"/>
                <w:highlight w:val="none"/>
                <w:lang w:val="en-US" w:eastAsia="zh-CN"/>
              </w:rPr>
            </w:pPr>
            <w:r>
              <w:rPr>
                <w:rFonts w:hint="eastAsia" w:hAnsi="Times New Roman" w:cs="Times New Roman"/>
                <w:color w:val="000000"/>
                <w:szCs w:val="18"/>
                <w:highlight w:val="none"/>
                <w:lang w:val="en-US" w:eastAsia="zh-CN"/>
              </w:rPr>
              <w:t>自然岸线保有率</w:t>
            </w:r>
          </w:p>
        </w:tc>
        <w:tc>
          <w:tcPr>
            <w:tcW w:w="1359" w:type="dxa"/>
            <w:noWrap w:val="0"/>
            <w:vAlign w:val="center"/>
          </w:tcPr>
          <w:p w14:paraId="254AE420">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375" w:type="dxa"/>
            <w:noWrap w:val="0"/>
            <w:vAlign w:val="center"/>
          </w:tcPr>
          <w:p w14:paraId="7DDF0D44">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cs="Times New Roman"/>
                <w:color w:val="000000"/>
                <w:highlight w:val="none"/>
                <w:lang w:val="en-US" w:eastAsia="zh-CN"/>
              </w:rPr>
            </w:pPr>
            <w:r>
              <w:rPr>
                <w:rFonts w:hint="default" w:ascii="宋体" w:hAnsi="Times New Roman" w:cs="Times New Roman"/>
                <w:color w:val="000000"/>
                <w:highlight w:val="none"/>
                <w:lang w:val="en-US" w:eastAsia="zh-CN"/>
              </w:rPr>
              <w:t>河湖湿地水安全单元</w:t>
            </w:r>
          </w:p>
          <w:p w14:paraId="273B5514">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cs="Times New Roman"/>
                <w:color w:val="000000"/>
                <w:highlight w:val="none"/>
                <w:lang w:val="en-US" w:eastAsia="zh-CN"/>
              </w:rPr>
            </w:pPr>
            <w:r>
              <w:rPr>
                <w:rFonts w:hint="eastAsia" w:ascii="宋体" w:hAnsi="Times New Roman" w:eastAsia="宋体" w:cs="Times New Roman"/>
                <w:highlight w:val="none"/>
                <w:vertAlign w:val="baseline"/>
                <w:lang w:val="en-US" w:eastAsia="zh-CN"/>
              </w:rPr>
              <w:t>重要生态廊道单元</w:t>
            </w:r>
          </w:p>
        </w:tc>
      </w:tr>
      <w:tr w14:paraId="5D03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82" w:type="dxa"/>
            <w:noWrap w:val="0"/>
            <w:vAlign w:val="center"/>
          </w:tcPr>
          <w:p w14:paraId="63112CE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6</w:t>
            </w:r>
          </w:p>
        </w:tc>
        <w:tc>
          <w:tcPr>
            <w:tcW w:w="2055" w:type="dxa"/>
            <w:vMerge w:val="continue"/>
            <w:noWrap w:val="0"/>
            <w:vAlign w:val="center"/>
          </w:tcPr>
          <w:p w14:paraId="1559580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0D02344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河流纵向连通指数</w:t>
            </w:r>
          </w:p>
        </w:tc>
        <w:tc>
          <w:tcPr>
            <w:tcW w:w="1359" w:type="dxa"/>
            <w:noWrap w:val="0"/>
            <w:vAlign w:val="center"/>
          </w:tcPr>
          <w:p w14:paraId="3535E08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参考性指标</w:t>
            </w:r>
          </w:p>
        </w:tc>
        <w:tc>
          <w:tcPr>
            <w:tcW w:w="2375" w:type="dxa"/>
            <w:noWrap w:val="0"/>
            <w:vAlign w:val="center"/>
          </w:tcPr>
          <w:p w14:paraId="1DFD637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color w:val="000000"/>
                <w:szCs w:val="18"/>
                <w:highlight w:val="none"/>
                <w:lang w:val="en-US" w:eastAsia="zh-CN"/>
              </w:rPr>
            </w:pPr>
            <w:r>
              <w:rPr>
                <w:rFonts w:hint="default" w:hAnsi="Times New Roman" w:cs="Times New Roman"/>
                <w:color w:val="000000"/>
                <w:szCs w:val="18"/>
                <w:highlight w:val="none"/>
                <w:lang w:val="en-US" w:eastAsia="zh-CN"/>
              </w:rPr>
              <w:t>河湖湿地水安全单元</w:t>
            </w:r>
          </w:p>
          <w:p w14:paraId="5B860D3A">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cs="Times New Roman"/>
                <w:color w:val="000000"/>
                <w:highlight w:val="none"/>
                <w:lang w:val="en-US" w:eastAsia="zh-CN"/>
              </w:rPr>
            </w:pPr>
            <w:r>
              <w:rPr>
                <w:rFonts w:hint="eastAsia" w:ascii="宋体" w:hAnsi="Times New Roman" w:eastAsia="宋体" w:cs="Times New Roman"/>
                <w:highlight w:val="none"/>
                <w:vertAlign w:val="baseline"/>
                <w:lang w:val="en-US" w:eastAsia="zh-CN"/>
              </w:rPr>
              <w:t>重要生态廊道单元</w:t>
            </w:r>
          </w:p>
        </w:tc>
      </w:tr>
      <w:tr w14:paraId="0490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3B78214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7</w:t>
            </w:r>
          </w:p>
        </w:tc>
        <w:tc>
          <w:tcPr>
            <w:tcW w:w="2055" w:type="dxa"/>
            <w:vMerge w:val="restart"/>
            <w:noWrap w:val="0"/>
            <w:vAlign w:val="center"/>
          </w:tcPr>
          <w:p w14:paraId="4ECD697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大气环境质量</w:t>
            </w:r>
          </w:p>
        </w:tc>
        <w:tc>
          <w:tcPr>
            <w:tcW w:w="3089" w:type="dxa"/>
            <w:noWrap w:val="0"/>
            <w:vAlign w:val="center"/>
          </w:tcPr>
          <w:p w14:paraId="1E84A73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color w:val="000000"/>
                <w:szCs w:val="18"/>
                <w:highlight w:val="none"/>
                <w:lang w:val="en-US" w:eastAsia="zh-CN"/>
              </w:rPr>
            </w:pPr>
            <w:r>
              <w:rPr>
                <w:rFonts w:hint="eastAsia" w:ascii="宋体" w:hAnsi="Times New Roman" w:eastAsia="宋体" w:cs="Times New Roman"/>
                <w:color w:val="000000"/>
                <w:szCs w:val="18"/>
                <w:highlight w:val="none"/>
                <w:lang w:val="en-US" w:eastAsia="zh-CN"/>
              </w:rPr>
              <w:t>环境空气质量指数（AQI）</w:t>
            </w:r>
          </w:p>
        </w:tc>
        <w:tc>
          <w:tcPr>
            <w:tcW w:w="1359" w:type="dxa"/>
            <w:noWrap w:val="0"/>
            <w:vAlign w:val="center"/>
          </w:tcPr>
          <w:p w14:paraId="69D1997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color w:val="000000"/>
                <w:szCs w:val="18"/>
                <w:highlight w:val="none"/>
                <w:lang w:val="en-US" w:eastAsia="zh-CN"/>
              </w:rPr>
            </w:pPr>
            <w:r>
              <w:rPr>
                <w:rFonts w:hint="eastAsia" w:ascii="宋体" w:hAnsi="Times New Roman" w:eastAsia="宋体" w:cs="Times New Roman"/>
                <w:color w:val="000000"/>
                <w:szCs w:val="18"/>
                <w:highlight w:val="none"/>
                <w:lang w:val="en-US" w:eastAsia="zh-CN"/>
              </w:rPr>
              <w:t>约束性指标</w:t>
            </w:r>
          </w:p>
        </w:tc>
        <w:tc>
          <w:tcPr>
            <w:tcW w:w="2375" w:type="dxa"/>
            <w:noWrap w:val="0"/>
            <w:vAlign w:val="center"/>
          </w:tcPr>
          <w:p w14:paraId="774DB62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color w:val="000000"/>
                <w:szCs w:val="18"/>
                <w:highlight w:val="none"/>
                <w:lang w:val="en-US" w:eastAsia="zh-CN"/>
              </w:rPr>
            </w:pPr>
            <w:r>
              <w:rPr>
                <w:rFonts w:hint="eastAsia" w:ascii="宋体" w:hAnsi="Times New Roman" w:eastAsia="宋体" w:cs="Times New Roman"/>
                <w:color w:val="000000"/>
                <w:szCs w:val="18"/>
                <w:highlight w:val="none"/>
                <w:lang w:val="en-US" w:eastAsia="zh-CN"/>
              </w:rPr>
              <w:t>共同适用</w:t>
            </w:r>
          </w:p>
        </w:tc>
      </w:tr>
      <w:tr w14:paraId="212D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4442EF3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8</w:t>
            </w:r>
          </w:p>
        </w:tc>
        <w:tc>
          <w:tcPr>
            <w:tcW w:w="2055" w:type="dxa"/>
            <w:vMerge w:val="continue"/>
            <w:noWrap w:val="0"/>
            <w:vAlign w:val="center"/>
          </w:tcPr>
          <w:p w14:paraId="33A512D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76ADD7FB">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负氧离子</w:t>
            </w:r>
          </w:p>
        </w:tc>
        <w:tc>
          <w:tcPr>
            <w:tcW w:w="1359" w:type="dxa"/>
            <w:noWrap w:val="0"/>
            <w:vAlign w:val="center"/>
          </w:tcPr>
          <w:p w14:paraId="3907B844">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375" w:type="dxa"/>
            <w:noWrap w:val="0"/>
            <w:vAlign w:val="center"/>
          </w:tcPr>
          <w:p w14:paraId="7EF55705">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生态保育单元</w:t>
            </w:r>
          </w:p>
          <w:p w14:paraId="1CD834ED">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重要生态廊道单元</w:t>
            </w:r>
          </w:p>
          <w:p w14:paraId="65BB283E">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生态游憩单元</w:t>
            </w:r>
          </w:p>
        </w:tc>
      </w:tr>
      <w:tr w14:paraId="6C25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82" w:type="dxa"/>
            <w:noWrap w:val="0"/>
            <w:vAlign w:val="center"/>
          </w:tcPr>
          <w:p w14:paraId="0494695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9</w:t>
            </w:r>
          </w:p>
        </w:tc>
        <w:tc>
          <w:tcPr>
            <w:tcW w:w="2055" w:type="dxa"/>
            <w:vMerge w:val="restart"/>
            <w:noWrap w:val="0"/>
            <w:vAlign w:val="center"/>
          </w:tcPr>
          <w:p w14:paraId="35E0ABE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土壤环境质量</w:t>
            </w:r>
          </w:p>
        </w:tc>
        <w:tc>
          <w:tcPr>
            <w:tcW w:w="3089" w:type="dxa"/>
            <w:noWrap w:val="0"/>
            <w:vAlign w:val="center"/>
          </w:tcPr>
          <w:p w14:paraId="36A5B03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土壤类型</w:t>
            </w:r>
          </w:p>
        </w:tc>
        <w:tc>
          <w:tcPr>
            <w:tcW w:w="1359" w:type="dxa"/>
            <w:noWrap w:val="0"/>
            <w:vAlign w:val="center"/>
          </w:tcPr>
          <w:p w14:paraId="30EF0B94">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375" w:type="dxa"/>
            <w:noWrap w:val="0"/>
            <w:vAlign w:val="center"/>
          </w:tcPr>
          <w:p w14:paraId="12DABA78">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50EE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noWrap w:val="0"/>
            <w:vAlign w:val="center"/>
          </w:tcPr>
          <w:p w14:paraId="73F9313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10</w:t>
            </w:r>
          </w:p>
        </w:tc>
        <w:tc>
          <w:tcPr>
            <w:tcW w:w="2055" w:type="dxa"/>
            <w:vMerge w:val="continue"/>
            <w:noWrap w:val="0"/>
            <w:vAlign w:val="center"/>
          </w:tcPr>
          <w:p w14:paraId="6835DB1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367087B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土壤综合污染指数</w:t>
            </w:r>
          </w:p>
        </w:tc>
        <w:tc>
          <w:tcPr>
            <w:tcW w:w="1359" w:type="dxa"/>
            <w:noWrap w:val="0"/>
            <w:vAlign w:val="center"/>
          </w:tcPr>
          <w:p w14:paraId="7331D291">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375" w:type="dxa"/>
            <w:noWrap w:val="0"/>
            <w:vAlign w:val="center"/>
          </w:tcPr>
          <w:p w14:paraId="3240949B">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142F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7C3B04C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11</w:t>
            </w:r>
          </w:p>
        </w:tc>
        <w:tc>
          <w:tcPr>
            <w:tcW w:w="2055" w:type="dxa"/>
            <w:vMerge w:val="continue"/>
            <w:noWrap w:val="0"/>
            <w:vAlign w:val="center"/>
          </w:tcPr>
          <w:p w14:paraId="26321E0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0E33974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土壤厚度</w:t>
            </w:r>
          </w:p>
        </w:tc>
        <w:tc>
          <w:tcPr>
            <w:tcW w:w="1359" w:type="dxa"/>
            <w:noWrap w:val="0"/>
            <w:vAlign w:val="center"/>
          </w:tcPr>
          <w:p w14:paraId="716537A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参考性指标</w:t>
            </w:r>
          </w:p>
        </w:tc>
        <w:tc>
          <w:tcPr>
            <w:tcW w:w="2375" w:type="dxa"/>
            <w:noWrap w:val="0"/>
            <w:vAlign w:val="center"/>
          </w:tcPr>
          <w:p w14:paraId="1FDA835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1E1C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0C2E8C5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12</w:t>
            </w:r>
          </w:p>
        </w:tc>
        <w:tc>
          <w:tcPr>
            <w:tcW w:w="2055" w:type="dxa"/>
            <w:vMerge w:val="continue"/>
            <w:noWrap w:val="0"/>
            <w:vAlign w:val="center"/>
          </w:tcPr>
          <w:p w14:paraId="1CD1FE5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36CFDB7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土壤质地</w:t>
            </w:r>
          </w:p>
        </w:tc>
        <w:tc>
          <w:tcPr>
            <w:tcW w:w="1359" w:type="dxa"/>
            <w:noWrap w:val="0"/>
            <w:vAlign w:val="center"/>
          </w:tcPr>
          <w:p w14:paraId="0A20D79A">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375" w:type="dxa"/>
            <w:noWrap w:val="0"/>
            <w:vAlign w:val="center"/>
          </w:tcPr>
          <w:p w14:paraId="24CB1E61">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1569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6B21A7D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13</w:t>
            </w:r>
          </w:p>
        </w:tc>
        <w:tc>
          <w:tcPr>
            <w:tcW w:w="2055" w:type="dxa"/>
            <w:vMerge w:val="continue"/>
            <w:noWrap w:val="0"/>
            <w:vAlign w:val="center"/>
          </w:tcPr>
          <w:p w14:paraId="735FDF8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24439E8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土壤有机质含量</w:t>
            </w:r>
          </w:p>
        </w:tc>
        <w:tc>
          <w:tcPr>
            <w:tcW w:w="1359" w:type="dxa"/>
            <w:noWrap w:val="0"/>
            <w:vAlign w:val="center"/>
          </w:tcPr>
          <w:p w14:paraId="2DAC1C04">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375" w:type="dxa"/>
            <w:noWrap w:val="0"/>
            <w:vAlign w:val="center"/>
          </w:tcPr>
          <w:p w14:paraId="116DBC02">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2D5A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630C57E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14</w:t>
            </w:r>
          </w:p>
        </w:tc>
        <w:tc>
          <w:tcPr>
            <w:tcW w:w="2055" w:type="dxa"/>
            <w:vMerge w:val="restart"/>
            <w:noWrap w:val="0"/>
            <w:vAlign w:val="center"/>
          </w:tcPr>
          <w:p w14:paraId="07603CC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生物环境</w:t>
            </w:r>
            <w:r>
              <w:rPr>
                <w:rFonts w:hint="eastAsia" w:ascii="宋体" w:hAnsi="Times New Roman" w:eastAsia="宋体" w:cs="Times New Roman"/>
                <w:szCs w:val="18"/>
                <w:highlight w:val="none"/>
                <w:vertAlign w:val="baseline"/>
                <w:lang w:val="en-US" w:eastAsia="zh-CN"/>
              </w:rPr>
              <w:t>质量</w:t>
            </w:r>
          </w:p>
        </w:tc>
        <w:tc>
          <w:tcPr>
            <w:tcW w:w="3089" w:type="dxa"/>
            <w:noWrap w:val="0"/>
            <w:vAlign w:val="center"/>
          </w:tcPr>
          <w:p w14:paraId="769C924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生境不可替代性指数</w:t>
            </w:r>
          </w:p>
        </w:tc>
        <w:tc>
          <w:tcPr>
            <w:tcW w:w="1359" w:type="dxa"/>
            <w:noWrap w:val="0"/>
            <w:vAlign w:val="center"/>
          </w:tcPr>
          <w:p w14:paraId="60F79AAF">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375" w:type="dxa"/>
            <w:noWrap w:val="0"/>
            <w:vAlign w:val="center"/>
          </w:tcPr>
          <w:p w14:paraId="7E04EF03">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79CC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29011C0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15</w:t>
            </w:r>
          </w:p>
        </w:tc>
        <w:tc>
          <w:tcPr>
            <w:tcW w:w="2055" w:type="dxa"/>
            <w:vMerge w:val="continue"/>
            <w:noWrap w:val="0"/>
            <w:vAlign w:val="center"/>
          </w:tcPr>
          <w:p w14:paraId="23B2EAC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5705E9A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物种丰富度</w:t>
            </w:r>
          </w:p>
        </w:tc>
        <w:tc>
          <w:tcPr>
            <w:tcW w:w="1359" w:type="dxa"/>
            <w:noWrap w:val="0"/>
            <w:vAlign w:val="center"/>
          </w:tcPr>
          <w:p w14:paraId="5820DB0D">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375" w:type="dxa"/>
            <w:noWrap w:val="0"/>
            <w:vAlign w:val="center"/>
          </w:tcPr>
          <w:p w14:paraId="2C11AE4C">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2AF4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04ED73C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16</w:t>
            </w:r>
          </w:p>
        </w:tc>
        <w:tc>
          <w:tcPr>
            <w:tcW w:w="2055" w:type="dxa"/>
            <w:vMerge w:val="continue"/>
            <w:noWrap w:val="0"/>
            <w:vAlign w:val="center"/>
          </w:tcPr>
          <w:p w14:paraId="05F5FE5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1DDAC5B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植被覆盖度</w:t>
            </w:r>
          </w:p>
        </w:tc>
        <w:tc>
          <w:tcPr>
            <w:tcW w:w="1359" w:type="dxa"/>
            <w:noWrap w:val="0"/>
            <w:vAlign w:val="center"/>
          </w:tcPr>
          <w:p w14:paraId="2B5D025A">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375" w:type="dxa"/>
            <w:noWrap w:val="0"/>
            <w:vAlign w:val="center"/>
          </w:tcPr>
          <w:p w14:paraId="6BACEBC4">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5A4E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noWrap w:val="0"/>
            <w:vAlign w:val="center"/>
          </w:tcPr>
          <w:p w14:paraId="0C51E15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17</w:t>
            </w:r>
          </w:p>
        </w:tc>
        <w:tc>
          <w:tcPr>
            <w:tcW w:w="2055" w:type="dxa"/>
            <w:vMerge w:val="continue"/>
            <w:noWrap w:val="0"/>
            <w:vAlign w:val="center"/>
          </w:tcPr>
          <w:p w14:paraId="728A7B7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48E73F1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叶面积指数</w:t>
            </w:r>
          </w:p>
        </w:tc>
        <w:tc>
          <w:tcPr>
            <w:tcW w:w="1359" w:type="dxa"/>
            <w:noWrap w:val="0"/>
            <w:vAlign w:val="center"/>
          </w:tcPr>
          <w:p w14:paraId="40169418">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375" w:type="dxa"/>
            <w:noWrap w:val="0"/>
            <w:vAlign w:val="center"/>
          </w:tcPr>
          <w:p w14:paraId="5A5F0885">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5083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noWrap w:val="0"/>
            <w:vAlign w:val="center"/>
          </w:tcPr>
          <w:p w14:paraId="1660AC3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18</w:t>
            </w:r>
          </w:p>
        </w:tc>
        <w:tc>
          <w:tcPr>
            <w:tcW w:w="2055" w:type="dxa"/>
            <w:vMerge w:val="continue"/>
            <w:noWrap w:val="0"/>
            <w:vAlign w:val="center"/>
          </w:tcPr>
          <w:p w14:paraId="6FFD2BE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3B1AAFA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生物量</w:t>
            </w:r>
          </w:p>
        </w:tc>
        <w:tc>
          <w:tcPr>
            <w:tcW w:w="1359" w:type="dxa"/>
            <w:noWrap w:val="0"/>
            <w:vAlign w:val="center"/>
          </w:tcPr>
          <w:p w14:paraId="6B26D9DC">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375" w:type="dxa"/>
            <w:noWrap w:val="0"/>
            <w:vAlign w:val="center"/>
          </w:tcPr>
          <w:p w14:paraId="08B05126">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生态保育单元</w:t>
            </w:r>
          </w:p>
          <w:p w14:paraId="064B1BF3">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重要生态廊道单元</w:t>
            </w:r>
          </w:p>
        </w:tc>
      </w:tr>
      <w:tr w14:paraId="79F1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noWrap w:val="0"/>
            <w:vAlign w:val="center"/>
          </w:tcPr>
          <w:p w14:paraId="3BC8E18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19</w:t>
            </w:r>
          </w:p>
        </w:tc>
        <w:tc>
          <w:tcPr>
            <w:tcW w:w="2055" w:type="dxa"/>
            <w:vMerge w:val="continue"/>
            <w:noWrap w:val="0"/>
            <w:vAlign w:val="center"/>
          </w:tcPr>
          <w:p w14:paraId="475A0FA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2A1115E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总初级生产力</w:t>
            </w:r>
          </w:p>
        </w:tc>
        <w:tc>
          <w:tcPr>
            <w:tcW w:w="1359" w:type="dxa"/>
            <w:noWrap w:val="0"/>
            <w:vAlign w:val="center"/>
          </w:tcPr>
          <w:p w14:paraId="0A842E12">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375" w:type="dxa"/>
            <w:noWrap w:val="0"/>
            <w:vAlign w:val="center"/>
          </w:tcPr>
          <w:p w14:paraId="1467E7A6">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生态保育单元</w:t>
            </w:r>
          </w:p>
          <w:p w14:paraId="112A100A">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重要生态廊道单元</w:t>
            </w:r>
          </w:p>
        </w:tc>
      </w:tr>
      <w:tr w14:paraId="1C6E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noWrap w:val="0"/>
            <w:vAlign w:val="center"/>
          </w:tcPr>
          <w:p w14:paraId="28E87DD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20</w:t>
            </w:r>
          </w:p>
        </w:tc>
        <w:tc>
          <w:tcPr>
            <w:tcW w:w="2055" w:type="dxa"/>
            <w:vMerge w:val="continue"/>
            <w:noWrap w:val="0"/>
            <w:vAlign w:val="center"/>
          </w:tcPr>
          <w:p w14:paraId="7336253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3089" w:type="dxa"/>
            <w:noWrap w:val="0"/>
            <w:vAlign w:val="center"/>
          </w:tcPr>
          <w:p w14:paraId="59263B8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森林蓄积量</w:t>
            </w:r>
          </w:p>
        </w:tc>
        <w:tc>
          <w:tcPr>
            <w:tcW w:w="1359" w:type="dxa"/>
            <w:noWrap w:val="0"/>
            <w:vAlign w:val="center"/>
          </w:tcPr>
          <w:p w14:paraId="5C4776BC">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375" w:type="dxa"/>
            <w:noWrap w:val="0"/>
            <w:vAlign w:val="center"/>
          </w:tcPr>
          <w:p w14:paraId="2DAC0ED5">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生态保育单元</w:t>
            </w:r>
          </w:p>
          <w:p w14:paraId="34F9557F">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重要生态廊道单元</w:t>
            </w:r>
          </w:p>
        </w:tc>
      </w:tr>
    </w:tbl>
    <w:p w14:paraId="1F16467E">
      <w:pPr>
        <w:pStyle w:val="62"/>
        <w:rPr>
          <w:rFonts w:hint="default" w:hAnsi="Times New Roman" w:cs="Times New Roman"/>
          <w:highlight w:val="none"/>
          <w:lang w:val="en-US" w:eastAsia="zh-CN"/>
        </w:rPr>
      </w:pPr>
      <w:bookmarkStart w:id="271" w:name="_Toc2068"/>
      <w:bookmarkStart w:id="272" w:name="_Toc4082"/>
      <w:bookmarkStart w:id="273" w:name="_Toc5878"/>
      <w:bookmarkStart w:id="274" w:name="_Toc9113"/>
      <w:bookmarkStart w:id="275" w:name="_Toc7032"/>
      <w:bookmarkStart w:id="276" w:name="_Toc8786"/>
      <w:bookmarkStart w:id="277" w:name="_Toc21389"/>
      <w:r>
        <w:rPr>
          <w:rFonts w:hint="eastAsia" w:hAnsi="Times New Roman" w:cs="Times New Roman"/>
          <w:highlight w:val="none"/>
          <w:lang w:val="en-US" w:eastAsia="zh-CN"/>
        </w:rPr>
        <w:t>生态系统服务</w:t>
      </w:r>
      <w:bookmarkEnd w:id="271"/>
      <w:bookmarkEnd w:id="272"/>
      <w:bookmarkEnd w:id="273"/>
      <w:bookmarkEnd w:id="274"/>
      <w:bookmarkEnd w:id="275"/>
      <w:bookmarkEnd w:id="276"/>
      <w:bookmarkEnd w:id="277"/>
    </w:p>
    <w:p w14:paraId="02E0274E">
      <w:pPr>
        <w:pStyle w:val="61"/>
        <w:spacing w:before="156" w:after="156"/>
        <w:ind w:left="0" w:leftChars="0" w:firstLineChars="0"/>
        <w:jc w:val="left"/>
        <w:rPr>
          <w:rFonts w:hint="eastAsia" w:ascii="黑体" w:hAnsi="Times New Roman" w:eastAsia="黑体" w:cs="Times New Roman"/>
          <w:highlight w:val="none"/>
          <w:lang w:val="en-US" w:eastAsia="zh-CN"/>
        </w:rPr>
      </w:pPr>
      <w:r>
        <w:rPr>
          <w:rFonts w:hint="eastAsia" w:hAnsi="Times New Roman" w:cs="Times New Roman"/>
          <w:highlight w:val="none"/>
          <w:lang w:val="en-US" w:eastAsia="zh-CN"/>
        </w:rPr>
        <w:t>总体要求</w:t>
      </w:r>
    </w:p>
    <w:p w14:paraId="4A3AD15C">
      <w:pPr>
        <w:pStyle w:val="25"/>
        <w:ind w:left="0" w:leftChars="0" w:firstLine="420" w:firstLineChars="200"/>
        <w:jc w:val="both"/>
        <w:rPr>
          <w:rFonts w:hint="eastAsia" w:ascii="宋体" w:hAnsi="Times New Roman" w:eastAsia="宋体" w:cs="Times New Roman"/>
          <w:highlight w:val="none"/>
          <w:lang w:val="en-US" w:eastAsia="zh-CN"/>
        </w:rPr>
      </w:pPr>
      <w:r>
        <w:rPr>
          <w:rFonts w:hint="eastAsia" w:cs="Times New Roman"/>
          <w:highlight w:val="none"/>
          <w:lang w:val="en-US" w:eastAsia="zh-CN"/>
        </w:rPr>
        <w:t>生态系统服务</w:t>
      </w:r>
      <w:r>
        <w:rPr>
          <w:rFonts w:hint="eastAsia" w:ascii="宋体" w:hAnsi="Times New Roman" w:eastAsia="宋体" w:cs="Times New Roman"/>
          <w:highlight w:val="none"/>
          <w:lang w:val="en-US" w:eastAsia="zh-CN"/>
        </w:rPr>
        <w:t>调查评价</w:t>
      </w:r>
      <w:r>
        <w:rPr>
          <w:rFonts w:hint="eastAsia" w:cs="Times New Roman"/>
          <w:highlight w:val="none"/>
          <w:lang w:val="en-US" w:eastAsia="zh-CN"/>
        </w:rPr>
        <w:t>主要考虑</w:t>
      </w:r>
      <w:r>
        <w:rPr>
          <w:rFonts w:hint="eastAsia" w:ascii="宋体" w:hAnsi="Times New Roman" w:eastAsia="宋体" w:cs="Times New Roman"/>
          <w:highlight w:val="none"/>
          <w:lang w:val="en-US" w:eastAsia="zh-CN"/>
        </w:rPr>
        <w:t>生态单元为人类提供的防风固沙、土壤保持、水源涵养、生物多样性维护等方面的功能。具体二级和三级指标见表</w:t>
      </w:r>
      <w:r>
        <w:rPr>
          <w:rFonts w:hint="eastAsia" w:cs="Times New Roman"/>
          <w:highlight w:val="none"/>
          <w:lang w:val="en-US" w:eastAsia="zh-CN"/>
        </w:rPr>
        <w:t>3</w:t>
      </w:r>
      <w:r>
        <w:rPr>
          <w:rFonts w:hint="eastAsia" w:ascii="宋体" w:hAnsi="Times New Roman" w:eastAsia="宋体" w:cs="Times New Roman"/>
          <w:highlight w:val="none"/>
          <w:lang w:val="en-US" w:eastAsia="zh-CN"/>
        </w:rPr>
        <w:t>。</w:t>
      </w:r>
    </w:p>
    <w:p w14:paraId="191714BB">
      <w:pPr>
        <w:pStyle w:val="61"/>
        <w:spacing w:before="156" w:after="156"/>
        <w:rPr>
          <w:rFonts w:hint="eastAsia" w:hAnsi="Times New Roman" w:cs="Times New Roman"/>
          <w:highlight w:val="none"/>
          <w:lang w:val="en-US" w:eastAsia="zh-CN"/>
        </w:rPr>
      </w:pPr>
      <w:r>
        <w:rPr>
          <w:rFonts w:hint="eastAsia" w:hAnsi="Times New Roman" w:cs="Times New Roman"/>
          <w:highlight w:val="none"/>
          <w:lang w:val="en-US" w:eastAsia="zh-CN"/>
        </w:rPr>
        <w:t>水源涵养能力</w:t>
      </w:r>
    </w:p>
    <w:p w14:paraId="3EE63B98">
      <w:pPr>
        <w:keepNext w:val="0"/>
        <w:keepLines w:val="0"/>
        <w:widowControl/>
        <w:suppressLineNumbers w:val="0"/>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调查评价</w:t>
      </w:r>
      <w:r>
        <w:rPr>
          <w:rFonts w:hint="eastAsia" w:ascii="宋体" w:hAnsi="宋体" w:eastAsia="宋体" w:cs="宋体"/>
          <w:color w:val="000000"/>
          <w:kern w:val="0"/>
          <w:sz w:val="21"/>
          <w:szCs w:val="21"/>
          <w:highlight w:val="none"/>
          <w:lang w:val="en-US" w:eastAsia="zh-CN" w:bidi="ar"/>
        </w:rPr>
        <w:t>生态结构和过程拦截滞蓄降水</w:t>
      </w:r>
      <w:r>
        <w:rPr>
          <w:rFonts w:hint="eastAsia" w:ascii="宋体" w:hAnsi="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val="en-US" w:eastAsia="zh-CN" w:bidi="ar"/>
        </w:rPr>
        <w:t>增强土壤下渗</w:t>
      </w:r>
      <w:r>
        <w:rPr>
          <w:rFonts w:hint="eastAsia" w:ascii="宋体" w:hAnsi="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val="en-US" w:eastAsia="zh-CN" w:bidi="ar"/>
        </w:rPr>
        <w:t>涵养土壤水分和补充地下水</w:t>
      </w:r>
      <w:r>
        <w:rPr>
          <w:rFonts w:hint="eastAsia" w:ascii="宋体" w:hAnsi="宋体" w:cs="宋体"/>
          <w:color w:val="000000"/>
          <w:kern w:val="0"/>
          <w:sz w:val="21"/>
          <w:szCs w:val="21"/>
          <w:highlight w:val="none"/>
          <w:lang w:val="en-US" w:eastAsia="zh-CN" w:bidi="ar"/>
        </w:rPr>
        <w:t>等方面的</w:t>
      </w:r>
      <w:r>
        <w:rPr>
          <w:rFonts w:hint="eastAsia" w:ascii="宋体" w:hAnsi="宋体" w:eastAsia="宋体" w:cs="宋体"/>
          <w:color w:val="000000"/>
          <w:kern w:val="0"/>
          <w:sz w:val="21"/>
          <w:szCs w:val="21"/>
          <w:highlight w:val="none"/>
          <w:lang w:val="en-US" w:eastAsia="zh-CN" w:bidi="ar"/>
        </w:rPr>
        <w:t>功能。主要指标包括</w:t>
      </w:r>
      <w:r>
        <w:rPr>
          <w:rFonts w:hint="eastAsia" w:ascii="宋体" w:hAnsi="Times New Roman" w:eastAsia="宋体" w:cs="Times New Roman"/>
          <w:highlight w:val="none"/>
          <w:vertAlign w:val="baseline"/>
          <w:lang w:val="en-US" w:eastAsia="zh-CN"/>
        </w:rPr>
        <w:t>水源涵养量、洪水调蓄量、冠层截留量、土壤湿度等。</w:t>
      </w:r>
    </w:p>
    <w:p w14:paraId="63F45962">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防风固沙能力</w:t>
      </w:r>
    </w:p>
    <w:p w14:paraId="385E6B37">
      <w:pPr>
        <w:keepNext w:val="0"/>
        <w:keepLines w:val="0"/>
        <w:widowControl/>
        <w:suppressLineNumbers w:val="0"/>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调查评价</w:t>
      </w:r>
      <w:r>
        <w:rPr>
          <w:rFonts w:hint="eastAsia" w:ascii="宋体" w:hAnsi="宋体" w:eastAsia="宋体" w:cs="宋体"/>
          <w:color w:val="000000"/>
          <w:kern w:val="0"/>
          <w:sz w:val="21"/>
          <w:szCs w:val="21"/>
          <w:highlight w:val="none"/>
          <w:lang w:val="en-US" w:eastAsia="zh-CN" w:bidi="ar"/>
        </w:rPr>
        <w:t>土壤抗风能力，降低风力侵蚀和风沙危害的功能，主要由</w:t>
      </w:r>
      <w:r>
        <w:rPr>
          <w:rFonts w:hint="eastAsia" w:ascii="宋体" w:hAnsi="Times New Roman" w:eastAsia="宋体" w:cs="Times New Roman"/>
          <w:highlight w:val="none"/>
          <w:vertAlign w:val="baseline"/>
          <w:lang w:val="en-US" w:eastAsia="zh-CN"/>
        </w:rPr>
        <w:t>防风固沙量反映</w:t>
      </w:r>
      <w:r>
        <w:rPr>
          <w:rFonts w:hint="eastAsia" w:ascii="宋体" w:hAnsi="宋体" w:eastAsia="宋体" w:cs="宋体"/>
          <w:color w:val="000000"/>
          <w:kern w:val="0"/>
          <w:sz w:val="21"/>
          <w:szCs w:val="21"/>
          <w:highlight w:val="none"/>
          <w:lang w:val="en-US" w:eastAsia="zh-CN" w:bidi="ar"/>
        </w:rPr>
        <w:t>。</w:t>
      </w:r>
    </w:p>
    <w:p w14:paraId="3A67ABE9">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土壤保持能力</w:t>
      </w:r>
    </w:p>
    <w:p w14:paraId="77C26E90">
      <w:pPr>
        <w:keepNext w:val="0"/>
        <w:keepLines w:val="0"/>
        <w:widowControl/>
        <w:suppressLineNumbers w:val="0"/>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调查评价</w:t>
      </w:r>
      <w:r>
        <w:rPr>
          <w:rFonts w:hint="eastAsia" w:ascii="宋体" w:hAnsi="宋体" w:eastAsia="宋体" w:cs="宋体"/>
          <w:color w:val="000000"/>
          <w:kern w:val="0"/>
          <w:sz w:val="21"/>
          <w:szCs w:val="21"/>
          <w:highlight w:val="none"/>
          <w:lang w:val="en-US" w:eastAsia="zh-CN" w:bidi="ar"/>
        </w:rPr>
        <w:t>生态结构与过程</w:t>
      </w:r>
      <w:r>
        <w:rPr>
          <w:rFonts w:hint="eastAsia" w:ascii="宋体" w:hAnsi="宋体" w:cs="宋体"/>
          <w:color w:val="000000"/>
          <w:kern w:val="0"/>
          <w:sz w:val="21"/>
          <w:szCs w:val="21"/>
          <w:highlight w:val="none"/>
          <w:lang w:val="en-US" w:eastAsia="zh-CN" w:bidi="ar"/>
        </w:rPr>
        <w:t>在</w:t>
      </w:r>
      <w:r>
        <w:rPr>
          <w:rFonts w:hint="eastAsia" w:ascii="宋体" w:hAnsi="宋体" w:eastAsia="宋体" w:cs="宋体"/>
          <w:color w:val="000000"/>
          <w:kern w:val="0"/>
          <w:sz w:val="21"/>
          <w:szCs w:val="21"/>
          <w:highlight w:val="none"/>
          <w:lang w:val="en-US" w:eastAsia="zh-CN" w:bidi="ar"/>
        </w:rPr>
        <w:t>减少土壤流失</w:t>
      </w:r>
      <w:r>
        <w:rPr>
          <w:rFonts w:hint="eastAsia" w:ascii="宋体" w:hAnsi="宋体" w:cs="宋体"/>
          <w:color w:val="000000"/>
          <w:kern w:val="0"/>
          <w:sz w:val="21"/>
          <w:szCs w:val="21"/>
          <w:highlight w:val="none"/>
          <w:lang w:val="en-US" w:eastAsia="zh-CN" w:bidi="ar"/>
        </w:rPr>
        <w:t>、降低雨水侵蚀、</w:t>
      </w:r>
      <w:r>
        <w:rPr>
          <w:rFonts w:hint="eastAsia" w:ascii="宋体" w:hAnsi="宋体" w:eastAsia="宋体" w:cs="宋体"/>
          <w:color w:val="000000"/>
          <w:kern w:val="0"/>
          <w:sz w:val="21"/>
          <w:szCs w:val="21"/>
          <w:highlight w:val="none"/>
          <w:lang w:val="en-US" w:eastAsia="zh-CN" w:bidi="ar"/>
        </w:rPr>
        <w:t>防止泥沙淤积</w:t>
      </w:r>
      <w:r>
        <w:rPr>
          <w:rFonts w:hint="eastAsia" w:ascii="宋体" w:hAnsi="宋体" w:cs="宋体"/>
          <w:color w:val="000000"/>
          <w:kern w:val="0"/>
          <w:sz w:val="21"/>
          <w:szCs w:val="21"/>
          <w:highlight w:val="none"/>
          <w:lang w:val="en-US" w:eastAsia="zh-CN" w:bidi="ar"/>
        </w:rPr>
        <w:t>等方面的</w:t>
      </w:r>
      <w:r>
        <w:rPr>
          <w:rFonts w:hint="eastAsia" w:ascii="宋体" w:hAnsi="宋体" w:eastAsia="宋体" w:cs="宋体"/>
          <w:color w:val="000000"/>
          <w:kern w:val="0"/>
          <w:sz w:val="21"/>
          <w:szCs w:val="21"/>
          <w:highlight w:val="none"/>
          <w:lang w:val="en-US" w:eastAsia="zh-CN" w:bidi="ar"/>
        </w:rPr>
        <w:t>功能，主要由</w:t>
      </w:r>
      <w:r>
        <w:rPr>
          <w:rFonts w:hint="eastAsia" w:ascii="宋体" w:hAnsi="Times New Roman" w:eastAsia="宋体" w:cs="Times New Roman"/>
          <w:highlight w:val="none"/>
          <w:vertAlign w:val="baseline"/>
          <w:lang w:val="en-US" w:eastAsia="zh-CN"/>
        </w:rPr>
        <w:t>土壤保持量反映</w:t>
      </w:r>
      <w:r>
        <w:rPr>
          <w:rFonts w:hint="eastAsia" w:ascii="宋体" w:hAnsi="宋体" w:eastAsia="宋体" w:cs="宋体"/>
          <w:color w:val="000000"/>
          <w:kern w:val="0"/>
          <w:sz w:val="21"/>
          <w:szCs w:val="21"/>
          <w:highlight w:val="none"/>
          <w:lang w:val="en-US" w:eastAsia="zh-CN" w:bidi="ar"/>
        </w:rPr>
        <w:t>。</w:t>
      </w:r>
    </w:p>
    <w:p w14:paraId="1E078474">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生态碳汇能力</w:t>
      </w:r>
    </w:p>
    <w:p w14:paraId="3F73601D">
      <w:pPr>
        <w:pStyle w:val="25"/>
        <w:rPr>
          <w:rFonts w:hint="eastAsia" w:ascii="宋体" w:hAnsi="Times New Roman" w:eastAsia="宋体" w:cs="Times New Roman"/>
          <w:highlight w:val="none"/>
          <w:vertAlign w:val="baseline"/>
          <w:lang w:val="en-US" w:eastAsia="zh-CN"/>
        </w:rPr>
      </w:pPr>
      <w:r>
        <w:rPr>
          <w:rFonts w:hint="eastAsia"/>
          <w:highlight w:val="none"/>
          <w:lang w:val="en-US" w:eastAsia="zh-CN"/>
        </w:rPr>
        <w:t>调查评价指标主要包括</w:t>
      </w:r>
      <w:r>
        <w:rPr>
          <w:rFonts w:hint="eastAsia" w:ascii="宋体" w:hAnsi="Times New Roman" w:eastAsia="宋体" w:cs="Times New Roman"/>
          <w:highlight w:val="none"/>
          <w:vertAlign w:val="baseline"/>
          <w:lang w:val="en-US" w:eastAsia="zh-CN"/>
        </w:rPr>
        <w:t>固碳量、土壤碳储量、植被碳密度等。</w:t>
      </w:r>
    </w:p>
    <w:p w14:paraId="411B0905">
      <w:pPr>
        <w:pStyle w:val="61"/>
        <w:spacing w:before="156" w:after="156"/>
        <w:rPr>
          <w:rFonts w:hint="default" w:hAnsi="Times New Roman" w:cs="Times New Roman"/>
          <w:highlight w:val="none"/>
          <w:lang w:val="en-US" w:eastAsia="zh-CN"/>
        </w:rPr>
      </w:pPr>
      <w:r>
        <w:rPr>
          <w:rFonts w:hint="eastAsia" w:cs="Times New Roman"/>
          <w:highlight w:val="none"/>
          <w:lang w:val="en-US" w:eastAsia="zh-CN"/>
        </w:rPr>
        <w:t>污染净化</w:t>
      </w:r>
      <w:r>
        <w:rPr>
          <w:rFonts w:hint="eastAsia" w:hAnsi="Times New Roman" w:cs="Times New Roman"/>
          <w:highlight w:val="none"/>
          <w:lang w:val="en-US" w:eastAsia="zh-CN"/>
        </w:rPr>
        <w:t>能力</w:t>
      </w:r>
    </w:p>
    <w:p w14:paraId="767A3FCC">
      <w:pPr>
        <w:pStyle w:val="25"/>
        <w:rPr>
          <w:rFonts w:hint="default" w:ascii="宋体" w:hAnsi="Times New Roman" w:eastAsia="宋体" w:cs="Times New Roman"/>
          <w:highlight w:val="none"/>
          <w:vertAlign w:val="baseline"/>
          <w:lang w:val="en-US" w:eastAsia="zh-CN"/>
        </w:rPr>
      </w:pPr>
      <w:r>
        <w:rPr>
          <w:rFonts w:hint="eastAsia" w:cs="Times New Roman"/>
          <w:highlight w:val="none"/>
          <w:vertAlign w:val="baseline"/>
          <w:lang w:val="en-US" w:eastAsia="zh-CN"/>
        </w:rPr>
        <w:t>调查评价生态系统对空气和水体污染的净化能力。</w:t>
      </w:r>
    </w:p>
    <w:p w14:paraId="22F1E200">
      <w:pPr>
        <w:pStyle w:val="61"/>
        <w:bidi w:val="0"/>
        <w:ind w:left="0" w:leftChars="0" w:firstLine="0" w:firstLineChars="0"/>
        <w:rPr>
          <w:rFonts w:hint="default"/>
          <w:highlight w:val="none"/>
          <w:lang w:val="en-US" w:eastAsia="zh-CN"/>
        </w:rPr>
      </w:pPr>
      <w:r>
        <w:rPr>
          <w:rFonts w:hint="eastAsia"/>
          <w:highlight w:val="none"/>
          <w:lang w:val="en-US" w:eastAsia="zh-CN"/>
        </w:rPr>
        <w:t>生物多样性维护能力</w:t>
      </w:r>
    </w:p>
    <w:p w14:paraId="687DFA2C">
      <w:pPr>
        <w:keepNext w:val="0"/>
        <w:keepLines w:val="0"/>
        <w:widowControl/>
        <w:suppressLineNumbers w:val="0"/>
        <w:ind w:firstLine="420" w:firstLineChars="200"/>
        <w:jc w:val="left"/>
        <w:rPr>
          <w:rFonts w:hint="eastAsia" w:ascii="宋体" w:hAnsi="Times New Roman" w:eastAsia="宋体" w:cs="Times New Roman"/>
          <w:highlight w:val="none"/>
          <w:vertAlign w:val="baseline"/>
          <w:lang w:val="en-US" w:eastAsia="zh-CN"/>
        </w:rPr>
      </w:pPr>
      <w:r>
        <w:rPr>
          <w:rFonts w:hint="eastAsia"/>
          <w:highlight w:val="none"/>
          <w:lang w:val="en-US" w:eastAsia="zh-CN"/>
        </w:rPr>
        <w:t>调查评价</w:t>
      </w:r>
      <w:r>
        <w:rPr>
          <w:rFonts w:hint="eastAsia" w:ascii="宋体" w:hAnsi="宋体" w:eastAsia="宋体" w:cs="宋体"/>
          <w:color w:val="000000"/>
          <w:kern w:val="0"/>
          <w:sz w:val="21"/>
          <w:szCs w:val="21"/>
          <w:highlight w:val="none"/>
          <w:lang w:val="en-US" w:eastAsia="zh-CN" w:bidi="ar"/>
        </w:rPr>
        <w:t>生态系统在维持基因、物种、生态系统多样性发挥的作用。主要包括</w:t>
      </w:r>
      <w:r>
        <w:rPr>
          <w:rFonts w:hint="eastAsia" w:ascii="宋体" w:hAnsi="Times New Roman" w:eastAsia="宋体" w:cs="Times New Roman"/>
          <w:highlight w:val="none"/>
          <w:vertAlign w:val="baseline"/>
          <w:lang w:val="en-US" w:eastAsia="zh-CN"/>
        </w:rPr>
        <w:t>生境不可替代性指数、本地物种数目、珍稀濒危物种数量、动物物种数、</w:t>
      </w:r>
      <w:r>
        <w:rPr>
          <w:rFonts w:hint="eastAsia" w:ascii="宋体" w:cs="Times New Roman"/>
          <w:highlight w:val="none"/>
          <w:vertAlign w:val="baseline"/>
          <w:lang w:val="en-US" w:eastAsia="zh-CN"/>
        </w:rPr>
        <w:t>优势植物物种</w:t>
      </w:r>
      <w:r>
        <w:rPr>
          <w:rFonts w:hint="eastAsia" w:ascii="宋体" w:hAnsi="Times New Roman" w:eastAsia="宋体" w:cs="Times New Roman"/>
          <w:highlight w:val="none"/>
          <w:vertAlign w:val="baseline"/>
          <w:lang w:val="en-US" w:eastAsia="zh-CN"/>
        </w:rPr>
        <w:t>构成、水生植物生态类型等。</w:t>
      </w:r>
    </w:p>
    <w:p w14:paraId="3D80F1F4">
      <w:pPr>
        <w:pStyle w:val="61"/>
        <w:spacing w:before="156" w:after="156"/>
        <w:rPr>
          <w:rFonts w:hint="default" w:hAnsi="Times New Roman" w:cs="Times New Roman"/>
          <w:highlight w:val="none"/>
          <w:lang w:val="en-US" w:eastAsia="zh-CN"/>
        </w:rPr>
      </w:pPr>
      <w:r>
        <w:rPr>
          <w:rFonts w:hint="eastAsia" w:cs="Times New Roman"/>
          <w:highlight w:val="none"/>
          <w:lang w:val="en-US" w:eastAsia="zh-CN"/>
        </w:rPr>
        <w:t>供给服务能力</w:t>
      </w:r>
    </w:p>
    <w:p w14:paraId="77948F83">
      <w:pPr>
        <w:pStyle w:val="25"/>
        <w:rPr>
          <w:rFonts w:hint="eastAsia" w:ascii="宋体" w:hAnsi="Times New Roman" w:eastAsia="宋体" w:cs="Times New Roman"/>
          <w:highlight w:val="none"/>
          <w:vertAlign w:val="baseline"/>
          <w:lang w:val="en-US" w:eastAsia="zh-CN"/>
        </w:rPr>
      </w:pPr>
      <w:r>
        <w:rPr>
          <w:rFonts w:hint="eastAsia"/>
          <w:highlight w:val="none"/>
          <w:lang w:val="en-US" w:eastAsia="zh-CN"/>
        </w:rPr>
        <w:t>调查评价生态系统为人类提供并被使用的物质惠益</w:t>
      </w:r>
      <w:r>
        <w:rPr>
          <w:rFonts w:hint="eastAsia" w:cs="Times New Roman"/>
          <w:highlight w:val="none"/>
          <w:lang w:val="en-US" w:eastAsia="zh-CN"/>
        </w:rPr>
        <w:t>。</w:t>
      </w:r>
      <w:r>
        <w:rPr>
          <w:rFonts w:hint="eastAsia" w:hAnsi="Times New Roman" w:cs="Times New Roman"/>
          <w:highlight w:val="none"/>
          <w:lang w:val="en-US" w:eastAsia="zh-CN"/>
        </w:rPr>
        <w:t>主要包括</w:t>
      </w:r>
      <w:r>
        <w:rPr>
          <w:rFonts w:hint="eastAsia" w:ascii="宋体" w:hAnsi="Times New Roman" w:eastAsia="宋体" w:cs="Times New Roman"/>
          <w:highlight w:val="none"/>
          <w:vertAlign w:val="baseline"/>
          <w:lang w:val="en-US" w:eastAsia="zh-CN"/>
        </w:rPr>
        <w:t>水资源利用量、草地</w:t>
      </w:r>
      <w:r>
        <w:rPr>
          <w:rFonts w:hint="eastAsia" w:cs="Times New Roman"/>
          <w:highlight w:val="none"/>
          <w:vertAlign w:val="baseline"/>
          <w:lang w:val="en-US" w:eastAsia="zh-CN"/>
        </w:rPr>
        <w:t>载</w:t>
      </w:r>
      <w:r>
        <w:rPr>
          <w:rFonts w:hint="eastAsia" w:ascii="宋体" w:hAnsi="Times New Roman" w:eastAsia="宋体" w:cs="Times New Roman"/>
          <w:highlight w:val="none"/>
          <w:vertAlign w:val="baseline"/>
          <w:lang w:val="en-US" w:eastAsia="zh-CN"/>
        </w:rPr>
        <w:t>畜压力、水产捕捞量和木材砍伐量</w:t>
      </w:r>
      <w:r>
        <w:rPr>
          <w:rFonts w:hint="eastAsia" w:cs="Times New Roman"/>
          <w:highlight w:val="none"/>
          <w:vertAlign w:val="baseline"/>
          <w:lang w:val="en-US" w:eastAsia="zh-CN"/>
        </w:rPr>
        <w:t>等</w:t>
      </w:r>
      <w:r>
        <w:rPr>
          <w:rFonts w:hint="eastAsia" w:ascii="宋体" w:hAnsi="Times New Roman" w:eastAsia="宋体" w:cs="Times New Roman"/>
          <w:highlight w:val="none"/>
          <w:vertAlign w:val="baseline"/>
          <w:lang w:val="en-US" w:eastAsia="zh-CN"/>
        </w:rPr>
        <w:t>。</w:t>
      </w:r>
    </w:p>
    <w:p w14:paraId="1CE0DE4E">
      <w:pPr>
        <w:pStyle w:val="61"/>
        <w:spacing w:before="156" w:after="156"/>
        <w:rPr>
          <w:rFonts w:hint="default" w:hAnsi="Times New Roman" w:cs="Times New Roman"/>
          <w:highlight w:val="none"/>
          <w:lang w:val="en-US" w:eastAsia="zh-CN"/>
        </w:rPr>
      </w:pPr>
      <w:r>
        <w:rPr>
          <w:rFonts w:hint="eastAsia" w:cs="Times New Roman"/>
          <w:highlight w:val="none"/>
          <w:lang w:val="en-US" w:eastAsia="zh-CN"/>
        </w:rPr>
        <w:t>文化服务能力</w:t>
      </w:r>
    </w:p>
    <w:p w14:paraId="0478F9E2">
      <w:pPr>
        <w:pStyle w:val="25"/>
        <w:keepNext w:val="0"/>
        <w:keepLines w:val="0"/>
        <w:widowControl/>
        <w:suppressLineNumbers w:val="0"/>
        <w:ind w:firstLineChars="200"/>
        <w:jc w:val="left"/>
        <w:rPr>
          <w:rFonts w:hint="eastAsia" w:cs="Times New Roman"/>
          <w:highlight w:val="none"/>
          <w:lang w:val="en-US" w:eastAsia="zh-CN"/>
        </w:rPr>
      </w:pPr>
      <w:r>
        <w:rPr>
          <w:rFonts w:hint="eastAsia"/>
          <w:highlight w:val="none"/>
          <w:lang w:val="en-US" w:eastAsia="zh-CN"/>
        </w:rPr>
        <w:t>调查评价生态系统为人类生活质量提供的非物质惠益。</w:t>
      </w:r>
    </w:p>
    <w:p w14:paraId="6DF78D6C">
      <w:pPr>
        <w:pStyle w:val="25"/>
        <w:keepNext w:val="0"/>
        <w:keepLines w:val="0"/>
        <w:widowControl/>
        <w:suppressLineNumbers w:val="0"/>
        <w:ind w:firstLineChars="200"/>
        <w:jc w:val="left"/>
        <w:rPr>
          <w:rFonts w:hint="eastAsia"/>
          <w:highlight w:val="none"/>
        </w:rPr>
      </w:pPr>
    </w:p>
    <w:p w14:paraId="28EA8502">
      <w:pPr>
        <w:pStyle w:val="25"/>
        <w:ind w:left="0" w:leftChars="0" w:firstLine="0" w:firstLineChars="0"/>
        <w:jc w:val="center"/>
        <w:rPr>
          <w:rFonts w:hint="default"/>
          <w:highlight w:val="none"/>
          <w:lang w:val="en-US" w:eastAsia="zh-CN"/>
        </w:rPr>
      </w:pPr>
      <w:r>
        <w:rPr>
          <w:rFonts w:hint="eastAsia" w:ascii="黑体" w:hAnsi="黑体" w:eastAsia="黑体" w:cs="黑体"/>
          <w:b w:val="0"/>
          <w:bCs w:val="0"/>
          <w:highlight w:val="none"/>
          <w:lang w:val="en-US" w:eastAsia="zh-CN"/>
        </w:rPr>
        <w:t>表3 生态系统服务调查评价指标体系</w:t>
      </w:r>
    </w:p>
    <w:tbl>
      <w:tblPr>
        <w:tblStyle w:val="3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2199"/>
        <w:gridCol w:w="2701"/>
        <w:gridCol w:w="1467"/>
        <w:gridCol w:w="2495"/>
      </w:tblGrid>
      <w:tr w14:paraId="7712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noWrap w:val="0"/>
            <w:vAlign w:val="center"/>
          </w:tcPr>
          <w:p w14:paraId="5D94089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序号</w:t>
            </w:r>
          </w:p>
        </w:tc>
        <w:tc>
          <w:tcPr>
            <w:tcW w:w="2199" w:type="dxa"/>
            <w:noWrap w:val="0"/>
            <w:vAlign w:val="center"/>
          </w:tcPr>
          <w:p w14:paraId="6E2B4C7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二级指标</w:t>
            </w:r>
          </w:p>
        </w:tc>
        <w:tc>
          <w:tcPr>
            <w:tcW w:w="2701" w:type="dxa"/>
            <w:noWrap w:val="0"/>
            <w:vAlign w:val="center"/>
          </w:tcPr>
          <w:p w14:paraId="3547E7E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三级指标</w:t>
            </w:r>
          </w:p>
        </w:tc>
        <w:tc>
          <w:tcPr>
            <w:tcW w:w="1467" w:type="dxa"/>
            <w:noWrap w:val="0"/>
            <w:vAlign w:val="center"/>
          </w:tcPr>
          <w:p w14:paraId="7EA4757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指标类型</w:t>
            </w:r>
          </w:p>
        </w:tc>
        <w:tc>
          <w:tcPr>
            <w:tcW w:w="2495" w:type="dxa"/>
            <w:noWrap w:val="0"/>
            <w:vAlign w:val="center"/>
          </w:tcPr>
          <w:p w14:paraId="6E501B2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适用生态单元</w:t>
            </w:r>
          </w:p>
        </w:tc>
      </w:tr>
      <w:tr w14:paraId="4B26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noWrap w:val="0"/>
            <w:vAlign w:val="center"/>
          </w:tcPr>
          <w:p w14:paraId="1265132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w:t>
            </w:r>
          </w:p>
        </w:tc>
        <w:tc>
          <w:tcPr>
            <w:tcW w:w="2199" w:type="dxa"/>
            <w:vMerge w:val="restart"/>
            <w:noWrap w:val="0"/>
            <w:vAlign w:val="center"/>
          </w:tcPr>
          <w:p w14:paraId="702EFFF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水源涵养能力</w:t>
            </w:r>
          </w:p>
        </w:tc>
        <w:tc>
          <w:tcPr>
            <w:tcW w:w="2701" w:type="dxa"/>
            <w:noWrap w:val="0"/>
            <w:vAlign w:val="center"/>
          </w:tcPr>
          <w:p w14:paraId="303566C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水源涵养量</w:t>
            </w:r>
          </w:p>
        </w:tc>
        <w:tc>
          <w:tcPr>
            <w:tcW w:w="1467" w:type="dxa"/>
            <w:noWrap w:val="0"/>
            <w:vAlign w:val="center"/>
          </w:tcPr>
          <w:p w14:paraId="06B894A8">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2495" w:type="dxa"/>
            <w:noWrap w:val="0"/>
            <w:vAlign w:val="center"/>
          </w:tcPr>
          <w:p w14:paraId="6286A0D1">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6A75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8" w:type="dxa"/>
            <w:noWrap w:val="0"/>
            <w:vAlign w:val="center"/>
          </w:tcPr>
          <w:p w14:paraId="1A1444B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2</w:t>
            </w:r>
          </w:p>
        </w:tc>
        <w:tc>
          <w:tcPr>
            <w:tcW w:w="2199" w:type="dxa"/>
            <w:vMerge w:val="continue"/>
            <w:noWrap w:val="0"/>
            <w:vAlign w:val="center"/>
          </w:tcPr>
          <w:p w14:paraId="4FF58C2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noWrap w:val="0"/>
            <w:vAlign w:val="center"/>
          </w:tcPr>
          <w:p w14:paraId="69E0840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洪水调蓄量</w:t>
            </w:r>
          </w:p>
        </w:tc>
        <w:tc>
          <w:tcPr>
            <w:tcW w:w="1467" w:type="dxa"/>
            <w:noWrap w:val="0"/>
            <w:vAlign w:val="center"/>
          </w:tcPr>
          <w:p w14:paraId="5CD0E062">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参考性指标</w:t>
            </w:r>
          </w:p>
        </w:tc>
        <w:tc>
          <w:tcPr>
            <w:tcW w:w="2495" w:type="dxa"/>
            <w:noWrap w:val="0"/>
            <w:vAlign w:val="center"/>
          </w:tcPr>
          <w:p w14:paraId="0D3F46CC">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default" w:hAnsi="Times New Roman" w:cs="Times New Roman"/>
                <w:color w:val="000000"/>
                <w:szCs w:val="18"/>
                <w:highlight w:val="none"/>
                <w:lang w:val="en-US" w:eastAsia="zh-CN"/>
              </w:rPr>
              <w:t>河湖湿地水安全单元</w:t>
            </w:r>
          </w:p>
        </w:tc>
      </w:tr>
      <w:tr w14:paraId="4D7A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noWrap w:val="0"/>
            <w:vAlign w:val="center"/>
          </w:tcPr>
          <w:p w14:paraId="4B28CAC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3</w:t>
            </w:r>
          </w:p>
        </w:tc>
        <w:tc>
          <w:tcPr>
            <w:tcW w:w="2199" w:type="dxa"/>
            <w:vMerge w:val="continue"/>
            <w:noWrap w:val="0"/>
            <w:vAlign w:val="center"/>
          </w:tcPr>
          <w:p w14:paraId="6A44173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noWrap w:val="0"/>
            <w:vAlign w:val="center"/>
          </w:tcPr>
          <w:p w14:paraId="62E78F3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冠层截留量</w:t>
            </w:r>
          </w:p>
        </w:tc>
        <w:tc>
          <w:tcPr>
            <w:tcW w:w="1467" w:type="dxa"/>
            <w:noWrap w:val="0"/>
            <w:vAlign w:val="center"/>
          </w:tcPr>
          <w:p w14:paraId="3A91DF4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参考性指标</w:t>
            </w:r>
          </w:p>
        </w:tc>
        <w:tc>
          <w:tcPr>
            <w:tcW w:w="2495" w:type="dxa"/>
            <w:noWrap w:val="0"/>
            <w:vAlign w:val="center"/>
          </w:tcPr>
          <w:p w14:paraId="13843D6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生态保育单元</w:t>
            </w:r>
          </w:p>
          <w:p w14:paraId="4C48D26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重要生态廊道单元</w:t>
            </w:r>
          </w:p>
        </w:tc>
      </w:tr>
      <w:tr w14:paraId="73DD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noWrap w:val="0"/>
            <w:vAlign w:val="center"/>
          </w:tcPr>
          <w:p w14:paraId="2B636BE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4</w:t>
            </w:r>
          </w:p>
        </w:tc>
        <w:tc>
          <w:tcPr>
            <w:tcW w:w="2199" w:type="dxa"/>
            <w:vMerge w:val="continue"/>
            <w:noWrap w:val="0"/>
            <w:vAlign w:val="center"/>
          </w:tcPr>
          <w:p w14:paraId="46D618B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noWrap w:val="0"/>
            <w:vAlign w:val="center"/>
          </w:tcPr>
          <w:p w14:paraId="56E9220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土壤湿度</w:t>
            </w:r>
          </w:p>
        </w:tc>
        <w:tc>
          <w:tcPr>
            <w:tcW w:w="1467" w:type="dxa"/>
            <w:noWrap w:val="0"/>
            <w:vAlign w:val="center"/>
          </w:tcPr>
          <w:p w14:paraId="0FAF410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参考性指标</w:t>
            </w:r>
          </w:p>
        </w:tc>
        <w:tc>
          <w:tcPr>
            <w:tcW w:w="2495" w:type="dxa"/>
            <w:noWrap w:val="0"/>
            <w:vAlign w:val="center"/>
          </w:tcPr>
          <w:p w14:paraId="0736CC2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生态保育单元</w:t>
            </w:r>
          </w:p>
          <w:p w14:paraId="2CDE630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重要生态廊道单元</w:t>
            </w:r>
          </w:p>
        </w:tc>
      </w:tr>
      <w:tr w14:paraId="2298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noWrap w:val="0"/>
            <w:vAlign w:val="center"/>
          </w:tcPr>
          <w:p w14:paraId="45B7C67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5</w:t>
            </w:r>
          </w:p>
        </w:tc>
        <w:tc>
          <w:tcPr>
            <w:tcW w:w="2199" w:type="dxa"/>
            <w:noWrap w:val="0"/>
            <w:vAlign w:val="center"/>
          </w:tcPr>
          <w:p w14:paraId="2A4A480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防风固沙能力</w:t>
            </w:r>
          </w:p>
        </w:tc>
        <w:tc>
          <w:tcPr>
            <w:tcW w:w="2701" w:type="dxa"/>
            <w:noWrap w:val="0"/>
            <w:vAlign w:val="center"/>
          </w:tcPr>
          <w:p w14:paraId="2564CFA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防风固沙量</w:t>
            </w:r>
          </w:p>
        </w:tc>
        <w:tc>
          <w:tcPr>
            <w:tcW w:w="1467" w:type="dxa"/>
            <w:noWrap w:val="0"/>
            <w:vAlign w:val="center"/>
          </w:tcPr>
          <w:p w14:paraId="375AD04B">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495" w:type="dxa"/>
            <w:noWrap w:val="0"/>
            <w:vAlign w:val="center"/>
          </w:tcPr>
          <w:p w14:paraId="67F276E4">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0F70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noWrap w:val="0"/>
            <w:vAlign w:val="center"/>
          </w:tcPr>
          <w:p w14:paraId="6501910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6</w:t>
            </w:r>
          </w:p>
        </w:tc>
        <w:tc>
          <w:tcPr>
            <w:tcW w:w="2199" w:type="dxa"/>
            <w:noWrap w:val="0"/>
            <w:vAlign w:val="center"/>
          </w:tcPr>
          <w:p w14:paraId="70FDB97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土壤保持能力</w:t>
            </w:r>
          </w:p>
        </w:tc>
        <w:tc>
          <w:tcPr>
            <w:tcW w:w="2701" w:type="dxa"/>
            <w:noWrap w:val="0"/>
            <w:vAlign w:val="center"/>
          </w:tcPr>
          <w:p w14:paraId="33DE489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土壤保持量</w:t>
            </w:r>
          </w:p>
        </w:tc>
        <w:tc>
          <w:tcPr>
            <w:tcW w:w="1467" w:type="dxa"/>
            <w:noWrap w:val="0"/>
            <w:vAlign w:val="center"/>
          </w:tcPr>
          <w:p w14:paraId="78A2D5E8">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495" w:type="dxa"/>
            <w:noWrap w:val="0"/>
            <w:vAlign w:val="center"/>
          </w:tcPr>
          <w:p w14:paraId="1F188627">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723A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noWrap w:val="0"/>
            <w:vAlign w:val="center"/>
          </w:tcPr>
          <w:p w14:paraId="3FA43EE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7</w:t>
            </w:r>
          </w:p>
        </w:tc>
        <w:tc>
          <w:tcPr>
            <w:tcW w:w="2199" w:type="dxa"/>
            <w:vMerge w:val="restart"/>
            <w:noWrap w:val="0"/>
            <w:vAlign w:val="center"/>
          </w:tcPr>
          <w:p w14:paraId="455808E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生态碳汇能力</w:t>
            </w:r>
          </w:p>
        </w:tc>
        <w:tc>
          <w:tcPr>
            <w:tcW w:w="2701" w:type="dxa"/>
            <w:noWrap w:val="0"/>
            <w:vAlign w:val="center"/>
          </w:tcPr>
          <w:p w14:paraId="59C3642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固碳量</w:t>
            </w:r>
          </w:p>
        </w:tc>
        <w:tc>
          <w:tcPr>
            <w:tcW w:w="1467" w:type="dxa"/>
            <w:noWrap w:val="0"/>
            <w:vAlign w:val="center"/>
          </w:tcPr>
          <w:p w14:paraId="248CEC2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2495" w:type="dxa"/>
            <w:noWrap w:val="0"/>
            <w:vAlign w:val="center"/>
          </w:tcPr>
          <w:p w14:paraId="25DB6A4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578D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noWrap w:val="0"/>
            <w:vAlign w:val="center"/>
          </w:tcPr>
          <w:p w14:paraId="012170C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8</w:t>
            </w:r>
          </w:p>
        </w:tc>
        <w:tc>
          <w:tcPr>
            <w:tcW w:w="2199" w:type="dxa"/>
            <w:vMerge w:val="continue"/>
            <w:noWrap w:val="0"/>
            <w:vAlign w:val="center"/>
          </w:tcPr>
          <w:p w14:paraId="53ECB9B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noWrap w:val="0"/>
            <w:vAlign w:val="center"/>
          </w:tcPr>
          <w:p w14:paraId="295F53F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土壤碳储量</w:t>
            </w:r>
          </w:p>
        </w:tc>
        <w:tc>
          <w:tcPr>
            <w:tcW w:w="1467" w:type="dxa"/>
            <w:noWrap w:val="0"/>
            <w:vAlign w:val="center"/>
          </w:tcPr>
          <w:p w14:paraId="1C207F1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参考性指标</w:t>
            </w:r>
          </w:p>
        </w:tc>
        <w:tc>
          <w:tcPr>
            <w:tcW w:w="2495" w:type="dxa"/>
            <w:noWrap w:val="0"/>
            <w:vAlign w:val="center"/>
          </w:tcPr>
          <w:p w14:paraId="1F3C8AF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生态保育单元</w:t>
            </w:r>
          </w:p>
          <w:p w14:paraId="50313CC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重要生态廊道单元</w:t>
            </w:r>
          </w:p>
        </w:tc>
      </w:tr>
      <w:tr w14:paraId="2F7E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noWrap w:val="0"/>
            <w:vAlign w:val="center"/>
          </w:tcPr>
          <w:p w14:paraId="468752A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9</w:t>
            </w:r>
          </w:p>
        </w:tc>
        <w:tc>
          <w:tcPr>
            <w:tcW w:w="2199" w:type="dxa"/>
            <w:vMerge w:val="continue"/>
            <w:noWrap w:val="0"/>
            <w:vAlign w:val="center"/>
          </w:tcPr>
          <w:p w14:paraId="1BCBE80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noWrap w:val="0"/>
            <w:vAlign w:val="center"/>
          </w:tcPr>
          <w:p w14:paraId="031B8FD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植被碳密度</w:t>
            </w:r>
          </w:p>
        </w:tc>
        <w:tc>
          <w:tcPr>
            <w:tcW w:w="1467" w:type="dxa"/>
            <w:noWrap w:val="0"/>
            <w:vAlign w:val="center"/>
          </w:tcPr>
          <w:p w14:paraId="0CCECFC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参考性指标</w:t>
            </w:r>
          </w:p>
        </w:tc>
        <w:tc>
          <w:tcPr>
            <w:tcW w:w="2495" w:type="dxa"/>
            <w:noWrap w:val="0"/>
            <w:vAlign w:val="center"/>
          </w:tcPr>
          <w:p w14:paraId="0424A73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生态保育单元</w:t>
            </w:r>
          </w:p>
          <w:p w14:paraId="2641F80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重要生态廊道单元</w:t>
            </w:r>
          </w:p>
        </w:tc>
      </w:tr>
      <w:tr w14:paraId="1F9F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noWrap w:val="0"/>
            <w:vAlign w:val="center"/>
          </w:tcPr>
          <w:p w14:paraId="41F7A67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10</w:t>
            </w:r>
          </w:p>
        </w:tc>
        <w:tc>
          <w:tcPr>
            <w:tcW w:w="2199" w:type="dxa"/>
            <w:vMerge w:val="restart"/>
            <w:noWrap w:val="0"/>
            <w:vAlign w:val="center"/>
          </w:tcPr>
          <w:p w14:paraId="043022F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污染净化能力</w:t>
            </w:r>
          </w:p>
        </w:tc>
        <w:tc>
          <w:tcPr>
            <w:tcW w:w="2701" w:type="dxa"/>
            <w:shd w:val="clear" w:color="auto" w:fill="auto"/>
            <w:noWrap w:val="0"/>
            <w:vAlign w:val="center"/>
          </w:tcPr>
          <w:p w14:paraId="688EA96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空气净化量</w:t>
            </w:r>
          </w:p>
        </w:tc>
        <w:tc>
          <w:tcPr>
            <w:tcW w:w="1467" w:type="dxa"/>
            <w:shd w:val="clear" w:color="auto" w:fill="auto"/>
            <w:noWrap w:val="0"/>
            <w:vAlign w:val="center"/>
          </w:tcPr>
          <w:p w14:paraId="42FCEC4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2495" w:type="dxa"/>
            <w:shd w:val="clear" w:color="auto" w:fill="auto"/>
            <w:noWrap w:val="0"/>
            <w:vAlign w:val="center"/>
          </w:tcPr>
          <w:p w14:paraId="17EC2AB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7854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noWrap w:val="0"/>
            <w:vAlign w:val="center"/>
          </w:tcPr>
          <w:p w14:paraId="3EA391A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11</w:t>
            </w:r>
          </w:p>
        </w:tc>
        <w:tc>
          <w:tcPr>
            <w:tcW w:w="2199" w:type="dxa"/>
            <w:vMerge w:val="continue"/>
            <w:noWrap w:val="0"/>
            <w:vAlign w:val="center"/>
          </w:tcPr>
          <w:p w14:paraId="224DD04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Cs w:val="18"/>
                <w:highlight w:val="yellow"/>
                <w:vertAlign w:val="baseline"/>
                <w:lang w:val="en-US" w:eastAsia="zh-CN"/>
              </w:rPr>
            </w:pPr>
          </w:p>
        </w:tc>
        <w:tc>
          <w:tcPr>
            <w:tcW w:w="2701" w:type="dxa"/>
            <w:shd w:val="clear" w:color="auto" w:fill="auto"/>
            <w:noWrap w:val="0"/>
            <w:vAlign w:val="center"/>
          </w:tcPr>
          <w:p w14:paraId="0C0D203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水质净化量</w:t>
            </w:r>
          </w:p>
        </w:tc>
        <w:tc>
          <w:tcPr>
            <w:tcW w:w="1467" w:type="dxa"/>
            <w:shd w:val="clear" w:color="auto" w:fill="auto"/>
            <w:noWrap w:val="0"/>
            <w:vAlign w:val="center"/>
          </w:tcPr>
          <w:p w14:paraId="27188C0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约束性</w:t>
            </w:r>
            <w:r>
              <w:rPr>
                <w:rFonts w:hint="eastAsia" w:ascii="宋体" w:hAnsi="Times New Roman" w:eastAsia="宋体" w:cs="Times New Roman"/>
                <w:szCs w:val="18"/>
                <w:highlight w:val="none"/>
                <w:vertAlign w:val="baseline"/>
                <w:lang w:val="en-US" w:eastAsia="zh-CN"/>
              </w:rPr>
              <w:t>指标</w:t>
            </w:r>
          </w:p>
        </w:tc>
        <w:tc>
          <w:tcPr>
            <w:tcW w:w="2495" w:type="dxa"/>
            <w:shd w:val="clear" w:color="auto" w:fill="auto"/>
            <w:noWrap w:val="0"/>
            <w:vAlign w:val="center"/>
          </w:tcPr>
          <w:p w14:paraId="60F32BC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生态保育单元</w:t>
            </w:r>
          </w:p>
          <w:p w14:paraId="42988E1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default" w:hAnsi="Times New Roman" w:cs="Times New Roman"/>
                <w:color w:val="000000"/>
                <w:szCs w:val="18"/>
                <w:highlight w:val="none"/>
                <w:lang w:val="en-US" w:eastAsia="zh-CN"/>
              </w:rPr>
              <w:t>河湖湿地水安全单元</w:t>
            </w:r>
          </w:p>
        </w:tc>
      </w:tr>
      <w:tr w14:paraId="2147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noWrap w:val="0"/>
            <w:vAlign w:val="center"/>
          </w:tcPr>
          <w:p w14:paraId="7355F81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12</w:t>
            </w:r>
          </w:p>
        </w:tc>
        <w:tc>
          <w:tcPr>
            <w:tcW w:w="2199" w:type="dxa"/>
            <w:vMerge w:val="restart"/>
            <w:noWrap w:val="0"/>
            <w:vAlign w:val="center"/>
          </w:tcPr>
          <w:p w14:paraId="6CD4BB7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生物多样性维护能力</w:t>
            </w:r>
          </w:p>
        </w:tc>
        <w:tc>
          <w:tcPr>
            <w:tcW w:w="2701" w:type="dxa"/>
            <w:shd w:val="clear" w:color="auto" w:fill="auto"/>
            <w:noWrap w:val="0"/>
            <w:vAlign w:val="center"/>
          </w:tcPr>
          <w:p w14:paraId="2756238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本地物种数目</w:t>
            </w:r>
          </w:p>
        </w:tc>
        <w:tc>
          <w:tcPr>
            <w:tcW w:w="1467" w:type="dxa"/>
            <w:shd w:val="clear" w:color="auto" w:fill="auto"/>
            <w:noWrap w:val="0"/>
            <w:vAlign w:val="center"/>
          </w:tcPr>
          <w:p w14:paraId="2F38CFA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约束性指标</w:t>
            </w:r>
          </w:p>
        </w:tc>
        <w:tc>
          <w:tcPr>
            <w:tcW w:w="2495" w:type="dxa"/>
            <w:shd w:val="clear" w:color="auto" w:fill="auto"/>
            <w:noWrap w:val="0"/>
            <w:vAlign w:val="center"/>
          </w:tcPr>
          <w:p w14:paraId="1855970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共同适用</w:t>
            </w:r>
          </w:p>
        </w:tc>
      </w:tr>
      <w:tr w14:paraId="0621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8" w:type="dxa"/>
            <w:noWrap w:val="0"/>
            <w:vAlign w:val="center"/>
          </w:tcPr>
          <w:p w14:paraId="74DE847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13</w:t>
            </w:r>
          </w:p>
        </w:tc>
        <w:tc>
          <w:tcPr>
            <w:tcW w:w="2199" w:type="dxa"/>
            <w:vMerge w:val="continue"/>
            <w:noWrap w:val="0"/>
            <w:vAlign w:val="center"/>
          </w:tcPr>
          <w:p w14:paraId="346DCC3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shd w:val="clear" w:color="auto" w:fill="auto"/>
            <w:noWrap w:val="0"/>
            <w:vAlign w:val="center"/>
          </w:tcPr>
          <w:p w14:paraId="379B0D8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 xml:space="preserve">动物物种数 </w:t>
            </w:r>
          </w:p>
        </w:tc>
        <w:tc>
          <w:tcPr>
            <w:tcW w:w="1467" w:type="dxa"/>
            <w:shd w:val="clear" w:color="auto" w:fill="auto"/>
            <w:noWrap w:val="0"/>
            <w:vAlign w:val="center"/>
          </w:tcPr>
          <w:p w14:paraId="5143DA5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约束性指标</w:t>
            </w:r>
          </w:p>
        </w:tc>
        <w:tc>
          <w:tcPr>
            <w:tcW w:w="2495" w:type="dxa"/>
            <w:shd w:val="clear" w:color="auto" w:fill="auto"/>
            <w:noWrap w:val="0"/>
            <w:vAlign w:val="center"/>
          </w:tcPr>
          <w:p w14:paraId="13EA7E7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共同适用</w:t>
            </w:r>
          </w:p>
        </w:tc>
      </w:tr>
      <w:tr w14:paraId="148D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8" w:type="dxa"/>
            <w:noWrap w:val="0"/>
            <w:vAlign w:val="center"/>
          </w:tcPr>
          <w:p w14:paraId="415F406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14</w:t>
            </w:r>
          </w:p>
        </w:tc>
        <w:tc>
          <w:tcPr>
            <w:tcW w:w="2199" w:type="dxa"/>
            <w:vMerge w:val="continue"/>
            <w:noWrap w:val="0"/>
            <w:vAlign w:val="center"/>
          </w:tcPr>
          <w:p w14:paraId="3AEEF13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shd w:val="clear" w:color="auto" w:fill="auto"/>
            <w:noWrap w:val="0"/>
            <w:vAlign w:val="center"/>
          </w:tcPr>
          <w:p w14:paraId="7B8FD2A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优势植物物种</w:t>
            </w:r>
            <w:r>
              <w:rPr>
                <w:rFonts w:hint="eastAsia" w:ascii="宋体" w:hAnsi="Times New Roman" w:eastAsia="宋体" w:cs="Times New Roman"/>
                <w:szCs w:val="18"/>
                <w:highlight w:val="none"/>
                <w:vertAlign w:val="baseline"/>
                <w:lang w:val="en-US" w:eastAsia="zh-CN"/>
              </w:rPr>
              <w:t>构成</w:t>
            </w:r>
          </w:p>
        </w:tc>
        <w:tc>
          <w:tcPr>
            <w:tcW w:w="1467" w:type="dxa"/>
            <w:shd w:val="clear" w:color="auto" w:fill="auto"/>
            <w:noWrap w:val="0"/>
            <w:vAlign w:val="center"/>
          </w:tcPr>
          <w:p w14:paraId="4CBB828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2495" w:type="dxa"/>
            <w:shd w:val="clear" w:color="auto" w:fill="auto"/>
            <w:noWrap w:val="0"/>
            <w:vAlign w:val="center"/>
          </w:tcPr>
          <w:p w14:paraId="27F6851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7E53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noWrap w:val="0"/>
            <w:vAlign w:val="center"/>
          </w:tcPr>
          <w:p w14:paraId="2C4280A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15</w:t>
            </w:r>
          </w:p>
        </w:tc>
        <w:tc>
          <w:tcPr>
            <w:tcW w:w="2199" w:type="dxa"/>
            <w:vMerge w:val="continue"/>
            <w:noWrap w:val="0"/>
            <w:vAlign w:val="center"/>
          </w:tcPr>
          <w:p w14:paraId="728A9DC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shd w:val="clear" w:color="auto" w:fill="auto"/>
            <w:noWrap w:val="0"/>
            <w:vAlign w:val="center"/>
          </w:tcPr>
          <w:p w14:paraId="45C0ABC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珍稀濒危物种数量</w:t>
            </w:r>
          </w:p>
        </w:tc>
        <w:tc>
          <w:tcPr>
            <w:tcW w:w="1467" w:type="dxa"/>
            <w:shd w:val="clear" w:color="auto" w:fill="auto"/>
            <w:noWrap w:val="0"/>
            <w:vAlign w:val="center"/>
          </w:tcPr>
          <w:p w14:paraId="60F8206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参考性指标</w:t>
            </w:r>
          </w:p>
        </w:tc>
        <w:tc>
          <w:tcPr>
            <w:tcW w:w="2495" w:type="dxa"/>
            <w:shd w:val="clear" w:color="auto" w:fill="auto"/>
            <w:noWrap w:val="0"/>
            <w:vAlign w:val="center"/>
          </w:tcPr>
          <w:p w14:paraId="3E42480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生态保育单元</w:t>
            </w:r>
          </w:p>
        </w:tc>
      </w:tr>
      <w:tr w14:paraId="07F2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noWrap w:val="0"/>
            <w:vAlign w:val="center"/>
          </w:tcPr>
          <w:p w14:paraId="1C547C9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16</w:t>
            </w:r>
          </w:p>
        </w:tc>
        <w:tc>
          <w:tcPr>
            <w:tcW w:w="2199" w:type="dxa"/>
            <w:vMerge w:val="continue"/>
            <w:noWrap w:val="0"/>
            <w:vAlign w:val="center"/>
          </w:tcPr>
          <w:p w14:paraId="6D622ED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shd w:val="clear" w:color="auto" w:fill="auto"/>
            <w:noWrap w:val="0"/>
            <w:vAlign w:val="center"/>
          </w:tcPr>
          <w:p w14:paraId="5718606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水生植物生态类型</w:t>
            </w:r>
          </w:p>
        </w:tc>
        <w:tc>
          <w:tcPr>
            <w:tcW w:w="1467" w:type="dxa"/>
            <w:shd w:val="clear" w:color="auto" w:fill="auto"/>
            <w:noWrap w:val="0"/>
            <w:vAlign w:val="center"/>
          </w:tcPr>
          <w:p w14:paraId="002D30A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参考性指标</w:t>
            </w:r>
          </w:p>
        </w:tc>
        <w:tc>
          <w:tcPr>
            <w:tcW w:w="2495" w:type="dxa"/>
            <w:shd w:val="clear" w:color="auto" w:fill="auto"/>
            <w:noWrap w:val="0"/>
            <w:vAlign w:val="center"/>
          </w:tcPr>
          <w:p w14:paraId="34AE95D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color w:val="000000"/>
                <w:szCs w:val="18"/>
                <w:highlight w:val="none"/>
                <w:lang w:val="en-US" w:eastAsia="zh-CN"/>
              </w:rPr>
            </w:pPr>
            <w:r>
              <w:rPr>
                <w:rFonts w:hint="default" w:hAnsi="Times New Roman" w:cs="Times New Roman"/>
                <w:color w:val="000000"/>
                <w:szCs w:val="18"/>
                <w:highlight w:val="none"/>
                <w:lang w:val="en-US" w:eastAsia="zh-CN"/>
              </w:rPr>
              <w:t>河湖湿地水安全单元</w:t>
            </w:r>
          </w:p>
          <w:p w14:paraId="4168EF4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重要生态廊道单元</w:t>
            </w:r>
          </w:p>
        </w:tc>
      </w:tr>
      <w:tr w14:paraId="6B7A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vAlign w:val="center"/>
          </w:tcPr>
          <w:p w14:paraId="573A712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bookmarkStart w:id="278" w:name="_Toc4961"/>
            <w:bookmarkStart w:id="279" w:name="_Toc30817"/>
            <w:bookmarkStart w:id="280" w:name="_Toc29203"/>
            <w:r>
              <w:rPr>
                <w:rFonts w:hint="eastAsia" w:cs="Times New Roman"/>
                <w:szCs w:val="18"/>
                <w:highlight w:val="none"/>
                <w:vertAlign w:val="baseline"/>
                <w:lang w:val="en-US" w:eastAsia="zh-CN"/>
              </w:rPr>
              <w:t>17</w:t>
            </w:r>
          </w:p>
        </w:tc>
        <w:tc>
          <w:tcPr>
            <w:tcW w:w="2199" w:type="dxa"/>
            <w:vMerge w:val="restart"/>
            <w:vAlign w:val="center"/>
          </w:tcPr>
          <w:p w14:paraId="5F732E9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供给服务能力</w:t>
            </w:r>
          </w:p>
        </w:tc>
        <w:tc>
          <w:tcPr>
            <w:tcW w:w="2701" w:type="dxa"/>
            <w:shd w:val="clear" w:color="auto" w:fill="auto"/>
            <w:vAlign w:val="center"/>
          </w:tcPr>
          <w:p w14:paraId="0915542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水资源利用量</w:t>
            </w:r>
          </w:p>
        </w:tc>
        <w:tc>
          <w:tcPr>
            <w:tcW w:w="1467" w:type="dxa"/>
            <w:shd w:val="clear" w:color="auto" w:fill="auto"/>
            <w:vAlign w:val="center"/>
          </w:tcPr>
          <w:p w14:paraId="20839DC8">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highlight w:val="none"/>
                <w:vertAlign w:val="baseline"/>
                <w:lang w:val="en-US" w:eastAsia="zh-CN"/>
              </w:rPr>
              <w:t>参考性指标</w:t>
            </w:r>
          </w:p>
        </w:tc>
        <w:tc>
          <w:tcPr>
            <w:tcW w:w="2495" w:type="dxa"/>
            <w:shd w:val="clear" w:color="auto" w:fill="auto"/>
            <w:vAlign w:val="center"/>
          </w:tcPr>
          <w:p w14:paraId="53DB42E2">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生产生活单元</w:t>
            </w:r>
          </w:p>
          <w:p w14:paraId="5DFE9BD9">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default" w:hAnsi="Times New Roman" w:cs="Times New Roman"/>
                <w:color w:val="000000"/>
                <w:szCs w:val="18"/>
                <w:highlight w:val="none"/>
                <w:lang w:val="en-US" w:eastAsia="zh-CN"/>
              </w:rPr>
              <w:t>河湖湿地水安全单元</w:t>
            </w:r>
          </w:p>
        </w:tc>
      </w:tr>
      <w:tr w14:paraId="3D2F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vAlign w:val="center"/>
          </w:tcPr>
          <w:p w14:paraId="46CDC2D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18</w:t>
            </w:r>
          </w:p>
        </w:tc>
        <w:tc>
          <w:tcPr>
            <w:tcW w:w="2199" w:type="dxa"/>
            <w:vMerge w:val="continue"/>
            <w:vAlign w:val="center"/>
          </w:tcPr>
          <w:p w14:paraId="1050B07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shd w:val="clear" w:color="auto" w:fill="auto"/>
            <w:vAlign w:val="center"/>
          </w:tcPr>
          <w:p w14:paraId="5BE6259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草地</w:t>
            </w:r>
            <w:r>
              <w:rPr>
                <w:rFonts w:hint="eastAsia" w:cs="Times New Roman"/>
                <w:szCs w:val="18"/>
                <w:highlight w:val="none"/>
                <w:vertAlign w:val="baseline"/>
                <w:lang w:val="en-US" w:eastAsia="zh-CN"/>
              </w:rPr>
              <w:t>载</w:t>
            </w:r>
            <w:r>
              <w:rPr>
                <w:rFonts w:hint="eastAsia" w:ascii="宋体" w:hAnsi="Times New Roman" w:eastAsia="宋体" w:cs="Times New Roman"/>
                <w:szCs w:val="18"/>
                <w:highlight w:val="none"/>
                <w:vertAlign w:val="baseline"/>
                <w:lang w:val="en-US" w:eastAsia="zh-CN"/>
              </w:rPr>
              <w:t>畜压力</w:t>
            </w:r>
          </w:p>
        </w:tc>
        <w:tc>
          <w:tcPr>
            <w:tcW w:w="1467" w:type="dxa"/>
            <w:shd w:val="clear" w:color="auto" w:fill="auto"/>
            <w:vAlign w:val="center"/>
          </w:tcPr>
          <w:p w14:paraId="588E11AF">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highlight w:val="none"/>
                <w:vertAlign w:val="baseline"/>
                <w:lang w:val="en-US" w:eastAsia="zh-CN"/>
              </w:rPr>
              <w:t>参考性指标</w:t>
            </w:r>
          </w:p>
        </w:tc>
        <w:tc>
          <w:tcPr>
            <w:tcW w:w="2495" w:type="dxa"/>
            <w:shd w:val="clear" w:color="auto" w:fill="auto"/>
            <w:vAlign w:val="center"/>
          </w:tcPr>
          <w:p w14:paraId="20F82BB8">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生产生活单元</w:t>
            </w:r>
          </w:p>
        </w:tc>
      </w:tr>
      <w:tr w14:paraId="4E54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vAlign w:val="center"/>
          </w:tcPr>
          <w:p w14:paraId="577D1E5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19</w:t>
            </w:r>
          </w:p>
        </w:tc>
        <w:tc>
          <w:tcPr>
            <w:tcW w:w="2199" w:type="dxa"/>
            <w:vMerge w:val="continue"/>
            <w:vAlign w:val="center"/>
          </w:tcPr>
          <w:p w14:paraId="5EA3063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shd w:val="clear" w:color="auto" w:fill="auto"/>
            <w:vAlign w:val="center"/>
          </w:tcPr>
          <w:p w14:paraId="5EE6142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水产捕捞量</w:t>
            </w:r>
          </w:p>
        </w:tc>
        <w:tc>
          <w:tcPr>
            <w:tcW w:w="1467" w:type="dxa"/>
            <w:shd w:val="clear" w:color="auto" w:fill="auto"/>
            <w:vAlign w:val="center"/>
          </w:tcPr>
          <w:p w14:paraId="1F7C48EB">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highlight w:val="none"/>
                <w:vertAlign w:val="baseline"/>
                <w:lang w:val="en-US" w:eastAsia="zh-CN"/>
              </w:rPr>
              <w:t>参考性指标</w:t>
            </w:r>
          </w:p>
        </w:tc>
        <w:tc>
          <w:tcPr>
            <w:tcW w:w="2495" w:type="dxa"/>
            <w:shd w:val="clear" w:color="auto" w:fill="auto"/>
            <w:vAlign w:val="center"/>
          </w:tcPr>
          <w:p w14:paraId="123499CF">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生产生活单元</w:t>
            </w:r>
          </w:p>
        </w:tc>
      </w:tr>
      <w:tr w14:paraId="4CE6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vAlign w:val="center"/>
          </w:tcPr>
          <w:p w14:paraId="20BB66A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20</w:t>
            </w:r>
          </w:p>
        </w:tc>
        <w:tc>
          <w:tcPr>
            <w:tcW w:w="2199" w:type="dxa"/>
            <w:vMerge w:val="continue"/>
            <w:vAlign w:val="center"/>
          </w:tcPr>
          <w:p w14:paraId="24EAD02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701" w:type="dxa"/>
            <w:shd w:val="clear" w:color="auto" w:fill="auto"/>
            <w:vAlign w:val="center"/>
          </w:tcPr>
          <w:p w14:paraId="4E7746E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木材砍伐量</w:t>
            </w:r>
          </w:p>
        </w:tc>
        <w:tc>
          <w:tcPr>
            <w:tcW w:w="1467" w:type="dxa"/>
            <w:shd w:val="clear" w:color="auto" w:fill="auto"/>
            <w:vAlign w:val="center"/>
          </w:tcPr>
          <w:p w14:paraId="73053F59">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highlight w:val="none"/>
                <w:vertAlign w:val="baseline"/>
                <w:lang w:val="en-US" w:eastAsia="zh-CN"/>
              </w:rPr>
              <w:t>参考性指标</w:t>
            </w:r>
          </w:p>
        </w:tc>
        <w:tc>
          <w:tcPr>
            <w:tcW w:w="2495" w:type="dxa"/>
            <w:shd w:val="clear" w:color="auto" w:fill="auto"/>
            <w:vAlign w:val="center"/>
          </w:tcPr>
          <w:p w14:paraId="4E5C0205">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Cs w:val="18"/>
                <w:highlight w:val="none"/>
                <w:vertAlign w:val="baseline"/>
                <w:lang w:val="en-US" w:eastAsia="zh-CN"/>
              </w:rPr>
              <w:t>生产生活单元</w:t>
            </w:r>
          </w:p>
        </w:tc>
      </w:tr>
      <w:tr w14:paraId="3924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vAlign w:val="center"/>
          </w:tcPr>
          <w:p w14:paraId="6CD07CE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Cs w:val="18"/>
                <w:highlight w:val="none"/>
                <w:vertAlign w:val="baseline"/>
                <w:lang w:val="en-US" w:eastAsia="zh-CN"/>
              </w:rPr>
            </w:pPr>
            <w:r>
              <w:rPr>
                <w:rFonts w:hint="eastAsia" w:cs="Times New Roman"/>
                <w:szCs w:val="18"/>
                <w:highlight w:val="none"/>
                <w:vertAlign w:val="baseline"/>
                <w:lang w:val="en-US" w:eastAsia="zh-CN"/>
              </w:rPr>
              <w:t>21</w:t>
            </w:r>
          </w:p>
        </w:tc>
        <w:tc>
          <w:tcPr>
            <w:tcW w:w="2199" w:type="dxa"/>
            <w:vMerge w:val="restart"/>
            <w:vAlign w:val="center"/>
          </w:tcPr>
          <w:p w14:paraId="579745E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文化服务能力</w:t>
            </w:r>
          </w:p>
        </w:tc>
        <w:tc>
          <w:tcPr>
            <w:tcW w:w="2701" w:type="dxa"/>
            <w:shd w:val="clear" w:color="auto" w:fill="auto"/>
            <w:vAlign w:val="center"/>
          </w:tcPr>
          <w:p w14:paraId="58974EC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景观受益面积</w:t>
            </w:r>
          </w:p>
        </w:tc>
        <w:tc>
          <w:tcPr>
            <w:tcW w:w="1467" w:type="dxa"/>
            <w:shd w:val="clear" w:color="auto" w:fill="auto"/>
            <w:vAlign w:val="center"/>
          </w:tcPr>
          <w:p w14:paraId="772CFD1C">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495" w:type="dxa"/>
            <w:shd w:val="clear" w:color="auto" w:fill="auto"/>
            <w:vAlign w:val="center"/>
          </w:tcPr>
          <w:p w14:paraId="2A5DB2F1">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390B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98" w:type="dxa"/>
            <w:vAlign w:val="center"/>
          </w:tcPr>
          <w:p w14:paraId="574FB84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Cs w:val="18"/>
                <w:highlight w:val="none"/>
                <w:vertAlign w:val="baseline"/>
                <w:lang w:val="en-US" w:eastAsia="zh-CN"/>
              </w:rPr>
            </w:pPr>
            <w:r>
              <w:rPr>
                <w:rFonts w:hint="eastAsia" w:cs="Times New Roman"/>
                <w:szCs w:val="18"/>
                <w:highlight w:val="none"/>
                <w:vertAlign w:val="baseline"/>
                <w:lang w:val="en-US" w:eastAsia="zh-CN"/>
              </w:rPr>
              <w:t>22</w:t>
            </w:r>
          </w:p>
        </w:tc>
        <w:tc>
          <w:tcPr>
            <w:tcW w:w="2199" w:type="dxa"/>
            <w:vMerge w:val="continue"/>
            <w:vAlign w:val="center"/>
          </w:tcPr>
          <w:p w14:paraId="724C338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Cs w:val="18"/>
                <w:highlight w:val="none"/>
                <w:vertAlign w:val="baseline"/>
                <w:lang w:val="en-US" w:eastAsia="zh-CN"/>
              </w:rPr>
            </w:pPr>
          </w:p>
        </w:tc>
        <w:tc>
          <w:tcPr>
            <w:tcW w:w="2701" w:type="dxa"/>
            <w:shd w:val="clear" w:color="auto" w:fill="auto"/>
            <w:vAlign w:val="center"/>
          </w:tcPr>
          <w:p w14:paraId="70D1B81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年游憩人次</w:t>
            </w:r>
          </w:p>
        </w:tc>
        <w:tc>
          <w:tcPr>
            <w:tcW w:w="1467" w:type="dxa"/>
            <w:shd w:val="clear" w:color="auto" w:fill="auto"/>
            <w:vAlign w:val="center"/>
          </w:tcPr>
          <w:p w14:paraId="0D69937C">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495" w:type="dxa"/>
            <w:shd w:val="clear" w:color="auto" w:fill="auto"/>
            <w:vAlign w:val="center"/>
          </w:tcPr>
          <w:p w14:paraId="7F672221">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生态游憩单元</w:t>
            </w:r>
          </w:p>
        </w:tc>
      </w:tr>
    </w:tbl>
    <w:p w14:paraId="407E850A">
      <w:pPr>
        <w:pStyle w:val="62"/>
        <w:rPr>
          <w:rFonts w:hint="default" w:hAnsi="Times New Roman" w:cs="Times New Roman"/>
          <w:highlight w:val="none"/>
          <w:lang w:val="en-US" w:eastAsia="zh-CN"/>
        </w:rPr>
      </w:pPr>
      <w:bookmarkStart w:id="281" w:name="_Toc24121"/>
      <w:bookmarkStart w:id="282" w:name="_Toc19212"/>
      <w:bookmarkStart w:id="283" w:name="_Toc13800"/>
      <w:bookmarkStart w:id="284" w:name="_Toc21423"/>
      <w:r>
        <w:rPr>
          <w:rFonts w:hint="eastAsia" w:hAnsi="Times New Roman" w:cs="Times New Roman"/>
          <w:highlight w:val="none"/>
          <w:lang w:val="en-US" w:eastAsia="zh-CN"/>
        </w:rPr>
        <w:t>生态胁迫</w:t>
      </w:r>
      <w:bookmarkEnd w:id="278"/>
      <w:bookmarkEnd w:id="279"/>
      <w:bookmarkEnd w:id="280"/>
      <w:bookmarkEnd w:id="281"/>
      <w:bookmarkEnd w:id="282"/>
      <w:bookmarkEnd w:id="283"/>
      <w:bookmarkEnd w:id="284"/>
    </w:p>
    <w:p w14:paraId="312EF919">
      <w:pPr>
        <w:pStyle w:val="61"/>
        <w:spacing w:before="156" w:after="156"/>
        <w:rPr>
          <w:rFonts w:hint="eastAsia" w:ascii="黑体" w:hAnsi="Times New Roman" w:eastAsia="黑体" w:cs="Times New Roman"/>
          <w:color w:val="000000"/>
          <w:kern w:val="0"/>
          <w:sz w:val="21"/>
          <w:szCs w:val="21"/>
          <w:highlight w:val="none"/>
          <w:lang w:val="en-US" w:eastAsia="zh-CN" w:bidi="ar"/>
        </w:rPr>
      </w:pPr>
      <w:r>
        <w:rPr>
          <w:rFonts w:hint="eastAsia" w:hAnsi="Times New Roman" w:cs="Times New Roman"/>
          <w:color w:val="000000"/>
          <w:kern w:val="0"/>
          <w:sz w:val="21"/>
          <w:szCs w:val="21"/>
          <w:highlight w:val="none"/>
          <w:lang w:val="en-US" w:eastAsia="zh-CN" w:bidi="ar"/>
        </w:rPr>
        <w:t>总</w:t>
      </w:r>
      <w:r>
        <w:rPr>
          <w:rFonts w:hint="eastAsia" w:cs="Times New Roman"/>
          <w:color w:val="000000"/>
          <w:kern w:val="0"/>
          <w:sz w:val="21"/>
          <w:szCs w:val="21"/>
          <w:highlight w:val="none"/>
          <w:lang w:val="en-US" w:eastAsia="zh-CN" w:bidi="ar"/>
        </w:rPr>
        <w:t>体要求</w:t>
      </w:r>
    </w:p>
    <w:p w14:paraId="09303F97">
      <w:pPr>
        <w:pStyle w:val="25"/>
        <w:rPr>
          <w:rFonts w:hint="default"/>
          <w:highlight w:val="none"/>
          <w:lang w:val="en-US" w:eastAsia="zh-CN"/>
        </w:rPr>
      </w:pPr>
      <w:r>
        <w:rPr>
          <w:rFonts w:hint="eastAsia" w:ascii="宋体" w:hAnsi="宋体" w:eastAsia="宋体" w:cs="宋体"/>
          <w:color w:val="000000"/>
          <w:kern w:val="0"/>
          <w:sz w:val="21"/>
          <w:szCs w:val="21"/>
          <w:highlight w:val="none"/>
          <w:lang w:val="en-US" w:eastAsia="zh-CN" w:bidi="ar"/>
        </w:rPr>
        <w:t>调查评价由于人类活动和自然条件变化引起的自然生态系统退化及由此衍生的不良生态环境效应</w:t>
      </w:r>
      <w:r>
        <w:rPr>
          <w:rFonts w:hint="eastAsia" w:hAnsi="宋体" w:cs="宋体"/>
          <w:color w:val="000000"/>
          <w:kern w:val="0"/>
          <w:sz w:val="21"/>
          <w:szCs w:val="21"/>
          <w:highlight w:val="none"/>
          <w:lang w:val="en-US" w:eastAsia="zh-CN" w:bidi="ar"/>
        </w:rPr>
        <w:t>，尽可能保证所列胁迫的完整性和准确性</w:t>
      </w:r>
      <w:r>
        <w:rPr>
          <w:rFonts w:hint="eastAsia" w:ascii="宋体" w:hAnsi="宋体" w:eastAsia="宋体" w:cs="宋体"/>
          <w:color w:val="000000"/>
          <w:kern w:val="0"/>
          <w:sz w:val="21"/>
          <w:szCs w:val="21"/>
          <w:highlight w:val="none"/>
          <w:lang w:val="en-US" w:eastAsia="zh-CN" w:bidi="ar"/>
        </w:rPr>
        <w:t>。</w:t>
      </w:r>
      <w:r>
        <w:rPr>
          <w:rFonts w:hint="eastAsia" w:ascii="宋体" w:hAnsi="Times New Roman" w:eastAsia="宋体" w:cs="Times New Roman"/>
          <w:highlight w:val="none"/>
          <w:lang w:val="en-US" w:eastAsia="zh-CN"/>
        </w:rPr>
        <w:t>具体二级和三级指标见表</w:t>
      </w:r>
      <w:r>
        <w:rPr>
          <w:rFonts w:hint="eastAsia" w:cs="Times New Roman"/>
          <w:highlight w:val="none"/>
          <w:lang w:val="en-US" w:eastAsia="zh-CN"/>
        </w:rPr>
        <w:t>4</w:t>
      </w:r>
      <w:r>
        <w:rPr>
          <w:rFonts w:hint="eastAsia" w:ascii="宋体" w:hAnsi="Times New Roman" w:eastAsia="宋体" w:cs="Times New Roman"/>
          <w:highlight w:val="none"/>
          <w:lang w:val="en-US" w:eastAsia="zh-CN"/>
        </w:rPr>
        <w:t>。</w:t>
      </w:r>
    </w:p>
    <w:p w14:paraId="304E7454">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地质</w:t>
      </w:r>
      <w:r>
        <w:rPr>
          <w:rFonts w:hint="eastAsia" w:cs="Times New Roman"/>
          <w:highlight w:val="none"/>
          <w:lang w:val="en-US" w:eastAsia="zh-CN"/>
        </w:rPr>
        <w:t>灾害易发性</w:t>
      </w:r>
    </w:p>
    <w:p w14:paraId="4B004365">
      <w:pPr>
        <w:pStyle w:val="25"/>
        <w:rPr>
          <w:rFonts w:hint="default" w:cs="Times New Roman"/>
          <w:highlight w:val="none"/>
          <w:vertAlign w:val="baseline"/>
          <w:lang w:val="en-US" w:eastAsia="zh-CN"/>
        </w:rPr>
      </w:pPr>
      <w:r>
        <w:rPr>
          <w:rFonts w:hint="eastAsia" w:ascii="Times New Roman" w:eastAsia="宋体" w:cs="Times New Roman"/>
          <w:color w:val="auto"/>
          <w:kern w:val="2"/>
          <w:sz w:val="21"/>
          <w:szCs w:val="24"/>
          <w:highlight w:val="none"/>
          <w:lang w:eastAsia="zh-CN"/>
        </w:rPr>
        <w:t>调查评价崩塌、滑坡、泥石流、岩溶塌陷、采空塌陷、地裂缝、地面沉降等地质灾害隐患情况，</w:t>
      </w:r>
      <w:r>
        <w:rPr>
          <w:rFonts w:hint="eastAsia"/>
          <w:highlight w:val="none"/>
          <w:lang w:val="en-US" w:eastAsia="zh-CN"/>
        </w:rPr>
        <w:t>由</w:t>
      </w:r>
      <w:r>
        <w:rPr>
          <w:rFonts w:hint="eastAsia" w:cs="Times New Roman"/>
          <w:highlight w:val="none"/>
          <w:vertAlign w:val="baseline"/>
          <w:lang w:val="en-US" w:eastAsia="zh-CN"/>
        </w:rPr>
        <w:t>地质安全隐患点数量</w:t>
      </w:r>
      <w:r>
        <w:rPr>
          <w:rFonts w:hint="eastAsia" w:ascii="宋体" w:hAnsi="Times New Roman" w:eastAsia="宋体" w:cs="Times New Roman"/>
          <w:highlight w:val="none"/>
          <w:vertAlign w:val="baseline"/>
          <w:lang w:val="en-US" w:eastAsia="zh-CN"/>
        </w:rPr>
        <w:t>来反映。</w:t>
      </w:r>
      <w:r>
        <w:rPr>
          <w:rFonts w:hint="eastAsia" w:cs="Times New Roman"/>
          <w:highlight w:val="none"/>
          <w:vertAlign w:val="baseline"/>
          <w:lang w:val="en-US" w:eastAsia="zh-CN"/>
        </w:rPr>
        <w:t>主要的地质安全隐患评价按照</w:t>
      </w:r>
      <w:r>
        <w:rPr>
          <w:rFonts w:hint="eastAsia" w:cs="Times New Roman"/>
          <w:i w:val="0"/>
          <w:iCs w:val="0"/>
          <w:caps w:val="0"/>
          <w:color w:val="auto"/>
          <w:spacing w:val="0"/>
          <w:sz w:val="21"/>
          <w:szCs w:val="20"/>
          <w:highlight w:val="none"/>
          <w:shd w:val="clear" w:color="auto" w:fill="auto"/>
          <w:lang w:val="en-US" w:eastAsia="zh-CN" w:bidi="ar"/>
        </w:rPr>
        <w:t>GB/T</w:t>
      </w:r>
      <w:r>
        <w:rPr>
          <w:rFonts w:hint="eastAsia" w:ascii="宋体" w:hAnsi="Times New Roman" w:eastAsia="宋体" w:cs="Times New Roman"/>
          <w:i w:val="0"/>
          <w:iCs w:val="0"/>
          <w:caps w:val="0"/>
          <w:color w:val="auto"/>
          <w:spacing w:val="0"/>
          <w:sz w:val="21"/>
          <w:szCs w:val="20"/>
          <w:highlight w:val="none"/>
          <w:shd w:val="clear" w:color="auto" w:fill="auto"/>
          <w:lang w:val="en-US" w:eastAsia="zh-CN" w:bidi="ar"/>
        </w:rPr>
        <w:t>40112</w:t>
      </w:r>
      <w:r>
        <w:rPr>
          <w:rFonts w:hint="eastAsia" w:cs="Times New Roman"/>
          <w:i w:val="0"/>
          <w:iCs w:val="0"/>
          <w:caps w:val="0"/>
          <w:color w:val="auto"/>
          <w:spacing w:val="0"/>
          <w:sz w:val="21"/>
          <w:szCs w:val="20"/>
          <w:highlight w:val="none"/>
          <w:shd w:val="clear" w:color="auto" w:fill="auto"/>
          <w:lang w:val="en-US" w:eastAsia="zh-CN" w:bidi="ar"/>
        </w:rPr>
        <w:t>执行。</w:t>
      </w:r>
    </w:p>
    <w:p w14:paraId="78025EE4">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水土流失</w:t>
      </w:r>
    </w:p>
    <w:p w14:paraId="2A531D00">
      <w:pPr>
        <w:keepNext w:val="0"/>
        <w:keepLines w:val="0"/>
        <w:widowControl/>
        <w:suppressLineNumbers w:val="0"/>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highlight w:val="none"/>
          <w:lang w:val="en-US" w:eastAsia="zh-CN"/>
        </w:rPr>
        <w:t>调查评价</w:t>
      </w:r>
      <w:r>
        <w:rPr>
          <w:rFonts w:hint="eastAsia" w:ascii="宋体" w:hAnsi="宋体" w:eastAsia="宋体" w:cs="宋体"/>
          <w:color w:val="000000"/>
          <w:kern w:val="0"/>
          <w:sz w:val="21"/>
          <w:szCs w:val="21"/>
          <w:highlight w:val="none"/>
          <w:lang w:val="en-US" w:eastAsia="zh-CN" w:bidi="ar"/>
        </w:rPr>
        <w:t>由水、重力和风等外营力引起的水、土资源的破坏和损失程度。主要包括</w:t>
      </w:r>
      <w:r>
        <w:rPr>
          <w:rFonts w:hint="eastAsia" w:hAnsi="Times New Roman" w:cs="Times New Roman"/>
          <w:highlight w:val="none"/>
          <w:lang w:val="en-US" w:eastAsia="zh-CN"/>
        </w:rPr>
        <w:t>土壤可蚀性因子、</w:t>
      </w:r>
      <w:r>
        <w:rPr>
          <w:rFonts w:hint="eastAsia" w:ascii="宋体" w:hAnsi="Times New Roman" w:eastAsia="宋体" w:cs="Times New Roman"/>
          <w:highlight w:val="none"/>
          <w:vertAlign w:val="baseline"/>
          <w:lang w:val="en-US" w:eastAsia="zh-CN"/>
        </w:rPr>
        <w:t>沙化土地面积、盐渍化土地面积等</w:t>
      </w:r>
      <w:r>
        <w:rPr>
          <w:rFonts w:hint="eastAsia" w:ascii="宋体" w:cs="Times New Roman"/>
          <w:highlight w:val="none"/>
          <w:vertAlign w:val="baseline"/>
          <w:lang w:val="en-US" w:eastAsia="zh-CN"/>
        </w:rPr>
        <w:t>。</w:t>
      </w:r>
    </w:p>
    <w:p w14:paraId="1D3F44F6">
      <w:pPr>
        <w:pStyle w:val="61"/>
        <w:spacing w:before="156" w:after="156"/>
        <w:rPr>
          <w:rFonts w:hint="eastAsia" w:hAnsi="Times New Roman" w:cs="Times New Roman"/>
          <w:highlight w:val="none"/>
          <w:lang w:val="en-US" w:eastAsia="zh-CN"/>
        </w:rPr>
      </w:pPr>
      <w:r>
        <w:rPr>
          <w:rFonts w:hint="eastAsia" w:hAnsi="Times New Roman" w:cs="Times New Roman"/>
          <w:highlight w:val="none"/>
          <w:lang w:val="en-US" w:eastAsia="zh-CN"/>
        </w:rPr>
        <w:t>生物灾害</w:t>
      </w:r>
    </w:p>
    <w:p w14:paraId="6702DF27">
      <w:pPr>
        <w:pStyle w:val="25"/>
        <w:rPr>
          <w:rFonts w:hint="eastAsia"/>
          <w:highlight w:val="none"/>
          <w:lang w:val="en-US" w:eastAsia="zh-CN"/>
        </w:rPr>
      </w:pPr>
      <w:r>
        <w:rPr>
          <w:rFonts w:hint="eastAsia"/>
          <w:highlight w:val="none"/>
          <w:lang w:val="en-US" w:eastAsia="zh-CN"/>
        </w:rPr>
        <w:t>调查评价外部生物入侵、病虫害等的潜在威胁。主要包括</w:t>
      </w:r>
      <w:r>
        <w:rPr>
          <w:rFonts w:hint="eastAsia" w:ascii="宋体" w:hAnsi="Times New Roman" w:eastAsia="宋体" w:cs="Times New Roman"/>
          <w:highlight w:val="none"/>
          <w:vertAlign w:val="baseline"/>
          <w:lang w:val="en-US" w:eastAsia="zh-CN"/>
        </w:rPr>
        <w:t>外来入侵物种种类与数目、</w:t>
      </w:r>
      <w:r>
        <w:rPr>
          <w:rFonts w:hint="eastAsia" w:hAnsi="Times New Roman" w:cs="Times New Roman"/>
          <w:color w:val="000000"/>
          <w:highlight w:val="none"/>
          <w:lang w:val="en-US" w:eastAsia="zh-CN"/>
        </w:rPr>
        <w:t>病虫害发生的频次等。</w:t>
      </w:r>
    </w:p>
    <w:p w14:paraId="02720063">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生态系统退化</w:t>
      </w:r>
    </w:p>
    <w:p w14:paraId="699F3648">
      <w:pPr>
        <w:keepNext w:val="0"/>
        <w:keepLines w:val="0"/>
        <w:widowControl/>
        <w:suppressLineNumbers w:val="0"/>
        <w:ind w:firstLine="420" w:firstLineChars="200"/>
        <w:jc w:val="left"/>
        <w:rPr>
          <w:rFonts w:hint="eastAsia" w:ascii="宋体" w:hAnsi="Times New Roman" w:eastAsia="宋体" w:cs="Times New Roman"/>
          <w:highlight w:val="none"/>
          <w:vertAlign w:val="baseline"/>
          <w:lang w:val="en-US" w:eastAsia="zh-CN"/>
        </w:rPr>
      </w:pPr>
      <w:r>
        <w:rPr>
          <w:rFonts w:hint="eastAsia" w:ascii="宋体" w:eastAsia="宋体" w:cs="Times New Roman"/>
          <w:color w:val="auto"/>
          <w:sz w:val="21"/>
          <w:szCs w:val="24"/>
          <w:highlight w:val="none"/>
          <w:lang w:eastAsia="zh-CN"/>
        </w:rPr>
        <w:t>调查评价森林、草地、湿地、荒漠等主要生态系统逆行演替、生产力下降的过程</w:t>
      </w:r>
      <w:r>
        <w:rPr>
          <w:rFonts w:hint="eastAsia" w:ascii="宋体" w:hAnsi="Times New Roman" w:eastAsia="宋体" w:cs="Times New Roman"/>
          <w:color w:val="auto"/>
          <w:kern w:val="2"/>
          <w:sz w:val="21"/>
          <w:szCs w:val="24"/>
          <w:highlight w:val="none"/>
          <w:lang w:val="en-US" w:eastAsia="zh-CN" w:bidi="ar"/>
        </w:rPr>
        <w:t>。主要包括</w:t>
      </w:r>
      <w:r>
        <w:rPr>
          <w:rFonts w:hint="eastAsia" w:ascii="宋体" w:hAnsi="Times New Roman" w:eastAsia="宋体" w:cs="Times New Roman"/>
          <w:highlight w:val="none"/>
          <w:vertAlign w:val="baseline"/>
          <w:lang w:val="en-US" w:eastAsia="zh-CN"/>
        </w:rPr>
        <w:t>森林退化指数、草地退化指数、湿地萎缩面积比例、富营养状况指数等。</w:t>
      </w:r>
    </w:p>
    <w:p w14:paraId="04EBA6DE">
      <w:pPr>
        <w:pStyle w:val="61"/>
        <w:keepNext w:val="0"/>
        <w:keepLines w:val="0"/>
        <w:widowControl/>
        <w:suppressLineNumbers w:val="0"/>
        <w:spacing w:before="156" w:after="156"/>
        <w:ind w:firstLineChars="0"/>
        <w:jc w:val="left"/>
        <w:rPr>
          <w:rFonts w:hint="eastAsia" w:ascii="黑体" w:hAnsi="Times New Roman" w:eastAsia="黑体" w:cs="Times New Roman"/>
          <w:highlight w:val="none"/>
          <w:vertAlign w:val="baseline"/>
          <w:lang w:val="en-US" w:eastAsia="zh-CN"/>
        </w:rPr>
      </w:pPr>
      <w:r>
        <w:rPr>
          <w:rFonts w:hint="eastAsia" w:cs="Times New Roman"/>
          <w:highlight w:val="none"/>
          <w:lang w:val="en-US" w:eastAsia="zh-CN"/>
        </w:rPr>
        <w:t>气候灾害</w:t>
      </w:r>
    </w:p>
    <w:p w14:paraId="1732EF83">
      <w:pPr>
        <w:keepNext w:val="0"/>
        <w:keepLines w:val="0"/>
        <w:widowControl/>
        <w:suppressLineNumbers w:val="0"/>
        <w:ind w:firstLine="420" w:firstLineChars="200"/>
        <w:jc w:val="left"/>
        <w:rPr>
          <w:rFonts w:hint="eastAsia"/>
          <w:highlight w:val="none"/>
        </w:rPr>
      </w:pPr>
      <w:r>
        <w:rPr>
          <w:rFonts w:hint="eastAsia" w:ascii="Times New Roman" w:hAnsi="Times New Roman" w:eastAsia="宋体" w:cs="Times New Roman"/>
          <w:color w:val="auto"/>
          <w:kern w:val="2"/>
          <w:sz w:val="21"/>
          <w:szCs w:val="24"/>
          <w:highlight w:val="none"/>
          <w:lang w:val="en-US" w:eastAsia="zh-CN" w:bidi="ar"/>
        </w:rPr>
        <w:t>指区域内台风、洪涝、干旱、寒潮等极端天气发生的频次。</w:t>
      </w:r>
    </w:p>
    <w:p w14:paraId="3A299FBB">
      <w:pPr>
        <w:pStyle w:val="61"/>
        <w:spacing w:before="156" w:after="156"/>
        <w:rPr>
          <w:rFonts w:hint="default" w:hAnsi="Times New Roman" w:cs="Times New Roman"/>
          <w:highlight w:val="none"/>
          <w:lang w:val="en-US" w:eastAsia="zh-CN"/>
        </w:rPr>
      </w:pPr>
      <w:r>
        <w:rPr>
          <w:rFonts w:hint="eastAsia" w:hAnsi="Times New Roman" w:cs="Times New Roman"/>
          <w:highlight w:val="none"/>
          <w:lang w:val="en-US" w:eastAsia="zh-CN"/>
        </w:rPr>
        <w:t>人为活动</w:t>
      </w:r>
    </w:p>
    <w:p w14:paraId="35023A5E">
      <w:pPr>
        <w:ind w:firstLine="420" w:firstLineChars="200"/>
        <w:rPr>
          <w:rFonts w:hint="default"/>
          <w:highlight w:val="none"/>
          <w:lang w:val="en-US" w:eastAsia="zh-CN"/>
        </w:rPr>
      </w:pPr>
      <w:r>
        <w:rPr>
          <w:rFonts w:hint="eastAsia"/>
          <w:highlight w:val="none"/>
          <w:lang w:val="en-US" w:eastAsia="zh-CN"/>
        </w:rPr>
        <w:t>调查评价人为活动对生态环境的影响，主要包括</w:t>
      </w:r>
      <w:r>
        <w:rPr>
          <w:rFonts w:hint="eastAsia" w:ascii="宋体" w:hAnsi="Times New Roman" w:eastAsia="宋体" w:cs="Times New Roman"/>
          <w:highlight w:val="none"/>
          <w:vertAlign w:val="baseline"/>
          <w:lang w:val="en-US" w:eastAsia="zh-CN"/>
        </w:rPr>
        <w:t>人类活动用地类型与面积、人为活动用地综合强度指数、年游憩人次、人工岸线类型与长度等。</w:t>
      </w:r>
    </w:p>
    <w:p w14:paraId="6025DAEC">
      <w:pPr>
        <w:pStyle w:val="25"/>
        <w:rPr>
          <w:rFonts w:hint="eastAsia" w:hAnsi="Times New Roman" w:cs="Times New Roman"/>
          <w:highlight w:val="yellow"/>
          <w:lang w:val="en-US" w:eastAsia="zh-CN"/>
        </w:rPr>
      </w:pPr>
    </w:p>
    <w:p w14:paraId="7297625A">
      <w:pPr>
        <w:pStyle w:val="25"/>
        <w:ind w:left="0" w:leftChars="0" w:firstLine="0" w:firstLineChars="0"/>
        <w:jc w:val="center"/>
        <w:rPr>
          <w:rFonts w:hint="default"/>
          <w:highlight w:val="none"/>
          <w:lang w:val="en-US" w:eastAsia="zh-CN"/>
        </w:rPr>
      </w:pPr>
      <w:r>
        <w:rPr>
          <w:rFonts w:hint="eastAsia" w:ascii="黑体" w:hAnsi="黑体" w:eastAsia="黑体" w:cs="黑体"/>
          <w:b w:val="0"/>
          <w:bCs w:val="0"/>
          <w:highlight w:val="none"/>
          <w:lang w:val="en-US" w:eastAsia="zh-CN"/>
        </w:rPr>
        <w:t>表4 生态胁迫调查评价指标体系</w:t>
      </w:r>
    </w:p>
    <w:tbl>
      <w:tblPr>
        <w:tblStyle w:val="3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2030"/>
        <w:gridCol w:w="2883"/>
        <w:gridCol w:w="1483"/>
        <w:gridCol w:w="2479"/>
      </w:tblGrid>
      <w:tr w14:paraId="70D7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281A7A3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序号</w:t>
            </w:r>
          </w:p>
        </w:tc>
        <w:tc>
          <w:tcPr>
            <w:tcW w:w="2030" w:type="dxa"/>
            <w:noWrap w:val="0"/>
            <w:vAlign w:val="center"/>
          </w:tcPr>
          <w:p w14:paraId="0005645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二级指标</w:t>
            </w:r>
          </w:p>
        </w:tc>
        <w:tc>
          <w:tcPr>
            <w:tcW w:w="2883" w:type="dxa"/>
            <w:noWrap w:val="0"/>
            <w:vAlign w:val="center"/>
          </w:tcPr>
          <w:p w14:paraId="0520E5E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三级指标</w:t>
            </w:r>
          </w:p>
        </w:tc>
        <w:tc>
          <w:tcPr>
            <w:tcW w:w="1483" w:type="dxa"/>
            <w:noWrap w:val="0"/>
            <w:vAlign w:val="center"/>
          </w:tcPr>
          <w:p w14:paraId="4DEFFF2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指标类型</w:t>
            </w:r>
          </w:p>
        </w:tc>
        <w:tc>
          <w:tcPr>
            <w:tcW w:w="2479" w:type="dxa"/>
            <w:noWrap w:val="0"/>
            <w:vAlign w:val="center"/>
          </w:tcPr>
          <w:p w14:paraId="619A622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适用生态单元</w:t>
            </w:r>
          </w:p>
        </w:tc>
      </w:tr>
      <w:tr w14:paraId="71E8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0B9264F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w:t>
            </w:r>
          </w:p>
        </w:tc>
        <w:tc>
          <w:tcPr>
            <w:tcW w:w="2030" w:type="dxa"/>
            <w:vMerge w:val="restart"/>
            <w:noWrap w:val="0"/>
            <w:vAlign w:val="center"/>
          </w:tcPr>
          <w:p w14:paraId="0EAD12D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地质</w:t>
            </w:r>
            <w:r>
              <w:rPr>
                <w:rFonts w:hint="eastAsia" w:cs="Times New Roman"/>
                <w:szCs w:val="18"/>
                <w:highlight w:val="none"/>
                <w:vertAlign w:val="baseline"/>
                <w:lang w:val="en-US" w:eastAsia="zh-CN"/>
              </w:rPr>
              <w:t>灾害易发性</w:t>
            </w:r>
          </w:p>
        </w:tc>
        <w:tc>
          <w:tcPr>
            <w:tcW w:w="2883" w:type="dxa"/>
            <w:noWrap w:val="0"/>
            <w:vAlign w:val="center"/>
          </w:tcPr>
          <w:p w14:paraId="4934FB8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地质安全隐患</w:t>
            </w:r>
            <w:r>
              <w:rPr>
                <w:rFonts w:hint="eastAsia" w:cs="Times New Roman"/>
                <w:szCs w:val="18"/>
                <w:highlight w:val="none"/>
                <w:vertAlign w:val="baseline"/>
                <w:lang w:val="en-US" w:eastAsia="zh-CN"/>
              </w:rPr>
              <w:t>点</w:t>
            </w:r>
            <w:r>
              <w:rPr>
                <w:rFonts w:hint="eastAsia" w:ascii="宋体" w:hAnsi="Times New Roman" w:eastAsia="宋体" w:cs="Times New Roman"/>
                <w:szCs w:val="18"/>
                <w:highlight w:val="none"/>
                <w:vertAlign w:val="baseline"/>
                <w:lang w:val="en-US" w:eastAsia="zh-CN"/>
              </w:rPr>
              <w:t>数量</w:t>
            </w:r>
          </w:p>
        </w:tc>
        <w:tc>
          <w:tcPr>
            <w:tcW w:w="1483" w:type="dxa"/>
            <w:noWrap w:val="0"/>
            <w:vAlign w:val="center"/>
          </w:tcPr>
          <w:p w14:paraId="542BA281">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479" w:type="dxa"/>
            <w:noWrap w:val="0"/>
            <w:vAlign w:val="center"/>
          </w:tcPr>
          <w:p w14:paraId="7CCD349B">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3976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6DEC6CB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2</w:t>
            </w:r>
          </w:p>
        </w:tc>
        <w:tc>
          <w:tcPr>
            <w:tcW w:w="2030" w:type="dxa"/>
            <w:vMerge w:val="continue"/>
            <w:noWrap w:val="0"/>
            <w:vAlign w:val="center"/>
          </w:tcPr>
          <w:p w14:paraId="0235DEF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883" w:type="dxa"/>
            <w:noWrap w:val="0"/>
            <w:vAlign w:val="center"/>
          </w:tcPr>
          <w:p w14:paraId="48C809D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地质灾害易发区占比</w:t>
            </w:r>
          </w:p>
        </w:tc>
        <w:tc>
          <w:tcPr>
            <w:tcW w:w="1483" w:type="dxa"/>
            <w:noWrap w:val="0"/>
            <w:vAlign w:val="center"/>
          </w:tcPr>
          <w:p w14:paraId="7CFAA0FB">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479" w:type="dxa"/>
            <w:noWrap w:val="0"/>
            <w:vAlign w:val="center"/>
          </w:tcPr>
          <w:p w14:paraId="02CF6A88">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2757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09C2FD3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3</w:t>
            </w:r>
          </w:p>
        </w:tc>
        <w:tc>
          <w:tcPr>
            <w:tcW w:w="2030" w:type="dxa"/>
            <w:vMerge w:val="restart"/>
            <w:noWrap w:val="0"/>
            <w:vAlign w:val="center"/>
          </w:tcPr>
          <w:p w14:paraId="0381614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水土流失程度</w:t>
            </w:r>
          </w:p>
        </w:tc>
        <w:tc>
          <w:tcPr>
            <w:tcW w:w="2883" w:type="dxa"/>
            <w:noWrap w:val="0"/>
            <w:vAlign w:val="center"/>
          </w:tcPr>
          <w:p w14:paraId="424C852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hAnsi="Times New Roman" w:cs="Times New Roman"/>
                <w:szCs w:val="18"/>
                <w:highlight w:val="none"/>
                <w:lang w:val="en-US" w:eastAsia="zh-CN"/>
              </w:rPr>
              <w:t>土壤可蚀性因子</w:t>
            </w:r>
          </w:p>
        </w:tc>
        <w:tc>
          <w:tcPr>
            <w:tcW w:w="1483" w:type="dxa"/>
            <w:noWrap w:val="0"/>
            <w:vAlign w:val="center"/>
          </w:tcPr>
          <w:p w14:paraId="36485590">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479" w:type="dxa"/>
            <w:noWrap w:val="0"/>
            <w:vAlign w:val="center"/>
          </w:tcPr>
          <w:p w14:paraId="79A140C3">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6C2D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4490BA3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4</w:t>
            </w:r>
          </w:p>
        </w:tc>
        <w:tc>
          <w:tcPr>
            <w:tcW w:w="2030" w:type="dxa"/>
            <w:vMerge w:val="continue"/>
            <w:noWrap w:val="0"/>
            <w:vAlign w:val="center"/>
          </w:tcPr>
          <w:p w14:paraId="778F225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883" w:type="dxa"/>
            <w:noWrap w:val="0"/>
            <w:vAlign w:val="center"/>
          </w:tcPr>
          <w:p w14:paraId="79B5780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沙化土地面积</w:t>
            </w:r>
          </w:p>
        </w:tc>
        <w:tc>
          <w:tcPr>
            <w:tcW w:w="1483" w:type="dxa"/>
            <w:noWrap w:val="0"/>
            <w:vAlign w:val="center"/>
          </w:tcPr>
          <w:p w14:paraId="17ABEC61">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479" w:type="dxa"/>
            <w:noWrap w:val="0"/>
            <w:vAlign w:val="center"/>
          </w:tcPr>
          <w:p w14:paraId="7C40624F">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5077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2384ED4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5</w:t>
            </w:r>
          </w:p>
        </w:tc>
        <w:tc>
          <w:tcPr>
            <w:tcW w:w="2030" w:type="dxa"/>
            <w:vMerge w:val="continue"/>
            <w:noWrap w:val="0"/>
            <w:vAlign w:val="center"/>
          </w:tcPr>
          <w:p w14:paraId="4472652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883" w:type="dxa"/>
            <w:noWrap w:val="0"/>
            <w:vAlign w:val="center"/>
          </w:tcPr>
          <w:p w14:paraId="5B0AF2B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盐渍化土地面积</w:t>
            </w:r>
          </w:p>
        </w:tc>
        <w:tc>
          <w:tcPr>
            <w:tcW w:w="1483" w:type="dxa"/>
            <w:noWrap w:val="0"/>
            <w:vAlign w:val="center"/>
          </w:tcPr>
          <w:p w14:paraId="5820FE7A">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479" w:type="dxa"/>
            <w:noWrap w:val="0"/>
            <w:vAlign w:val="center"/>
          </w:tcPr>
          <w:p w14:paraId="7D462944">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0016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2CFB35E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6</w:t>
            </w:r>
          </w:p>
        </w:tc>
        <w:tc>
          <w:tcPr>
            <w:tcW w:w="2030" w:type="dxa"/>
            <w:vMerge w:val="restart"/>
            <w:noWrap w:val="0"/>
            <w:vAlign w:val="center"/>
          </w:tcPr>
          <w:p w14:paraId="4E7ED14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生物灾害</w:t>
            </w:r>
          </w:p>
        </w:tc>
        <w:tc>
          <w:tcPr>
            <w:tcW w:w="2883" w:type="dxa"/>
            <w:noWrap w:val="0"/>
            <w:vAlign w:val="center"/>
          </w:tcPr>
          <w:p w14:paraId="241558B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外来入侵物种种类与数目</w:t>
            </w:r>
          </w:p>
        </w:tc>
        <w:tc>
          <w:tcPr>
            <w:tcW w:w="1483" w:type="dxa"/>
            <w:noWrap w:val="0"/>
            <w:vAlign w:val="center"/>
          </w:tcPr>
          <w:p w14:paraId="11AA23E5">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479" w:type="dxa"/>
            <w:noWrap w:val="0"/>
            <w:vAlign w:val="center"/>
          </w:tcPr>
          <w:p w14:paraId="3254886F">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3AB5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0553E7C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7</w:t>
            </w:r>
          </w:p>
        </w:tc>
        <w:tc>
          <w:tcPr>
            <w:tcW w:w="2030" w:type="dxa"/>
            <w:vMerge w:val="continue"/>
            <w:noWrap w:val="0"/>
            <w:vAlign w:val="center"/>
          </w:tcPr>
          <w:p w14:paraId="262ED8F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883" w:type="dxa"/>
            <w:noWrap w:val="0"/>
            <w:vAlign w:val="center"/>
          </w:tcPr>
          <w:p w14:paraId="721B8C9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hAnsi="Times New Roman" w:cs="Times New Roman"/>
                <w:color w:val="000000"/>
                <w:szCs w:val="18"/>
                <w:highlight w:val="none"/>
                <w:lang w:val="en-US" w:eastAsia="zh-CN"/>
              </w:rPr>
              <w:t>病虫害发生的频次</w:t>
            </w:r>
          </w:p>
        </w:tc>
        <w:tc>
          <w:tcPr>
            <w:tcW w:w="1483" w:type="dxa"/>
            <w:noWrap w:val="0"/>
            <w:vAlign w:val="center"/>
          </w:tcPr>
          <w:p w14:paraId="6C4B8513">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479" w:type="dxa"/>
            <w:noWrap w:val="0"/>
            <w:vAlign w:val="center"/>
          </w:tcPr>
          <w:p w14:paraId="1E0AC124">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6AE9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426AC67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8</w:t>
            </w:r>
          </w:p>
        </w:tc>
        <w:tc>
          <w:tcPr>
            <w:tcW w:w="2030" w:type="dxa"/>
            <w:vMerge w:val="restart"/>
            <w:noWrap w:val="0"/>
            <w:vAlign w:val="center"/>
          </w:tcPr>
          <w:p w14:paraId="2A9955B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生态系统退化程度</w:t>
            </w:r>
          </w:p>
        </w:tc>
        <w:tc>
          <w:tcPr>
            <w:tcW w:w="2883" w:type="dxa"/>
            <w:noWrap w:val="0"/>
            <w:vAlign w:val="center"/>
          </w:tcPr>
          <w:p w14:paraId="0AA6365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森林退化指数</w:t>
            </w:r>
          </w:p>
        </w:tc>
        <w:tc>
          <w:tcPr>
            <w:tcW w:w="1483" w:type="dxa"/>
            <w:noWrap w:val="0"/>
            <w:vAlign w:val="center"/>
          </w:tcPr>
          <w:p w14:paraId="2FD48570">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479" w:type="dxa"/>
            <w:noWrap w:val="0"/>
            <w:vAlign w:val="center"/>
          </w:tcPr>
          <w:p w14:paraId="3C82DFAA">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生态保育单元</w:t>
            </w:r>
          </w:p>
        </w:tc>
      </w:tr>
      <w:tr w14:paraId="023B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70C387A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9</w:t>
            </w:r>
          </w:p>
        </w:tc>
        <w:tc>
          <w:tcPr>
            <w:tcW w:w="2030" w:type="dxa"/>
            <w:vMerge w:val="continue"/>
            <w:noWrap w:val="0"/>
            <w:vAlign w:val="center"/>
          </w:tcPr>
          <w:p w14:paraId="10CC70C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883" w:type="dxa"/>
            <w:noWrap w:val="0"/>
            <w:vAlign w:val="center"/>
          </w:tcPr>
          <w:p w14:paraId="29AA32C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草地退化指数</w:t>
            </w:r>
          </w:p>
        </w:tc>
        <w:tc>
          <w:tcPr>
            <w:tcW w:w="1483" w:type="dxa"/>
            <w:noWrap w:val="0"/>
            <w:vAlign w:val="center"/>
          </w:tcPr>
          <w:p w14:paraId="6E16DDD4">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479" w:type="dxa"/>
            <w:noWrap w:val="0"/>
            <w:vAlign w:val="center"/>
          </w:tcPr>
          <w:p w14:paraId="45C70358">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生态保育单元</w:t>
            </w:r>
          </w:p>
        </w:tc>
      </w:tr>
      <w:tr w14:paraId="1842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2721B58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10</w:t>
            </w:r>
          </w:p>
        </w:tc>
        <w:tc>
          <w:tcPr>
            <w:tcW w:w="2030" w:type="dxa"/>
            <w:vMerge w:val="continue"/>
            <w:noWrap w:val="0"/>
            <w:vAlign w:val="center"/>
          </w:tcPr>
          <w:p w14:paraId="542B1DA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883" w:type="dxa"/>
            <w:noWrap w:val="0"/>
            <w:vAlign w:val="center"/>
          </w:tcPr>
          <w:p w14:paraId="501C979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湿地萎缩面积比例</w:t>
            </w:r>
          </w:p>
        </w:tc>
        <w:tc>
          <w:tcPr>
            <w:tcW w:w="1483" w:type="dxa"/>
            <w:noWrap w:val="0"/>
            <w:vAlign w:val="center"/>
          </w:tcPr>
          <w:p w14:paraId="3A74B3D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参考性指标</w:t>
            </w:r>
          </w:p>
        </w:tc>
        <w:tc>
          <w:tcPr>
            <w:tcW w:w="2479" w:type="dxa"/>
            <w:noWrap w:val="0"/>
            <w:vAlign w:val="center"/>
          </w:tcPr>
          <w:p w14:paraId="7499CE61">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default" w:ascii="宋体" w:hAnsi="Times New Roman" w:cs="Times New Roman"/>
                <w:color w:val="000000"/>
                <w:highlight w:val="none"/>
                <w:lang w:val="en-US" w:eastAsia="zh-CN"/>
              </w:rPr>
              <w:t>河湖湿地水安全单元</w:t>
            </w:r>
          </w:p>
        </w:tc>
      </w:tr>
      <w:tr w14:paraId="0E27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5" w:type="dxa"/>
            <w:noWrap w:val="0"/>
            <w:vAlign w:val="center"/>
          </w:tcPr>
          <w:p w14:paraId="1176B5C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11</w:t>
            </w:r>
          </w:p>
        </w:tc>
        <w:tc>
          <w:tcPr>
            <w:tcW w:w="2030" w:type="dxa"/>
            <w:vMerge w:val="continue"/>
            <w:noWrap w:val="0"/>
            <w:vAlign w:val="center"/>
          </w:tcPr>
          <w:p w14:paraId="6F08332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883" w:type="dxa"/>
            <w:noWrap w:val="0"/>
            <w:vAlign w:val="center"/>
          </w:tcPr>
          <w:p w14:paraId="484EFE3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富营养状况指数</w:t>
            </w:r>
          </w:p>
        </w:tc>
        <w:tc>
          <w:tcPr>
            <w:tcW w:w="1483" w:type="dxa"/>
            <w:noWrap w:val="0"/>
            <w:vAlign w:val="center"/>
          </w:tcPr>
          <w:p w14:paraId="212A795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参考性指标</w:t>
            </w:r>
          </w:p>
        </w:tc>
        <w:tc>
          <w:tcPr>
            <w:tcW w:w="2479" w:type="dxa"/>
            <w:noWrap w:val="0"/>
            <w:vAlign w:val="center"/>
          </w:tcPr>
          <w:p w14:paraId="4D53A690">
            <w:pPr>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highlight w:val="none"/>
                <w:vertAlign w:val="baseline"/>
                <w:lang w:val="en-US" w:eastAsia="zh-CN"/>
              </w:rPr>
            </w:pPr>
            <w:r>
              <w:rPr>
                <w:rFonts w:hint="default" w:ascii="宋体" w:hAnsi="Times New Roman" w:cs="Times New Roman"/>
                <w:color w:val="000000"/>
                <w:highlight w:val="none"/>
                <w:lang w:val="en-US" w:eastAsia="zh-CN"/>
              </w:rPr>
              <w:t>河湖湿地水安全单元</w:t>
            </w:r>
          </w:p>
        </w:tc>
      </w:tr>
      <w:tr w14:paraId="0867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39E8CD7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cs="Times New Roman"/>
                <w:szCs w:val="18"/>
                <w:highlight w:val="none"/>
                <w:vertAlign w:val="baseline"/>
                <w:lang w:val="en-US" w:eastAsia="zh-CN"/>
              </w:rPr>
            </w:pPr>
            <w:r>
              <w:rPr>
                <w:rFonts w:hint="eastAsia" w:cs="Times New Roman"/>
                <w:szCs w:val="18"/>
                <w:highlight w:val="none"/>
                <w:vertAlign w:val="baseline"/>
                <w:lang w:val="en-US" w:eastAsia="zh-CN"/>
              </w:rPr>
              <w:t>12</w:t>
            </w:r>
          </w:p>
        </w:tc>
        <w:tc>
          <w:tcPr>
            <w:tcW w:w="2030" w:type="dxa"/>
            <w:noWrap w:val="0"/>
            <w:vAlign w:val="center"/>
          </w:tcPr>
          <w:p w14:paraId="6237097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Cs w:val="18"/>
                <w:highlight w:val="none"/>
                <w:vertAlign w:val="baseline"/>
                <w:lang w:val="en-US" w:eastAsia="zh-CN"/>
              </w:rPr>
            </w:pPr>
            <w:r>
              <w:rPr>
                <w:rFonts w:hint="eastAsia" w:cs="Times New Roman"/>
                <w:szCs w:val="18"/>
                <w:highlight w:val="none"/>
                <w:vertAlign w:val="baseline"/>
                <w:lang w:val="en-US" w:eastAsia="zh-CN"/>
              </w:rPr>
              <w:t>气候灾害</w:t>
            </w:r>
          </w:p>
        </w:tc>
        <w:tc>
          <w:tcPr>
            <w:tcW w:w="2883" w:type="dxa"/>
            <w:shd w:val="clear" w:color="auto" w:fill="auto"/>
            <w:noWrap w:val="0"/>
            <w:vAlign w:val="center"/>
          </w:tcPr>
          <w:p w14:paraId="3B98E6C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kern w:val="0"/>
                <w:sz w:val="21"/>
                <w:szCs w:val="18"/>
                <w:highlight w:val="none"/>
                <w:lang w:val="en-US" w:eastAsia="zh-CN" w:bidi="ar"/>
              </w:rPr>
              <w:t>极端天气发生的频次</w:t>
            </w:r>
          </w:p>
        </w:tc>
        <w:tc>
          <w:tcPr>
            <w:tcW w:w="1483" w:type="dxa"/>
            <w:noWrap w:val="0"/>
            <w:vAlign w:val="center"/>
          </w:tcPr>
          <w:p w14:paraId="71503EC9">
            <w:pPr>
              <w:pStyle w:val="25"/>
              <w:ind w:firstLine="0" w:firstLineChars="0"/>
              <w:jc w:val="center"/>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2479" w:type="dxa"/>
            <w:noWrap w:val="0"/>
            <w:vAlign w:val="center"/>
          </w:tcPr>
          <w:p w14:paraId="4EB42165">
            <w:pPr>
              <w:jc w:val="center"/>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共同适用</w:t>
            </w:r>
          </w:p>
        </w:tc>
      </w:tr>
      <w:tr w14:paraId="06FE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41ABAAD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bookmarkStart w:id="285" w:name="_Toc5616"/>
            <w:bookmarkStart w:id="286" w:name="_Toc27587"/>
            <w:bookmarkStart w:id="287" w:name="_Toc450293157"/>
            <w:r>
              <w:rPr>
                <w:rFonts w:hint="eastAsia" w:cs="Times New Roman"/>
                <w:szCs w:val="18"/>
                <w:highlight w:val="none"/>
                <w:vertAlign w:val="baseline"/>
                <w:lang w:val="en-US" w:eastAsia="zh-CN"/>
              </w:rPr>
              <w:t>13</w:t>
            </w:r>
          </w:p>
        </w:tc>
        <w:tc>
          <w:tcPr>
            <w:tcW w:w="2030" w:type="dxa"/>
            <w:vMerge w:val="restart"/>
            <w:noWrap w:val="0"/>
            <w:vAlign w:val="center"/>
          </w:tcPr>
          <w:p w14:paraId="115596B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人为活动</w:t>
            </w:r>
          </w:p>
        </w:tc>
        <w:tc>
          <w:tcPr>
            <w:tcW w:w="2883" w:type="dxa"/>
            <w:noWrap w:val="0"/>
            <w:vAlign w:val="center"/>
          </w:tcPr>
          <w:p w14:paraId="30B3A07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人类活动用地类型与面积</w:t>
            </w:r>
          </w:p>
        </w:tc>
        <w:tc>
          <w:tcPr>
            <w:tcW w:w="1483" w:type="dxa"/>
            <w:noWrap w:val="0"/>
            <w:vAlign w:val="center"/>
          </w:tcPr>
          <w:p w14:paraId="22869374">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约束性指标</w:t>
            </w:r>
          </w:p>
        </w:tc>
        <w:tc>
          <w:tcPr>
            <w:tcW w:w="2479" w:type="dxa"/>
            <w:noWrap w:val="0"/>
            <w:vAlign w:val="center"/>
          </w:tcPr>
          <w:p w14:paraId="64709352">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共同适用</w:t>
            </w:r>
          </w:p>
        </w:tc>
      </w:tr>
      <w:tr w14:paraId="1A08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455D8AF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14</w:t>
            </w:r>
          </w:p>
        </w:tc>
        <w:tc>
          <w:tcPr>
            <w:tcW w:w="2030" w:type="dxa"/>
            <w:vMerge w:val="continue"/>
            <w:noWrap w:val="0"/>
            <w:vAlign w:val="center"/>
          </w:tcPr>
          <w:p w14:paraId="72AF692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883" w:type="dxa"/>
            <w:noWrap w:val="0"/>
            <w:vAlign w:val="center"/>
          </w:tcPr>
          <w:p w14:paraId="0FC7CEF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人为活动用地综合强度指数</w:t>
            </w:r>
          </w:p>
        </w:tc>
        <w:tc>
          <w:tcPr>
            <w:tcW w:w="1483" w:type="dxa"/>
            <w:noWrap w:val="0"/>
            <w:vAlign w:val="center"/>
          </w:tcPr>
          <w:p w14:paraId="7E84646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约束性指标</w:t>
            </w:r>
          </w:p>
        </w:tc>
        <w:tc>
          <w:tcPr>
            <w:tcW w:w="2479" w:type="dxa"/>
            <w:noWrap w:val="0"/>
            <w:vAlign w:val="center"/>
          </w:tcPr>
          <w:p w14:paraId="258CD7E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color w:val="000000"/>
                <w:szCs w:val="18"/>
                <w:highlight w:val="none"/>
                <w:lang w:val="en-US" w:eastAsia="zh-CN"/>
              </w:rPr>
            </w:pPr>
            <w:r>
              <w:rPr>
                <w:rFonts w:hint="eastAsia" w:ascii="宋体" w:hAnsi="Times New Roman" w:eastAsia="宋体" w:cs="Times New Roman"/>
                <w:szCs w:val="18"/>
                <w:highlight w:val="none"/>
                <w:vertAlign w:val="baseline"/>
                <w:lang w:val="en-US" w:eastAsia="zh-CN"/>
              </w:rPr>
              <w:t>共同适用</w:t>
            </w:r>
          </w:p>
        </w:tc>
      </w:tr>
      <w:tr w14:paraId="7402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noWrap w:val="0"/>
            <w:vAlign w:val="center"/>
          </w:tcPr>
          <w:p w14:paraId="640CBA2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15</w:t>
            </w:r>
          </w:p>
        </w:tc>
        <w:tc>
          <w:tcPr>
            <w:tcW w:w="2030" w:type="dxa"/>
            <w:vMerge w:val="continue"/>
            <w:noWrap w:val="0"/>
            <w:vAlign w:val="center"/>
          </w:tcPr>
          <w:p w14:paraId="1CCAF15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p>
        </w:tc>
        <w:tc>
          <w:tcPr>
            <w:tcW w:w="2883" w:type="dxa"/>
            <w:noWrap w:val="0"/>
            <w:vAlign w:val="center"/>
          </w:tcPr>
          <w:p w14:paraId="5D416B4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人工岸线类型与长度</w:t>
            </w:r>
          </w:p>
        </w:tc>
        <w:tc>
          <w:tcPr>
            <w:tcW w:w="1483" w:type="dxa"/>
            <w:noWrap w:val="0"/>
            <w:vAlign w:val="center"/>
          </w:tcPr>
          <w:p w14:paraId="1E7139EC">
            <w:pPr>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highlight w:val="none"/>
                <w:vertAlign w:val="baseline"/>
                <w:lang w:val="en-US" w:eastAsia="zh-CN"/>
              </w:rPr>
            </w:pPr>
            <w:r>
              <w:rPr>
                <w:rFonts w:hint="eastAsia" w:ascii="宋体" w:hAnsi="Times New Roman" w:eastAsia="宋体" w:cs="Times New Roman"/>
                <w:highlight w:val="none"/>
                <w:vertAlign w:val="baseline"/>
                <w:lang w:val="en-US" w:eastAsia="zh-CN"/>
              </w:rPr>
              <w:t>参考性指标</w:t>
            </w:r>
          </w:p>
        </w:tc>
        <w:tc>
          <w:tcPr>
            <w:tcW w:w="2479" w:type="dxa"/>
            <w:noWrap w:val="0"/>
            <w:vAlign w:val="center"/>
          </w:tcPr>
          <w:p w14:paraId="2C91D437">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hAnsi="Times New Roman" w:cs="Times New Roman"/>
                <w:color w:val="000000"/>
                <w:szCs w:val="18"/>
                <w:highlight w:val="none"/>
                <w:lang w:val="en-US" w:eastAsia="zh-CN"/>
              </w:rPr>
            </w:pPr>
            <w:r>
              <w:rPr>
                <w:rFonts w:hint="default" w:hAnsi="Times New Roman" w:cs="Times New Roman"/>
                <w:color w:val="000000"/>
                <w:szCs w:val="18"/>
                <w:highlight w:val="none"/>
                <w:lang w:val="en-US" w:eastAsia="zh-CN"/>
              </w:rPr>
              <w:t>河湖湿地水安全单元</w:t>
            </w:r>
          </w:p>
          <w:p w14:paraId="6F212A05">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重要生态廊道单元</w:t>
            </w:r>
          </w:p>
        </w:tc>
      </w:tr>
    </w:tbl>
    <w:p w14:paraId="0BA3D607">
      <w:pPr>
        <w:pStyle w:val="80"/>
        <w:rPr>
          <w:rFonts w:hint="eastAsia" w:hAnsi="Times New Roman" w:cs="Times New Roman"/>
          <w:highlight w:val="none"/>
          <w:lang w:val="en-US" w:eastAsia="zh-CN"/>
        </w:rPr>
      </w:pPr>
      <w:bookmarkStart w:id="288" w:name="_Toc23599"/>
      <w:bookmarkStart w:id="289" w:name="_Toc2972"/>
      <w:bookmarkStart w:id="290" w:name="_Toc19651"/>
      <w:bookmarkStart w:id="291" w:name="_Toc26048"/>
      <w:bookmarkStart w:id="292" w:name="_Toc8809"/>
      <w:bookmarkStart w:id="293" w:name="_Toc32024"/>
      <w:bookmarkStart w:id="294" w:name="_Toc24480"/>
      <w:r>
        <w:rPr>
          <w:rFonts w:hint="eastAsia" w:hAnsi="Times New Roman" w:cs="Times New Roman"/>
          <w:highlight w:val="none"/>
          <w:lang w:val="en-US" w:eastAsia="zh-CN"/>
        </w:rPr>
        <w:t>调查评价方法</w:t>
      </w:r>
      <w:bookmarkEnd w:id="285"/>
      <w:bookmarkEnd w:id="286"/>
      <w:bookmarkEnd w:id="288"/>
      <w:bookmarkEnd w:id="289"/>
      <w:bookmarkEnd w:id="290"/>
      <w:bookmarkEnd w:id="291"/>
      <w:bookmarkEnd w:id="292"/>
      <w:bookmarkEnd w:id="293"/>
      <w:bookmarkEnd w:id="294"/>
    </w:p>
    <w:p w14:paraId="27BC595C">
      <w:pPr>
        <w:pStyle w:val="62"/>
        <w:rPr>
          <w:rFonts w:hint="default" w:hAnsi="Times New Roman" w:cs="Times New Roman"/>
          <w:highlight w:val="none"/>
          <w:lang w:val="en-US" w:eastAsia="zh-CN"/>
        </w:rPr>
      </w:pPr>
      <w:bookmarkStart w:id="295" w:name="_Toc18337"/>
      <w:bookmarkStart w:id="296" w:name="_Toc13497"/>
      <w:bookmarkStart w:id="297" w:name="_Toc27754"/>
      <w:bookmarkStart w:id="298" w:name="_Toc8830"/>
      <w:bookmarkStart w:id="299" w:name="_Toc2839"/>
      <w:bookmarkStart w:id="300" w:name="_Toc19389"/>
      <w:bookmarkStart w:id="301" w:name="_Toc9839"/>
      <w:bookmarkStart w:id="302" w:name="_Toc25465"/>
      <w:bookmarkStart w:id="303" w:name="_Toc1582"/>
      <w:r>
        <w:rPr>
          <w:rFonts w:hint="default" w:hAnsi="Times New Roman" w:cs="Times New Roman"/>
          <w:highlight w:val="none"/>
          <w:lang w:val="en-US" w:eastAsia="zh-CN"/>
        </w:rPr>
        <w:t>调查方法</w:t>
      </w:r>
      <w:bookmarkEnd w:id="295"/>
      <w:bookmarkEnd w:id="296"/>
      <w:bookmarkEnd w:id="297"/>
      <w:bookmarkEnd w:id="298"/>
      <w:bookmarkEnd w:id="299"/>
      <w:bookmarkEnd w:id="300"/>
      <w:bookmarkEnd w:id="301"/>
      <w:bookmarkEnd w:id="302"/>
      <w:bookmarkEnd w:id="303"/>
    </w:p>
    <w:p w14:paraId="2CBDA8C9">
      <w:pPr>
        <w:pStyle w:val="61"/>
        <w:spacing w:before="156" w:after="156"/>
        <w:rPr>
          <w:rFonts w:hint="default"/>
          <w:highlight w:val="none"/>
        </w:rPr>
      </w:pPr>
      <w:bookmarkStart w:id="304" w:name="_Toc1097"/>
      <w:bookmarkStart w:id="305" w:name="_Toc1275"/>
      <w:r>
        <w:rPr>
          <w:rFonts w:hint="eastAsia"/>
          <w:highlight w:val="none"/>
          <w:lang w:eastAsia="zh-CN"/>
        </w:rPr>
        <w:t>一般要求</w:t>
      </w:r>
    </w:p>
    <w:p w14:paraId="1A7E12D7">
      <w:pPr>
        <w:pStyle w:val="25"/>
        <w:rPr>
          <w:rFonts w:hint="eastAsia"/>
          <w:highlight w:val="none"/>
          <w:lang w:eastAsia="zh-CN"/>
        </w:rPr>
      </w:pPr>
      <w:r>
        <w:rPr>
          <w:rFonts w:hint="eastAsia"/>
          <w:highlight w:val="none"/>
          <w:lang w:eastAsia="zh-CN"/>
        </w:rPr>
        <w:t>调查主要包括资料收集、遥感调查、地面调查和实验分析四种方式，方法的选取主要考虑数据获取的难易程度、精度和成本等。</w:t>
      </w:r>
    </w:p>
    <w:p w14:paraId="03124E73">
      <w:pPr>
        <w:pStyle w:val="25"/>
        <w:rPr>
          <w:rFonts w:hint="eastAsia"/>
          <w:highlight w:val="none"/>
          <w:lang w:val="en-US"/>
        </w:rPr>
      </w:pPr>
      <w:r>
        <w:rPr>
          <w:rFonts w:hint="eastAsia" w:ascii="宋体" w:hAnsi="Times New Roman" w:eastAsia="宋体" w:cs="Times New Roman"/>
          <w:color w:val="auto"/>
          <w:kern w:val="0"/>
          <w:sz w:val="21"/>
          <w:szCs w:val="20"/>
          <w:highlight w:val="none"/>
          <w:lang w:val="en-US" w:eastAsia="zh-CN" w:bidi="ar"/>
        </w:rPr>
        <w:t>调查</w:t>
      </w:r>
      <w:r>
        <w:rPr>
          <w:rFonts w:hint="eastAsia" w:cs="Times New Roman"/>
          <w:kern w:val="0"/>
          <w:sz w:val="21"/>
          <w:szCs w:val="20"/>
          <w:highlight w:val="none"/>
          <w:lang w:val="en-US" w:eastAsia="zh-CN" w:bidi="ar"/>
        </w:rPr>
        <w:t>应结合典型生态单元内的实际情况分</w:t>
      </w:r>
      <w:r>
        <w:rPr>
          <w:rFonts w:hint="eastAsia" w:ascii="宋体" w:hAnsi="Times New Roman" w:eastAsia="宋体" w:cs="Times New Roman"/>
          <w:color w:val="auto"/>
          <w:kern w:val="0"/>
          <w:sz w:val="21"/>
          <w:szCs w:val="20"/>
          <w:highlight w:val="none"/>
          <w:lang w:val="en-US" w:eastAsia="zh-CN" w:bidi="ar"/>
        </w:rPr>
        <w:t>不同尺度、不同梯度进行，制作基础调查图表数据应符合自然资源及相关专项、专业调查要求。</w:t>
      </w:r>
      <w:r>
        <w:rPr>
          <w:rFonts w:hint="eastAsia"/>
          <w:highlight w:val="none"/>
          <w:lang w:eastAsia="zh-CN"/>
        </w:rPr>
        <w:t>各个调查评价三级指标的调查和方法详见附录</w:t>
      </w:r>
      <w:r>
        <w:rPr>
          <w:rFonts w:hint="eastAsia"/>
          <w:highlight w:val="none"/>
          <w:lang w:val="en-US" w:eastAsia="zh-CN"/>
        </w:rPr>
        <w:t>A。</w:t>
      </w:r>
    </w:p>
    <w:p w14:paraId="11135E60">
      <w:pPr>
        <w:pStyle w:val="61"/>
        <w:spacing w:before="156" w:after="156"/>
        <w:rPr>
          <w:rFonts w:hint="default" w:hAnsi="Times New Roman" w:cs="Times New Roman"/>
          <w:highlight w:val="none"/>
        </w:rPr>
      </w:pPr>
      <w:r>
        <w:rPr>
          <w:rFonts w:hint="default" w:hAnsi="Times New Roman" w:cs="Times New Roman"/>
          <w:highlight w:val="none"/>
        </w:rPr>
        <w:t>资料</w:t>
      </w:r>
      <w:bookmarkEnd w:id="304"/>
      <w:bookmarkEnd w:id="305"/>
      <w:r>
        <w:rPr>
          <w:rFonts w:hint="eastAsia" w:cs="Times New Roman"/>
          <w:highlight w:val="none"/>
          <w:lang w:eastAsia="zh-CN"/>
        </w:rPr>
        <w:t>收集</w:t>
      </w:r>
    </w:p>
    <w:p w14:paraId="4761BA31">
      <w:pPr>
        <w:pStyle w:val="25"/>
        <w:rPr>
          <w:rFonts w:hint="eastAsia" w:ascii="宋体" w:hAnsi="Times New Roman" w:eastAsia="宋体" w:cs="Times New Roman"/>
          <w:highlight w:val="none"/>
          <w:lang w:val="en-US" w:eastAsia="zh-CN"/>
        </w:rPr>
      </w:pPr>
      <w:r>
        <w:rPr>
          <w:rFonts w:hint="eastAsia" w:cs="Times New Roman"/>
          <w:highlight w:val="none"/>
          <w:lang w:val="en-US" w:eastAsia="zh-CN"/>
        </w:rPr>
        <w:t>应充分</w:t>
      </w:r>
      <w:r>
        <w:rPr>
          <w:rFonts w:hint="eastAsia" w:ascii="宋体" w:hAnsi="Times New Roman" w:eastAsia="宋体" w:cs="Times New Roman"/>
          <w:highlight w:val="none"/>
          <w:lang w:val="en-US" w:eastAsia="zh-CN"/>
        </w:rPr>
        <w:t>收集以下基础资料</w:t>
      </w:r>
      <w:r>
        <w:rPr>
          <w:rFonts w:hint="eastAsia" w:cs="Times New Roman"/>
          <w:highlight w:val="none"/>
          <w:lang w:val="en-US" w:eastAsia="zh-CN"/>
        </w:rPr>
        <w:t>：</w:t>
      </w:r>
    </w:p>
    <w:p w14:paraId="7F59EC3E">
      <w:pPr>
        <w:pStyle w:val="25"/>
        <w:rPr>
          <w:rFonts w:hint="eastAsia" w:ascii="宋体" w:hAnsi="Times New Roman" w:eastAsia="宋体" w:cs="Times New Roman"/>
          <w:highlight w:val="none"/>
          <w:lang w:val="en-US" w:eastAsia="zh-CN"/>
        </w:rPr>
      </w:pPr>
      <w:r>
        <w:rPr>
          <w:rFonts w:hint="eastAsia" w:cs="Times New Roman"/>
          <w:highlight w:val="none"/>
          <w:lang w:val="en-US" w:eastAsia="zh-CN"/>
        </w:rPr>
        <w:t>a.</w:t>
      </w:r>
      <w:r>
        <w:rPr>
          <w:rFonts w:hint="default" w:ascii="宋体" w:hAnsi="Times New Roman" w:eastAsia="宋体" w:cs="Times New Roman"/>
          <w:highlight w:val="none"/>
          <w:lang w:val="en-US" w:eastAsia="zh-CN"/>
        </w:rPr>
        <w:t>当地的气象、水文、土壤、地质等自然环境资料，包括历年统计年鉴、专业部门监测数据、科研报告等</w:t>
      </w:r>
      <w:r>
        <w:rPr>
          <w:rFonts w:hint="eastAsia" w:ascii="宋体" w:hAnsi="Times New Roman" w:eastAsia="宋体" w:cs="Times New Roman"/>
          <w:highlight w:val="none"/>
          <w:lang w:val="en-US" w:eastAsia="zh-CN"/>
        </w:rPr>
        <w:t>；</w:t>
      </w:r>
    </w:p>
    <w:p w14:paraId="7064A231">
      <w:pPr>
        <w:pStyle w:val="25"/>
        <w:keepNext w:val="0"/>
        <w:keepLines w:val="0"/>
        <w:widowControl/>
        <w:suppressLineNumbers w:val="0"/>
        <w:jc w:val="left"/>
        <w:rPr>
          <w:rFonts w:hint="eastAsia" w:ascii="宋体" w:hAnsi="Times New Roman" w:eastAsia="宋体" w:cs="Times New Roman"/>
          <w:kern w:val="0"/>
          <w:sz w:val="21"/>
          <w:szCs w:val="20"/>
          <w:highlight w:val="none"/>
          <w:lang w:val="en-US" w:eastAsia="zh-CN" w:bidi="ar"/>
        </w:rPr>
      </w:pPr>
      <w:r>
        <w:rPr>
          <w:rFonts w:hint="eastAsia" w:cs="Times New Roman"/>
          <w:kern w:val="0"/>
          <w:sz w:val="21"/>
          <w:szCs w:val="20"/>
          <w:highlight w:val="none"/>
          <w:lang w:val="en-US" w:eastAsia="zh-CN" w:bidi="ar"/>
        </w:rPr>
        <w:t>b.</w:t>
      </w:r>
      <w:r>
        <w:rPr>
          <w:rFonts w:hint="eastAsia" w:ascii="宋体" w:hAnsi="Times New Roman" w:eastAsia="宋体" w:cs="Times New Roman"/>
          <w:kern w:val="0"/>
          <w:sz w:val="21"/>
          <w:szCs w:val="20"/>
          <w:highlight w:val="none"/>
          <w:lang w:val="en-US" w:eastAsia="zh-CN" w:bidi="ar"/>
        </w:rPr>
        <w:t>全国国土调查、资源环境承载力和国土空间开发适宜性评价、相关规划等成果</w:t>
      </w:r>
      <w:r>
        <w:rPr>
          <w:rFonts w:hint="eastAsia" w:cs="Times New Roman"/>
          <w:kern w:val="0"/>
          <w:sz w:val="21"/>
          <w:szCs w:val="20"/>
          <w:highlight w:val="none"/>
          <w:lang w:val="en-US" w:eastAsia="zh-CN" w:bidi="ar"/>
        </w:rPr>
        <w:t>；</w:t>
      </w:r>
    </w:p>
    <w:p w14:paraId="059D5DD4">
      <w:pPr>
        <w:pStyle w:val="25"/>
        <w:jc w:val="left"/>
        <w:rPr>
          <w:rFonts w:hint="eastAsia" w:cs="Times New Roman"/>
          <w:kern w:val="0"/>
          <w:sz w:val="21"/>
          <w:szCs w:val="20"/>
          <w:highlight w:val="none"/>
          <w:lang w:val="en-US" w:eastAsia="zh-CN" w:bidi="ar"/>
        </w:rPr>
      </w:pPr>
      <w:r>
        <w:rPr>
          <w:rFonts w:hint="eastAsia" w:cs="Times New Roman"/>
          <w:highlight w:val="none"/>
          <w:lang w:val="en-US" w:eastAsia="zh-CN"/>
        </w:rPr>
        <w:t>c.</w:t>
      </w:r>
      <w:r>
        <w:rPr>
          <w:rFonts w:hint="eastAsia" w:ascii="宋体" w:hAnsi="Times New Roman" w:eastAsia="宋体" w:cs="Times New Roman"/>
          <w:kern w:val="0"/>
          <w:sz w:val="21"/>
          <w:szCs w:val="20"/>
          <w:highlight w:val="none"/>
          <w:lang w:val="en-US" w:eastAsia="zh-CN" w:bidi="ar"/>
        </w:rPr>
        <w:t>相关部门已有野生动植物调查、林业调查、生态功能区划、生态保护红线、生物多样性保护优先区、自然保护地等资料，以及相关科研机构、科学野外台站的成果</w:t>
      </w:r>
      <w:r>
        <w:rPr>
          <w:rFonts w:hint="eastAsia" w:cs="Times New Roman"/>
          <w:kern w:val="0"/>
          <w:sz w:val="21"/>
          <w:szCs w:val="20"/>
          <w:highlight w:val="none"/>
          <w:lang w:val="en-US" w:eastAsia="zh-CN" w:bidi="ar"/>
        </w:rPr>
        <w:t>。</w:t>
      </w:r>
    </w:p>
    <w:p w14:paraId="18D55CFC">
      <w:pPr>
        <w:pStyle w:val="25"/>
        <w:jc w:val="left"/>
        <w:rPr>
          <w:rFonts w:hint="eastAsia" w:cs="Times New Roman"/>
          <w:kern w:val="0"/>
          <w:sz w:val="21"/>
          <w:szCs w:val="20"/>
          <w:highlight w:val="none"/>
          <w:lang w:val="en-US" w:eastAsia="zh-CN" w:bidi="ar"/>
        </w:rPr>
      </w:pPr>
      <w:r>
        <w:rPr>
          <w:rFonts w:hint="eastAsia" w:cs="Times New Roman"/>
          <w:kern w:val="0"/>
          <w:sz w:val="21"/>
          <w:szCs w:val="20"/>
          <w:highlight w:val="none"/>
          <w:lang w:val="en-US" w:eastAsia="zh-CN" w:bidi="ar"/>
        </w:rPr>
        <w:t>d.</w:t>
      </w:r>
      <w:r>
        <w:rPr>
          <w:rFonts w:hint="eastAsia" w:ascii="宋体" w:hAnsi="Times New Roman" w:eastAsia="宋体"/>
          <w:color w:val="auto"/>
          <w:sz w:val="21"/>
          <w:szCs w:val="20"/>
          <w:highlight w:val="none"/>
          <w:lang w:val="en-US" w:eastAsia="zh-CN"/>
        </w:rPr>
        <w:t>单元内及周边区域地质环境问题调查历史资料、已有生态修复工程方案与验收资料</w:t>
      </w:r>
      <w:r>
        <w:rPr>
          <w:rFonts w:hint="eastAsia"/>
          <w:sz w:val="21"/>
          <w:szCs w:val="20"/>
          <w:highlight w:val="none"/>
          <w:lang w:val="en-US" w:eastAsia="zh-CN"/>
        </w:rPr>
        <w:t>、</w:t>
      </w:r>
      <w:r>
        <w:rPr>
          <w:rFonts w:hint="eastAsia" w:ascii="宋体" w:hAnsi="Times New Roman" w:eastAsia="宋体"/>
          <w:sz w:val="21"/>
          <w:szCs w:val="20"/>
          <w:highlight w:val="none"/>
          <w:lang w:val="en-US" w:eastAsia="zh-CN"/>
        </w:rPr>
        <w:t>历史工矿活动资料</w:t>
      </w:r>
      <w:r>
        <w:rPr>
          <w:rFonts w:hint="eastAsia" w:ascii="宋体" w:hAnsi="Times New Roman" w:eastAsia="宋体"/>
          <w:color w:val="auto"/>
          <w:sz w:val="21"/>
          <w:szCs w:val="20"/>
          <w:highlight w:val="none"/>
          <w:lang w:val="en-US" w:eastAsia="zh-CN"/>
        </w:rPr>
        <w:t>等</w:t>
      </w:r>
      <w:r>
        <w:rPr>
          <w:rFonts w:hint="eastAsia"/>
          <w:sz w:val="21"/>
          <w:szCs w:val="20"/>
          <w:highlight w:val="none"/>
          <w:lang w:val="en-US" w:eastAsia="zh-CN"/>
        </w:rPr>
        <w:t>。</w:t>
      </w:r>
    </w:p>
    <w:p w14:paraId="3DE82582">
      <w:pPr>
        <w:pStyle w:val="61"/>
        <w:spacing w:before="156" w:after="156"/>
        <w:rPr>
          <w:rFonts w:hint="default" w:hAnsi="Times New Roman" w:cs="Times New Roman"/>
          <w:highlight w:val="none"/>
        </w:rPr>
      </w:pPr>
      <w:bookmarkStart w:id="306" w:name="_Toc31160"/>
      <w:bookmarkStart w:id="307" w:name="_Toc32179"/>
      <w:r>
        <w:rPr>
          <w:rFonts w:hint="default" w:hAnsi="Times New Roman" w:cs="Times New Roman"/>
          <w:highlight w:val="none"/>
        </w:rPr>
        <w:t>遥感调查</w:t>
      </w:r>
      <w:bookmarkEnd w:id="306"/>
      <w:bookmarkEnd w:id="307"/>
    </w:p>
    <w:p w14:paraId="05889CDA">
      <w:pPr>
        <w:keepNext w:val="0"/>
        <w:keepLines w:val="0"/>
        <w:widowControl/>
        <w:suppressLineNumbers w:val="0"/>
        <w:ind w:firstLine="420" w:firstLineChars="200"/>
        <w:jc w:val="left"/>
        <w:rPr>
          <w:rFonts w:hint="eastAsia" w:ascii="宋体" w:hAnsi="宋体" w:eastAsia="宋体" w:cs="宋体"/>
          <w:color w:val="1E1C11" w:themeColor="background2" w:themeShade="1A"/>
          <w:kern w:val="0"/>
          <w:sz w:val="21"/>
          <w:szCs w:val="21"/>
          <w:highlight w:val="none"/>
          <w:lang w:val="en-US" w:eastAsia="zh-CN" w:bidi="ar"/>
        </w:rPr>
      </w:pPr>
      <w:r>
        <w:rPr>
          <w:rFonts w:hint="eastAsia" w:ascii="宋体" w:hAnsi="宋体" w:eastAsia="宋体" w:cs="宋体"/>
          <w:color w:val="1E1C11" w:themeColor="background2" w:themeShade="1A"/>
          <w:kern w:val="0"/>
          <w:sz w:val="21"/>
          <w:szCs w:val="21"/>
          <w:highlight w:val="none"/>
          <w:lang w:val="en-US" w:eastAsia="zh-CN" w:bidi="ar"/>
        </w:rPr>
        <w:t>主要利用卫星和无人机等技术手段，获取生态单元内的调查评价指标。遥感技术主要用于直接或间接获取宏观层面和地表以上的各调查评价指标。当单元范围较大时，</w:t>
      </w:r>
      <w:r>
        <w:rPr>
          <w:rFonts w:hint="eastAsia" w:ascii="宋体" w:hAnsi="宋体" w:cs="宋体"/>
          <w:color w:val="1E1C11" w:themeColor="background2" w:themeShade="1A"/>
          <w:kern w:val="0"/>
          <w:sz w:val="21"/>
          <w:szCs w:val="21"/>
          <w:highlight w:val="none"/>
          <w:lang w:val="en-US" w:eastAsia="zh-CN" w:bidi="ar"/>
        </w:rPr>
        <w:t>宜</w:t>
      </w:r>
      <w:r>
        <w:rPr>
          <w:rFonts w:hint="eastAsia" w:ascii="宋体" w:hAnsi="宋体" w:eastAsia="宋体" w:cs="宋体"/>
          <w:color w:val="1E1C11" w:themeColor="background2" w:themeShade="1A"/>
          <w:kern w:val="0"/>
          <w:sz w:val="21"/>
          <w:szCs w:val="21"/>
          <w:highlight w:val="none"/>
          <w:lang w:val="en-US" w:eastAsia="zh-CN" w:bidi="ar"/>
        </w:rPr>
        <w:t>选择卫星遥感技术开展调查；当单元范围较小时，</w:t>
      </w:r>
      <w:r>
        <w:rPr>
          <w:rFonts w:hint="eastAsia" w:ascii="宋体" w:hAnsi="宋体" w:cs="宋体"/>
          <w:color w:val="1E1C11" w:themeColor="background2" w:themeShade="1A"/>
          <w:kern w:val="0"/>
          <w:sz w:val="21"/>
          <w:szCs w:val="21"/>
          <w:highlight w:val="none"/>
          <w:lang w:val="en-US" w:eastAsia="zh-CN" w:bidi="ar"/>
        </w:rPr>
        <w:t>宜选择</w:t>
      </w:r>
      <w:r>
        <w:rPr>
          <w:rFonts w:hint="eastAsia" w:ascii="宋体" w:hAnsi="宋体" w:eastAsia="宋体" w:cs="宋体"/>
          <w:color w:val="1E1C11" w:themeColor="background2" w:themeShade="1A"/>
          <w:kern w:val="0"/>
          <w:sz w:val="21"/>
          <w:szCs w:val="21"/>
          <w:highlight w:val="none"/>
          <w:lang w:val="en-US" w:eastAsia="zh-CN" w:bidi="ar"/>
        </w:rPr>
        <w:t>无人机遥感技术开展调查。当遥感技术获取的指标与地面调查不符时，</w:t>
      </w:r>
      <w:r>
        <w:rPr>
          <w:rFonts w:hint="eastAsia" w:ascii="宋体" w:eastAsia="宋体" w:cs="宋体"/>
          <w:color w:val="1E1C11" w:themeColor="background2" w:themeShade="1A"/>
          <w:kern w:val="0"/>
          <w:sz w:val="21"/>
          <w:szCs w:val="21"/>
          <w:highlight w:val="none"/>
          <w:lang w:val="en-US" w:eastAsia="zh-CN"/>
        </w:rPr>
        <w:t>应以地面</w:t>
      </w:r>
      <w:r>
        <w:rPr>
          <w:rFonts w:hint="eastAsia" w:ascii="宋体" w:cs="宋体"/>
          <w:color w:val="1E1C11" w:themeColor="background2" w:themeShade="1A"/>
          <w:kern w:val="0"/>
          <w:sz w:val="21"/>
          <w:szCs w:val="21"/>
          <w:highlight w:val="none"/>
          <w:lang w:val="en-US" w:eastAsia="zh-CN"/>
        </w:rPr>
        <w:t>调查</w:t>
      </w:r>
      <w:r>
        <w:rPr>
          <w:rFonts w:hint="eastAsia" w:ascii="宋体" w:eastAsia="宋体" w:cs="宋体"/>
          <w:color w:val="1E1C11" w:themeColor="background2" w:themeShade="1A"/>
          <w:kern w:val="0"/>
          <w:sz w:val="21"/>
          <w:szCs w:val="21"/>
          <w:highlight w:val="none"/>
          <w:lang w:val="en-US" w:eastAsia="zh-CN"/>
        </w:rPr>
        <w:t>结果为</w:t>
      </w:r>
      <w:r>
        <w:rPr>
          <w:rFonts w:hint="eastAsia" w:ascii="宋体" w:cs="宋体"/>
          <w:color w:val="1E1C11" w:themeColor="background2" w:themeShade="1A"/>
          <w:kern w:val="0"/>
          <w:sz w:val="21"/>
          <w:szCs w:val="21"/>
          <w:highlight w:val="none"/>
          <w:lang w:val="en-US" w:eastAsia="zh-CN"/>
        </w:rPr>
        <w:t>准</w:t>
      </w:r>
      <w:r>
        <w:rPr>
          <w:rFonts w:hint="eastAsia" w:ascii="宋体" w:eastAsia="宋体" w:cs="宋体"/>
          <w:color w:val="1E1C11" w:themeColor="background2" w:themeShade="1A"/>
          <w:kern w:val="0"/>
          <w:sz w:val="21"/>
          <w:szCs w:val="21"/>
          <w:highlight w:val="none"/>
          <w:lang w:val="en-US" w:eastAsia="zh-CN"/>
        </w:rPr>
        <w:t>。</w:t>
      </w:r>
      <w:r>
        <w:rPr>
          <w:rFonts w:hint="eastAsia" w:ascii="宋体" w:hAnsi="宋体" w:eastAsia="宋体" w:cs="宋体"/>
          <w:color w:val="1E1C11" w:themeColor="background2" w:themeShade="1A"/>
          <w:kern w:val="0"/>
          <w:sz w:val="21"/>
          <w:szCs w:val="21"/>
          <w:highlight w:val="none"/>
          <w:lang w:val="en-US" w:eastAsia="zh-CN" w:bidi="ar"/>
        </w:rPr>
        <w:t>。</w:t>
      </w:r>
    </w:p>
    <w:p w14:paraId="1928C234">
      <w:pPr>
        <w:pStyle w:val="25"/>
        <w:ind w:left="0" w:leftChars="0" w:firstLine="420" w:firstLineChars="200"/>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1E1C11" w:themeColor="background2" w:themeShade="1A"/>
          <w:kern w:val="0"/>
          <w:sz w:val="21"/>
          <w:szCs w:val="21"/>
          <w:highlight w:val="none"/>
          <w:lang w:val="en-US" w:eastAsia="zh-CN" w:bidi="ar"/>
        </w:rPr>
        <w:t>生态保育单元</w:t>
      </w:r>
      <w:r>
        <w:rPr>
          <w:rFonts w:hint="eastAsia" w:hAnsi="宋体" w:cs="宋体"/>
          <w:color w:val="1E1C11" w:themeColor="background2" w:themeShade="1A"/>
          <w:kern w:val="0"/>
          <w:sz w:val="21"/>
          <w:szCs w:val="21"/>
          <w:highlight w:val="none"/>
          <w:lang w:val="en-US" w:eastAsia="zh-CN" w:bidi="ar"/>
        </w:rPr>
        <w:t>、河湖水湿地安全单元、重要生态廊道单元</w:t>
      </w:r>
      <w:r>
        <w:rPr>
          <w:rFonts w:hint="eastAsia" w:ascii="宋体" w:hAnsi="宋体" w:eastAsia="宋体" w:cs="宋体"/>
          <w:color w:val="1E1C11" w:themeColor="background2" w:themeShade="1A"/>
          <w:kern w:val="0"/>
          <w:sz w:val="21"/>
          <w:szCs w:val="21"/>
          <w:highlight w:val="none"/>
          <w:lang w:val="en-US" w:eastAsia="zh-CN" w:bidi="ar"/>
        </w:rPr>
        <w:t>遥感调查流程与方法、精度要求</w:t>
      </w:r>
      <w:r>
        <w:rPr>
          <w:rFonts w:hint="eastAsia" w:hAnsi="宋体" w:cs="宋体"/>
          <w:color w:val="1E1C11" w:themeColor="background2" w:themeShade="1A"/>
          <w:kern w:val="0"/>
          <w:sz w:val="21"/>
          <w:szCs w:val="21"/>
          <w:highlight w:val="none"/>
          <w:lang w:val="en-US" w:eastAsia="zh-CN" w:bidi="ar"/>
        </w:rPr>
        <w:t>按</w:t>
      </w:r>
      <w:r>
        <w:rPr>
          <w:rFonts w:hint="eastAsia" w:ascii="宋体" w:hAnsi="宋体" w:eastAsia="宋体" w:cs="宋体"/>
          <w:color w:val="1E1C11" w:themeColor="background2" w:themeShade="1A"/>
          <w:kern w:val="0"/>
          <w:sz w:val="21"/>
          <w:szCs w:val="21"/>
          <w:highlight w:val="none"/>
          <w:lang w:val="en-US" w:eastAsia="zh-CN" w:bidi="ar"/>
        </w:rPr>
        <w:t>照DZ/T0190执行</w:t>
      </w:r>
      <w:r>
        <w:rPr>
          <w:rFonts w:hint="eastAsia" w:hAnsi="宋体" w:cs="宋体"/>
          <w:color w:val="1E1C11" w:themeColor="background2" w:themeShade="1A"/>
          <w:kern w:val="0"/>
          <w:sz w:val="21"/>
          <w:szCs w:val="21"/>
          <w:highlight w:val="none"/>
          <w:lang w:val="en-US" w:eastAsia="zh-CN" w:bidi="ar"/>
        </w:rPr>
        <w:t>；</w:t>
      </w:r>
      <w:r>
        <w:rPr>
          <w:rFonts w:hint="eastAsia" w:hAnsi="宋体" w:cs="宋体"/>
          <w:color w:val="1E1C11" w:themeColor="background2" w:themeShade="1A"/>
          <w:sz w:val="21"/>
          <w:szCs w:val="21"/>
          <w:highlight w:val="none"/>
          <w:lang w:val="en-US" w:eastAsia="zh-CN" w:bidi="ar"/>
        </w:rPr>
        <w:t>生态</w:t>
      </w:r>
      <w:r>
        <w:rPr>
          <w:rFonts w:hint="eastAsia" w:hAnsi="宋体" w:cs="宋体"/>
          <w:color w:val="000000"/>
          <w:sz w:val="21"/>
          <w:szCs w:val="21"/>
          <w:highlight w:val="none"/>
          <w:lang w:val="en-US" w:eastAsia="zh-CN" w:bidi="ar"/>
        </w:rPr>
        <w:t>游憩单元和生产生活单元</w:t>
      </w:r>
      <w:r>
        <w:rPr>
          <w:rFonts w:hint="eastAsia" w:ascii="宋体" w:hAnsi="宋体" w:eastAsia="宋体" w:cs="宋体"/>
          <w:color w:val="000000"/>
          <w:kern w:val="0"/>
          <w:sz w:val="21"/>
          <w:szCs w:val="21"/>
          <w:highlight w:val="none"/>
          <w:lang w:val="en-US" w:eastAsia="zh-CN" w:bidi="ar"/>
        </w:rPr>
        <w:t>遥感调查流程与方法、精度要求</w:t>
      </w:r>
      <w:r>
        <w:rPr>
          <w:rFonts w:hint="eastAsia" w:hAnsi="宋体" w:cs="宋体"/>
          <w:color w:val="000000"/>
          <w:kern w:val="0"/>
          <w:sz w:val="21"/>
          <w:szCs w:val="21"/>
          <w:highlight w:val="none"/>
          <w:lang w:val="en-US" w:eastAsia="zh-CN" w:bidi="ar"/>
        </w:rPr>
        <w:t>按</w:t>
      </w:r>
      <w:r>
        <w:rPr>
          <w:rFonts w:hint="eastAsia" w:ascii="宋体" w:hAnsi="宋体" w:eastAsia="宋体" w:cs="宋体"/>
          <w:color w:val="000000"/>
          <w:kern w:val="0"/>
          <w:sz w:val="21"/>
          <w:szCs w:val="21"/>
          <w:highlight w:val="none"/>
          <w:lang w:val="en-US" w:eastAsia="zh-CN" w:bidi="ar"/>
        </w:rPr>
        <w:t>照DZ/T0296执行，</w:t>
      </w:r>
    </w:p>
    <w:p w14:paraId="029C56D5">
      <w:pPr>
        <w:pStyle w:val="61"/>
        <w:spacing w:before="156" w:after="156"/>
        <w:rPr>
          <w:rFonts w:hint="default" w:hAnsi="Times New Roman" w:cs="Times New Roman"/>
          <w:highlight w:val="none"/>
        </w:rPr>
      </w:pPr>
      <w:r>
        <w:rPr>
          <w:rFonts w:hint="eastAsia" w:hAnsi="Times New Roman" w:cs="Times New Roman"/>
          <w:highlight w:val="none"/>
          <w:lang w:eastAsia="zh-CN"/>
        </w:rPr>
        <w:t>地面调查</w:t>
      </w:r>
    </w:p>
    <w:p w14:paraId="5DADAEC8">
      <w:pPr>
        <w:keepNext w:val="0"/>
        <w:keepLines w:val="0"/>
        <w:widowControl/>
        <w:suppressLineNumbers w:val="0"/>
        <w:ind w:firstLine="420" w:firstLineChars="200"/>
        <w:jc w:val="left"/>
        <w:rPr>
          <w:rFonts w:hint="eastAsia" w:ascii="宋体" w:hAnsi="Times New Roman" w:eastAsia="宋体" w:cs="Times New Roman"/>
          <w:kern w:val="0"/>
          <w:sz w:val="21"/>
          <w:szCs w:val="20"/>
          <w:highlight w:val="none"/>
          <w:lang w:val="en-US" w:eastAsia="zh-CN" w:bidi="ar-SA"/>
        </w:rPr>
      </w:pPr>
      <w:r>
        <w:rPr>
          <w:rFonts w:hint="eastAsia" w:ascii="宋体" w:hAnsi="Times New Roman" w:eastAsia="宋体" w:cs="Times New Roman"/>
          <w:kern w:val="0"/>
          <w:sz w:val="21"/>
          <w:szCs w:val="20"/>
          <w:highlight w:val="none"/>
          <w:lang w:val="en-US" w:eastAsia="zh-CN" w:bidi="ar-SA"/>
        </w:rPr>
        <w:t>应充分利用已有资料和遥感调查成果，加强实地调查工作的针对性，</w:t>
      </w:r>
      <w:r>
        <w:rPr>
          <w:rFonts w:hint="eastAsia" w:ascii="宋体" w:hAnsi="Times New Roman" w:eastAsia="宋体" w:cs="Times New Roman"/>
          <w:color w:val="auto"/>
          <w:kern w:val="0"/>
          <w:sz w:val="21"/>
          <w:szCs w:val="20"/>
          <w:highlight w:val="none"/>
          <w:lang w:eastAsia="zh-CN"/>
        </w:rPr>
        <w:t>提高调查效率和成果质量</w:t>
      </w:r>
      <w:r>
        <w:rPr>
          <w:rFonts w:hint="eastAsia" w:ascii="宋体" w:hAnsi="Times New Roman" w:eastAsia="宋体" w:cs="Times New Roman"/>
          <w:kern w:val="0"/>
          <w:sz w:val="21"/>
          <w:szCs w:val="20"/>
          <w:highlight w:val="none"/>
          <w:lang w:val="en-US" w:eastAsia="zh-CN" w:bidi="ar-SA"/>
        </w:rPr>
        <w:t>。</w:t>
      </w:r>
    </w:p>
    <w:p w14:paraId="18634432">
      <w:pPr>
        <w:pStyle w:val="25"/>
        <w:rPr>
          <w:rFonts w:hint="eastAsia" w:ascii="宋体" w:hAnsi="Times New Roman" w:eastAsia="宋体" w:cs="Times New Roman"/>
          <w:highlight w:val="none"/>
          <w:lang w:val="en-US" w:eastAsia="zh-CN"/>
        </w:rPr>
      </w:pPr>
      <w:r>
        <w:rPr>
          <w:rFonts w:hint="eastAsia" w:ascii="宋体" w:hAnsi="Times New Roman" w:eastAsia="宋体" w:cs="Times New Roman"/>
          <w:highlight w:val="none"/>
          <w:lang w:val="en-US" w:eastAsia="zh-CN"/>
        </w:rPr>
        <w:t xml:space="preserve">a.地面观测。主要指利用地面上的传感器、观测设备、综合台站开展观测，通常设置相对长期、固定的观测站点，对环境质量、气象条件、水文条件等方面指标进行定期或连续观测。 </w:t>
      </w:r>
    </w:p>
    <w:p w14:paraId="57A3F767">
      <w:pPr>
        <w:widowControl/>
        <w:ind w:firstLine="420" w:firstLineChars="200"/>
        <w:jc w:val="left"/>
        <w:rPr>
          <w:rFonts w:hint="eastAsia" w:ascii="宋体" w:hAnsi="Times New Roman" w:eastAsia="宋体" w:cs="Times New Roman"/>
          <w:kern w:val="0"/>
          <w:szCs w:val="20"/>
          <w:highlight w:val="none"/>
          <w:lang w:val="en-US" w:eastAsia="zh-CN"/>
        </w:rPr>
      </w:pPr>
      <w:r>
        <w:rPr>
          <w:rFonts w:hint="eastAsia" w:ascii="宋体" w:hAnsi="Times New Roman" w:eastAsia="宋体" w:cs="Times New Roman"/>
          <w:kern w:val="0"/>
          <w:szCs w:val="20"/>
          <w:highlight w:val="none"/>
          <w:lang w:val="en-US" w:eastAsia="zh-CN"/>
        </w:rPr>
        <w:t>b.样地调查。根据典型生态单元的类型和面积，合理设置样地（样方、样点、样线等）。在样地内进行详细的生物和环境要素调查，如植物种类和数量统计、土壤采样、动物观测等。</w:t>
      </w:r>
    </w:p>
    <w:p w14:paraId="0026C015">
      <w:pPr>
        <w:widowControl/>
        <w:ind w:firstLine="420" w:firstLineChars="200"/>
        <w:jc w:val="left"/>
        <w:rPr>
          <w:rFonts w:hint="eastAsia" w:ascii="宋体" w:hAnsi="Times New Roman" w:eastAsia="宋体" w:cs="Times New Roman"/>
          <w:kern w:val="0"/>
          <w:szCs w:val="20"/>
          <w:highlight w:val="none"/>
          <w:lang w:val="en-US" w:eastAsia="zh-CN"/>
        </w:rPr>
      </w:pPr>
      <w:r>
        <w:rPr>
          <w:rFonts w:hint="eastAsia" w:ascii="宋体" w:cs="Times New Roman"/>
          <w:kern w:val="0"/>
          <w:szCs w:val="20"/>
          <w:highlight w:val="none"/>
          <w:lang w:val="en-US" w:eastAsia="zh-CN"/>
        </w:rPr>
        <w:t>陆地的</w:t>
      </w:r>
      <w:r>
        <w:rPr>
          <w:rFonts w:hint="eastAsia" w:ascii="宋体" w:hAnsi="Times New Roman" w:eastAsia="宋体" w:cs="Times New Roman"/>
          <w:kern w:val="0"/>
          <w:szCs w:val="20"/>
          <w:highlight w:val="none"/>
          <w:lang w:val="en-US" w:eastAsia="zh-CN"/>
        </w:rPr>
        <w:t>样地选择和样方布设按照HJ1167、HJ1168、HJ1169和HJ1170相关要求执行</w:t>
      </w:r>
      <w:r>
        <w:rPr>
          <w:rFonts w:hint="eastAsia" w:ascii="宋体" w:cs="Times New Roman"/>
          <w:kern w:val="0"/>
          <w:szCs w:val="20"/>
          <w:highlight w:val="none"/>
          <w:lang w:val="en-US" w:eastAsia="zh-CN"/>
        </w:rPr>
        <w:t>。</w:t>
      </w:r>
      <w:r>
        <w:rPr>
          <w:rFonts w:hint="eastAsia" w:ascii="宋体" w:hAnsi="Times New Roman" w:eastAsia="宋体" w:cs="Times New Roman"/>
          <w:kern w:val="0"/>
          <w:szCs w:val="20"/>
          <w:highlight w:val="none"/>
          <w:lang w:val="en-US" w:eastAsia="zh-CN"/>
        </w:rPr>
        <w:t>采样要求、定点、采样记录、样品交接、加工、运输和保存按照DZ/T0258等执行。</w:t>
      </w:r>
    </w:p>
    <w:p w14:paraId="0E9D41CC">
      <w:pPr>
        <w:widowControl/>
        <w:ind w:firstLine="420" w:firstLineChars="200"/>
        <w:jc w:val="left"/>
        <w:rPr>
          <w:rFonts w:hint="eastAsia" w:ascii="宋体" w:hAnsi="Times New Roman" w:eastAsia="宋体" w:cs="Times New Roman"/>
          <w:kern w:val="0"/>
          <w:szCs w:val="20"/>
          <w:highlight w:val="none"/>
          <w:lang w:val="en-US" w:eastAsia="zh-CN"/>
        </w:rPr>
      </w:pPr>
      <w:r>
        <w:rPr>
          <w:rFonts w:hint="eastAsia" w:ascii="宋体" w:cs="Times New Roman"/>
          <w:kern w:val="0"/>
          <w:szCs w:val="20"/>
          <w:highlight w:val="none"/>
          <w:lang w:val="en-US" w:eastAsia="zh-CN"/>
        </w:rPr>
        <w:t>湖泊、河流等水域的采样应设置监测断面，调查监测具体要求参照HJ91.2执行。</w:t>
      </w:r>
    </w:p>
    <w:p w14:paraId="7DB722B6">
      <w:pPr>
        <w:keepNext w:val="0"/>
        <w:keepLines w:val="0"/>
        <w:widowControl/>
        <w:suppressLineNumbers w:val="0"/>
        <w:ind w:firstLine="420" w:firstLineChars="200"/>
        <w:jc w:val="left"/>
        <w:rPr>
          <w:rFonts w:hint="default" w:ascii="宋体" w:hAnsi="Times New Roman" w:eastAsia="宋体" w:cs="Times New Roman"/>
          <w:color w:val="auto"/>
          <w:kern w:val="0"/>
          <w:sz w:val="21"/>
          <w:szCs w:val="20"/>
          <w:highlight w:val="none"/>
          <w:lang w:val="en-US" w:eastAsia="zh-CN" w:bidi="ar-SA"/>
        </w:rPr>
      </w:pPr>
      <w:r>
        <w:rPr>
          <w:rFonts w:hint="eastAsia" w:ascii="宋体" w:hAnsi="Times New Roman" w:eastAsia="宋体" w:cs="Times New Roman"/>
          <w:kern w:val="0"/>
          <w:sz w:val="21"/>
          <w:szCs w:val="20"/>
          <w:highlight w:val="none"/>
          <w:lang w:val="en-US" w:eastAsia="zh-CN" w:bidi="ar-SA"/>
        </w:rPr>
        <w:t>c.路线调查。</w:t>
      </w:r>
      <w:r>
        <w:rPr>
          <w:rFonts w:hint="eastAsia" w:ascii="宋体" w:hAnsi="Times New Roman" w:eastAsia="宋体" w:cs="Times New Roman"/>
          <w:color w:val="auto"/>
          <w:kern w:val="0"/>
          <w:sz w:val="21"/>
          <w:szCs w:val="20"/>
          <w:highlight w:val="none"/>
          <w:lang w:val="en-US" w:eastAsia="zh-CN" w:bidi="ar-SA"/>
        </w:rPr>
        <w:t>调查路线的布置以穿越法为主，路线穿越应垂直于植被类型或地貌类型最大变化方向，尽可能涵盖不同的生态类型。</w:t>
      </w:r>
    </w:p>
    <w:p w14:paraId="36AD0DD5">
      <w:pPr>
        <w:pStyle w:val="61"/>
        <w:spacing w:before="156" w:after="156"/>
        <w:rPr>
          <w:rFonts w:hint="default" w:hAnsi="Times New Roman" w:cs="Times New Roman"/>
          <w:highlight w:val="none"/>
          <w:lang w:eastAsia="zh-CN"/>
        </w:rPr>
      </w:pPr>
      <w:r>
        <w:rPr>
          <w:rFonts w:hint="eastAsia" w:hAnsi="Times New Roman" w:cs="Times New Roman"/>
          <w:highlight w:val="none"/>
          <w:lang w:eastAsia="zh-CN"/>
        </w:rPr>
        <w:t>实验分析</w:t>
      </w:r>
    </w:p>
    <w:p w14:paraId="3140D112">
      <w:pPr>
        <w:keepNext w:val="0"/>
        <w:keepLines w:val="0"/>
        <w:widowControl/>
        <w:suppressLineNumbers w:val="0"/>
        <w:ind w:firstLine="420" w:firstLineChars="200"/>
        <w:jc w:val="left"/>
        <w:rPr>
          <w:rFonts w:hint="eastAsia" w:ascii="宋体" w:hAnsi="宋体" w:eastAsia="宋体" w:cs="宋体"/>
          <w:color w:val="000000"/>
          <w:kern w:val="0"/>
          <w:sz w:val="21"/>
          <w:szCs w:val="21"/>
          <w:highlight w:val="none"/>
          <w:lang w:val="en-US" w:eastAsia="zh-CN" w:bidi="ar"/>
        </w:rPr>
      </w:pPr>
      <w:r>
        <w:rPr>
          <w:rFonts w:hint="default" w:ascii="宋体" w:hAnsi="Times New Roman" w:eastAsia="宋体" w:cs="Times New Roman"/>
          <w:highlight w:val="none"/>
          <w:lang w:val="en-US" w:eastAsia="zh-CN"/>
        </w:rPr>
        <w:t>对采集的土壤、水、植物、动物等样品进行</w:t>
      </w:r>
      <w:r>
        <w:rPr>
          <w:rFonts w:hint="eastAsia" w:ascii="宋体" w:hAnsi="Times New Roman" w:eastAsia="宋体" w:cs="Times New Roman"/>
          <w:highlight w:val="none"/>
          <w:lang w:val="en-US" w:eastAsia="zh-CN"/>
        </w:rPr>
        <w:t>分析测试</w:t>
      </w:r>
      <w:r>
        <w:rPr>
          <w:rFonts w:hint="default" w:ascii="宋体" w:hAnsi="Times New Roman" w:eastAsia="宋体" w:cs="Times New Roman"/>
          <w:highlight w:val="none"/>
          <w:lang w:val="en-US" w:eastAsia="zh-CN"/>
        </w:rPr>
        <w:t>，</w:t>
      </w:r>
      <w:r>
        <w:rPr>
          <w:rFonts w:hint="eastAsia" w:ascii="宋体" w:hAnsi="宋体" w:cs="宋体"/>
          <w:color w:val="000000"/>
          <w:kern w:val="0"/>
          <w:sz w:val="21"/>
          <w:szCs w:val="21"/>
          <w:highlight w:val="none"/>
          <w:lang w:val="en-US" w:eastAsia="zh-CN" w:bidi="ar"/>
        </w:rPr>
        <w:t>按照</w:t>
      </w:r>
      <w:r>
        <w:rPr>
          <w:rFonts w:hint="eastAsia" w:ascii="宋体" w:hAnsi="宋体" w:eastAsia="宋体" w:cs="宋体"/>
          <w:color w:val="000000"/>
          <w:kern w:val="0"/>
          <w:sz w:val="21"/>
          <w:szCs w:val="21"/>
          <w:highlight w:val="none"/>
          <w:lang w:val="en-US" w:eastAsia="zh-CN" w:bidi="ar"/>
        </w:rPr>
        <w:t xml:space="preserve"> </w:t>
      </w:r>
      <w:r>
        <w:rPr>
          <w:rFonts w:hint="default" w:ascii="宋体" w:hAnsi="宋体" w:eastAsia="宋体" w:cs="宋体"/>
          <w:color w:val="000000"/>
          <w:kern w:val="0"/>
          <w:sz w:val="21"/>
          <w:szCs w:val="21"/>
          <w:highlight w:val="none"/>
          <w:lang w:val="en-US" w:eastAsia="zh-CN" w:bidi="ar"/>
        </w:rPr>
        <w:t>DZ/T</w:t>
      </w:r>
      <w:r>
        <w:rPr>
          <w:rFonts w:hint="eastAsia" w:ascii="宋体" w:hAnsi="宋体" w:eastAsia="宋体" w:cs="宋体"/>
          <w:color w:val="000000"/>
          <w:kern w:val="0"/>
          <w:sz w:val="21"/>
          <w:szCs w:val="21"/>
          <w:highlight w:val="none"/>
          <w:lang w:val="en-US" w:eastAsia="zh-CN" w:bidi="ar"/>
        </w:rPr>
        <w:t>0130执行。</w:t>
      </w:r>
    </w:p>
    <w:p w14:paraId="314FBCBC">
      <w:pPr>
        <w:pStyle w:val="62"/>
        <w:rPr>
          <w:rFonts w:hint="default" w:hAnsi="Times New Roman" w:cs="Times New Roman"/>
          <w:color w:val="000000"/>
          <w:highlight w:val="none"/>
          <w:lang w:val="en-US" w:eastAsia="zh-CN"/>
        </w:rPr>
      </w:pPr>
      <w:bookmarkStart w:id="308" w:name="_Toc2799"/>
      <w:bookmarkStart w:id="309" w:name="_Toc7681"/>
      <w:bookmarkStart w:id="310" w:name="_Toc9269"/>
      <w:bookmarkStart w:id="311" w:name="_Toc10294"/>
      <w:bookmarkStart w:id="312" w:name="_Toc31565"/>
      <w:bookmarkStart w:id="313" w:name="_Toc12238"/>
      <w:bookmarkStart w:id="314" w:name="_Toc3806"/>
      <w:bookmarkStart w:id="315" w:name="_Toc6545"/>
      <w:r>
        <w:rPr>
          <w:rFonts w:hint="eastAsia" w:hAnsi="Times New Roman" w:cs="Times New Roman"/>
          <w:color w:val="000000"/>
          <w:highlight w:val="none"/>
          <w:lang w:val="en-US" w:eastAsia="zh-CN"/>
        </w:rPr>
        <w:t>评价</w:t>
      </w:r>
      <w:r>
        <w:rPr>
          <w:rFonts w:hint="default" w:hAnsi="Times New Roman" w:cs="Times New Roman"/>
          <w:color w:val="000000"/>
          <w:highlight w:val="none"/>
          <w:lang w:val="en-US" w:eastAsia="zh-CN"/>
        </w:rPr>
        <w:t>方法</w:t>
      </w:r>
      <w:bookmarkEnd w:id="308"/>
      <w:bookmarkEnd w:id="309"/>
      <w:bookmarkEnd w:id="310"/>
      <w:bookmarkEnd w:id="311"/>
      <w:bookmarkEnd w:id="312"/>
      <w:bookmarkEnd w:id="313"/>
      <w:bookmarkEnd w:id="314"/>
      <w:bookmarkEnd w:id="315"/>
    </w:p>
    <w:p w14:paraId="60AD808E">
      <w:pPr>
        <w:pStyle w:val="61"/>
        <w:spacing w:before="156" w:after="156"/>
        <w:rPr>
          <w:rFonts w:hint="default" w:hAnsi="Times New Roman" w:cs="Times New Roman"/>
          <w:color w:val="000000"/>
          <w:highlight w:val="none"/>
          <w:lang w:val="en-US" w:eastAsia="zh-CN"/>
        </w:rPr>
      </w:pPr>
      <w:bookmarkStart w:id="316" w:name="_Toc30102"/>
      <w:bookmarkStart w:id="317" w:name="_Toc10099"/>
      <w:r>
        <w:rPr>
          <w:rFonts w:hint="default" w:hAnsi="Times New Roman" w:cs="Times New Roman"/>
          <w:color w:val="000000"/>
          <w:highlight w:val="none"/>
          <w:lang w:val="en-US" w:eastAsia="zh-CN"/>
        </w:rPr>
        <w:t>定性</w:t>
      </w:r>
      <w:bookmarkEnd w:id="316"/>
      <w:bookmarkEnd w:id="317"/>
      <w:r>
        <w:rPr>
          <w:rFonts w:hint="eastAsia" w:hAnsi="Times New Roman" w:cs="Times New Roman"/>
          <w:color w:val="000000"/>
          <w:highlight w:val="none"/>
          <w:lang w:val="en-US" w:eastAsia="zh-CN"/>
        </w:rPr>
        <w:t>评价</w:t>
      </w:r>
    </w:p>
    <w:p w14:paraId="46ECE0F7">
      <w:pPr>
        <w:pStyle w:val="25"/>
        <w:rPr>
          <w:rFonts w:hint="default" w:ascii="宋体" w:hAnsi="Times New Roman" w:eastAsia="宋体" w:cs="Times New Roman"/>
          <w:color w:val="000000"/>
          <w:highlight w:val="none"/>
          <w:lang w:val="en-US" w:eastAsia="zh-CN"/>
        </w:rPr>
      </w:pPr>
      <w:r>
        <w:rPr>
          <w:rFonts w:hint="eastAsia" w:ascii="宋体" w:hAnsi="Times New Roman" w:eastAsia="宋体" w:cs="Times New Roman"/>
          <w:color w:val="000000"/>
          <w:highlight w:val="none"/>
          <w:lang w:val="en-US" w:eastAsia="zh-CN"/>
        </w:rPr>
        <w:t>基于调查获取的信息数据等资料，</w:t>
      </w:r>
      <w:r>
        <w:rPr>
          <w:rFonts w:hint="eastAsia" w:cs="Times New Roman"/>
          <w:color w:val="000000"/>
          <w:highlight w:val="none"/>
          <w:lang w:val="en-US" w:eastAsia="zh-CN"/>
        </w:rPr>
        <w:t>定性</w:t>
      </w:r>
      <w:r>
        <w:rPr>
          <w:rFonts w:hint="default" w:ascii="宋体" w:hAnsi="Times New Roman" w:eastAsia="宋体" w:cs="Times New Roman"/>
          <w:color w:val="000000"/>
          <w:highlight w:val="none"/>
          <w:lang w:val="en-US" w:eastAsia="zh-CN"/>
        </w:rPr>
        <w:t>分析描述生态</w:t>
      </w:r>
      <w:r>
        <w:rPr>
          <w:rFonts w:hint="eastAsia" w:ascii="宋体" w:hAnsi="Times New Roman" w:eastAsia="宋体" w:cs="Times New Roman"/>
          <w:color w:val="000000"/>
          <w:highlight w:val="none"/>
          <w:lang w:val="en-US" w:eastAsia="zh-CN"/>
        </w:rPr>
        <w:t>现状的总体情况</w:t>
      </w:r>
      <w:r>
        <w:rPr>
          <w:rFonts w:hint="default" w:ascii="宋体" w:hAnsi="Times New Roman" w:eastAsia="宋体" w:cs="Times New Roman"/>
          <w:color w:val="000000"/>
          <w:highlight w:val="none"/>
          <w:lang w:val="en-US" w:eastAsia="zh-CN"/>
        </w:rPr>
        <w:t>。</w:t>
      </w:r>
    </w:p>
    <w:p w14:paraId="0B0FFCDD">
      <w:pPr>
        <w:pStyle w:val="61"/>
        <w:spacing w:before="156" w:after="156"/>
        <w:rPr>
          <w:rFonts w:hint="default" w:hAnsi="Times New Roman" w:cs="Times New Roman"/>
          <w:color w:val="000000"/>
          <w:highlight w:val="none"/>
          <w:lang w:val="en-US" w:eastAsia="zh-CN"/>
        </w:rPr>
      </w:pPr>
      <w:bookmarkStart w:id="318" w:name="_Toc699"/>
      <w:bookmarkStart w:id="319" w:name="_Toc18353"/>
      <w:r>
        <w:rPr>
          <w:rFonts w:hint="default" w:hAnsi="Times New Roman" w:cs="Times New Roman"/>
          <w:color w:val="000000"/>
          <w:highlight w:val="none"/>
          <w:lang w:val="en-US" w:eastAsia="zh-CN"/>
        </w:rPr>
        <w:t>定量</w:t>
      </w:r>
      <w:r>
        <w:rPr>
          <w:rFonts w:hint="eastAsia" w:hAnsi="Times New Roman" w:cs="Times New Roman"/>
          <w:color w:val="000000"/>
          <w:highlight w:val="none"/>
          <w:lang w:val="en-US" w:eastAsia="zh-CN"/>
        </w:rPr>
        <w:t>评价</w:t>
      </w:r>
      <w:bookmarkEnd w:id="318"/>
      <w:bookmarkEnd w:id="319"/>
    </w:p>
    <w:p w14:paraId="60914158">
      <w:pPr>
        <w:pStyle w:val="25"/>
        <w:rPr>
          <w:rFonts w:hint="default" w:ascii="Times New Roman" w:hAnsi="Times New Roman" w:eastAsia="宋体" w:cs="Times New Roman"/>
          <w:color w:val="000000"/>
          <w:highlight w:val="none"/>
          <w:lang w:val="en-US" w:eastAsia="zh-CN"/>
        </w:rPr>
      </w:pPr>
      <w:r>
        <w:rPr>
          <w:rFonts w:hint="eastAsia" w:ascii="宋体" w:hAnsi="宋体" w:eastAsia="宋体" w:cs="宋体"/>
          <w:highlight w:val="none"/>
          <w:lang w:val="en-US"/>
        </w:rPr>
        <w:t>指标</w:t>
      </w:r>
      <w:r>
        <w:rPr>
          <w:rFonts w:hint="eastAsia" w:hAnsi="宋体" w:cs="宋体"/>
          <w:highlight w:val="none"/>
          <w:lang w:val="en-US" w:eastAsia="zh-CN"/>
        </w:rPr>
        <w:t>分析</w:t>
      </w:r>
      <w:r>
        <w:rPr>
          <w:rFonts w:hint="eastAsia" w:ascii="宋体" w:hAnsi="宋体" w:eastAsia="宋体" w:cs="宋体"/>
          <w:highlight w:val="none"/>
          <w:lang w:val="en-US"/>
        </w:rPr>
        <w:t>法：</w:t>
      </w:r>
      <w:r>
        <w:rPr>
          <w:rFonts w:hint="eastAsia" w:ascii="Times New Roman" w:hAnsi="Times New Roman" w:eastAsia="宋体" w:cs="Times New Roman"/>
          <w:color w:val="000000"/>
          <w:highlight w:val="none"/>
          <w:lang w:val="en-US" w:eastAsia="zh-CN"/>
        </w:rPr>
        <w:t>主要围绕调查评价</w:t>
      </w:r>
      <w:r>
        <w:rPr>
          <w:rFonts w:hint="eastAsia" w:ascii="Times New Roman" w:cs="Times New Roman"/>
          <w:color w:val="000000"/>
          <w:highlight w:val="none"/>
          <w:lang w:val="en-US" w:eastAsia="zh-CN"/>
        </w:rPr>
        <w:t>内容中涉及</w:t>
      </w:r>
      <w:r>
        <w:rPr>
          <w:rFonts w:hint="eastAsia" w:ascii="Times New Roman" w:hAnsi="Times New Roman" w:eastAsia="宋体" w:cs="Times New Roman"/>
          <w:color w:val="000000"/>
          <w:highlight w:val="none"/>
          <w:lang w:val="en-US" w:eastAsia="zh-CN"/>
        </w:rPr>
        <w:t>的各项三级</w:t>
      </w:r>
      <w:r>
        <w:rPr>
          <w:rFonts w:hint="default" w:ascii="Times New Roman" w:hAnsi="Times New Roman" w:eastAsia="宋体" w:cs="Times New Roman"/>
          <w:color w:val="000000"/>
          <w:highlight w:val="none"/>
          <w:lang w:val="en-US" w:eastAsia="zh-CN"/>
        </w:rPr>
        <w:t>指标</w:t>
      </w:r>
      <w:r>
        <w:rPr>
          <w:rFonts w:hint="eastAsia" w:ascii="Times New Roman" w:cs="Times New Roman"/>
          <w:color w:val="000000"/>
          <w:highlight w:val="none"/>
          <w:lang w:val="en-US" w:eastAsia="zh-CN"/>
        </w:rPr>
        <w:t>数据</w:t>
      </w:r>
      <w:r>
        <w:rPr>
          <w:rFonts w:hint="eastAsia" w:ascii="Times New Roman" w:hAnsi="Times New Roman" w:eastAsia="宋体" w:cs="Times New Roman"/>
          <w:color w:val="000000"/>
          <w:highlight w:val="none"/>
          <w:lang w:val="en-US" w:eastAsia="zh-CN"/>
        </w:rPr>
        <w:t>进行分析，</w:t>
      </w:r>
      <w:r>
        <w:rPr>
          <w:rFonts w:hint="eastAsia" w:ascii="Times New Roman" w:cs="Times New Roman"/>
          <w:color w:val="000000"/>
          <w:highlight w:val="none"/>
          <w:lang w:val="en-US" w:eastAsia="zh-CN"/>
        </w:rPr>
        <w:t>判断指标所反映的某一方面生态现状优劣程度及变化趋势</w:t>
      </w:r>
      <w:r>
        <w:rPr>
          <w:rFonts w:hint="default" w:ascii="Times New Roman" w:hAnsi="Times New Roman" w:eastAsia="宋体" w:cs="Times New Roman"/>
          <w:color w:val="000000"/>
          <w:highlight w:val="none"/>
          <w:lang w:val="en-US" w:eastAsia="zh-CN"/>
        </w:rPr>
        <w:t>。</w:t>
      </w:r>
    </w:p>
    <w:p w14:paraId="471CB50C">
      <w:pPr>
        <w:spacing w:line="240" w:lineRule="auto"/>
        <w:ind w:firstLine="420" w:firstLineChars="200"/>
        <w:outlineLvl w:val="9"/>
        <w:rPr>
          <w:rFonts w:hint="eastAsia" w:ascii="宋体" w:hAnsi="宋体" w:eastAsia="宋体" w:cs="宋体"/>
          <w:highlight w:val="none"/>
          <w:lang w:val="en-US"/>
        </w:rPr>
      </w:pPr>
      <w:r>
        <w:rPr>
          <w:rFonts w:hint="eastAsia" w:ascii="宋体" w:hAnsi="宋体" w:eastAsia="宋体" w:cs="宋体"/>
          <w:highlight w:val="none"/>
          <w:lang w:val="en-US"/>
        </w:rPr>
        <w:t>数学模型与模拟：利用数学模型和计算机模拟技术来预测和评估生态系统对不同干扰的响应，以及生态系统的恢复能力和稳定性。</w:t>
      </w:r>
    </w:p>
    <w:p w14:paraId="28419F92">
      <w:pPr>
        <w:ind w:firstLine="420" w:firstLineChars="200"/>
        <w:outlineLvl w:val="9"/>
        <w:rPr>
          <w:rFonts w:hint="default" w:ascii="Times New Roman" w:hAnsi="Times New Roman" w:eastAsia="宋体" w:cs="Times New Roman"/>
          <w:color w:val="000000"/>
          <w:highlight w:val="none"/>
          <w:lang w:val="en-US" w:eastAsia="zh-CN"/>
        </w:rPr>
      </w:pPr>
      <w:r>
        <w:rPr>
          <w:rFonts w:hint="eastAsia" w:ascii="宋体" w:hAnsi="宋体" w:eastAsia="宋体" w:cs="宋体"/>
          <w:highlight w:val="none"/>
          <w:lang w:val="en-US"/>
        </w:rPr>
        <w:t>地理信息系统（GIS）与遥感技术：结合GIS和遥感技术来收集和分析空间数据，评估生态系统的空间分布、格局和变化趋势。</w:t>
      </w:r>
    </w:p>
    <w:p w14:paraId="2AF7FC79">
      <w:pPr>
        <w:pStyle w:val="61"/>
        <w:spacing w:before="156" w:after="156"/>
        <w:rPr>
          <w:rFonts w:hint="default" w:hAnsi="Times New Roman" w:cs="Times New Roman"/>
          <w:color w:val="000000"/>
          <w:highlight w:val="none"/>
          <w:lang w:val="en-US" w:eastAsia="zh-CN"/>
        </w:rPr>
      </w:pPr>
      <w:bookmarkStart w:id="320" w:name="_Toc10315"/>
      <w:bookmarkStart w:id="321" w:name="_Toc15565"/>
      <w:r>
        <w:rPr>
          <w:rFonts w:hint="default" w:hAnsi="Times New Roman" w:cs="Times New Roman"/>
          <w:color w:val="000000"/>
          <w:highlight w:val="none"/>
          <w:lang w:val="en-US" w:eastAsia="zh-CN"/>
        </w:rPr>
        <w:t>综合评价</w:t>
      </w:r>
      <w:bookmarkEnd w:id="320"/>
      <w:bookmarkEnd w:id="321"/>
    </w:p>
    <w:p w14:paraId="0D76EFBF">
      <w:pPr>
        <w:pStyle w:val="25"/>
        <w:rPr>
          <w:rFonts w:hint="eastAsia" w:ascii="宋体" w:hAnsi="Times New Roman" w:eastAsia="宋体" w:cs="Times New Roman"/>
          <w:color w:val="000000"/>
          <w:kern w:val="0"/>
          <w:sz w:val="21"/>
          <w:szCs w:val="20"/>
          <w:highlight w:val="none"/>
          <w:lang w:val="en-US" w:eastAsia="zh-CN" w:bidi="ar"/>
        </w:rPr>
      </w:pPr>
      <w:r>
        <w:rPr>
          <w:rFonts w:hint="eastAsia" w:cs="Times New Roman"/>
          <w:color w:val="000000"/>
          <w:highlight w:val="none"/>
          <w:lang w:val="en-US" w:eastAsia="zh-CN"/>
        </w:rPr>
        <w:t>依据生态单元生态现状调查评价内容，结合实际选取适用于待评价典型生态单元的三级指标，进行指标打分和权重设置，计算得到</w:t>
      </w:r>
      <w:r>
        <w:rPr>
          <w:rFonts w:hint="eastAsia" w:hAnsi="Times New Roman" w:cs="Times New Roman"/>
          <w:color w:val="000000"/>
          <w:highlight w:val="none"/>
          <w:lang w:val="en-US" w:eastAsia="zh-CN"/>
        </w:rPr>
        <w:t>生态单元生态现状综合评价指数。综合评价指数</w:t>
      </w:r>
      <w:r>
        <w:rPr>
          <w:rFonts w:hint="eastAsia" w:cs="Times New Roman"/>
          <w:color w:val="000000"/>
          <w:highlight w:val="none"/>
          <w:lang w:val="en-US" w:eastAsia="zh-CN"/>
        </w:rPr>
        <w:t>对应的评分</w:t>
      </w:r>
      <w:r>
        <w:rPr>
          <w:rFonts w:hint="eastAsia" w:ascii="宋体" w:hAnsi="Times New Roman" w:eastAsia="宋体" w:cs="Times New Roman"/>
          <w:color w:val="000000"/>
          <w:kern w:val="0"/>
          <w:sz w:val="21"/>
          <w:szCs w:val="20"/>
          <w:highlight w:val="none"/>
          <w:lang w:val="en-US" w:eastAsia="zh-CN" w:bidi="ar"/>
        </w:rPr>
        <w:t>结果分为5级，依次为</w:t>
      </w:r>
      <w:r>
        <w:rPr>
          <w:rFonts w:hint="eastAsia" w:cs="Times New Roman"/>
          <w:color w:val="000000"/>
          <w:kern w:val="0"/>
          <w:sz w:val="21"/>
          <w:szCs w:val="20"/>
          <w:highlight w:val="none"/>
          <w:lang w:val="en-US" w:eastAsia="zh-CN" w:bidi="ar"/>
        </w:rPr>
        <w:t>生态现状优秀</w:t>
      </w:r>
      <w:r>
        <w:rPr>
          <w:rFonts w:hint="eastAsia" w:ascii="宋体" w:hAnsi="Times New Roman" w:eastAsia="宋体" w:cs="Times New Roman"/>
          <w:color w:val="000000"/>
          <w:kern w:val="0"/>
          <w:sz w:val="21"/>
          <w:szCs w:val="20"/>
          <w:highlight w:val="none"/>
          <w:lang w:val="en-US" w:eastAsia="zh-CN" w:bidi="ar"/>
        </w:rPr>
        <w:t>、</w:t>
      </w:r>
      <w:r>
        <w:rPr>
          <w:rFonts w:hint="eastAsia" w:cs="Times New Roman"/>
          <w:color w:val="000000"/>
          <w:kern w:val="0"/>
          <w:sz w:val="21"/>
          <w:szCs w:val="20"/>
          <w:highlight w:val="none"/>
          <w:lang w:val="en-US" w:eastAsia="zh-CN" w:bidi="ar"/>
        </w:rPr>
        <w:t>良好</w:t>
      </w:r>
      <w:r>
        <w:rPr>
          <w:rFonts w:hint="eastAsia" w:ascii="宋体" w:hAnsi="Times New Roman" w:eastAsia="宋体" w:cs="Times New Roman"/>
          <w:color w:val="000000"/>
          <w:kern w:val="0"/>
          <w:sz w:val="21"/>
          <w:szCs w:val="20"/>
          <w:highlight w:val="none"/>
          <w:lang w:val="en-US" w:eastAsia="zh-CN" w:bidi="ar"/>
        </w:rPr>
        <w:t>、</w:t>
      </w:r>
      <w:r>
        <w:rPr>
          <w:rFonts w:hint="eastAsia" w:cs="Times New Roman"/>
          <w:color w:val="000000"/>
          <w:kern w:val="0"/>
          <w:sz w:val="21"/>
          <w:szCs w:val="20"/>
          <w:highlight w:val="none"/>
          <w:lang w:val="en-US" w:eastAsia="zh-CN" w:bidi="ar"/>
        </w:rPr>
        <w:t>较</w:t>
      </w:r>
      <w:r>
        <w:rPr>
          <w:rFonts w:hint="eastAsia" w:ascii="宋体" w:hAnsi="Times New Roman" w:eastAsia="宋体" w:cs="Times New Roman"/>
          <w:color w:val="000000"/>
          <w:kern w:val="0"/>
          <w:sz w:val="21"/>
          <w:szCs w:val="20"/>
          <w:highlight w:val="none"/>
          <w:lang w:val="en-US" w:eastAsia="zh-CN" w:bidi="ar"/>
        </w:rPr>
        <w:t>好、</w:t>
      </w:r>
      <w:r>
        <w:rPr>
          <w:rFonts w:hint="eastAsia" w:cs="Times New Roman"/>
          <w:color w:val="000000"/>
          <w:kern w:val="0"/>
          <w:sz w:val="21"/>
          <w:szCs w:val="20"/>
          <w:highlight w:val="none"/>
          <w:lang w:val="en-US" w:eastAsia="zh-CN" w:bidi="ar"/>
        </w:rPr>
        <w:t>中等、</w:t>
      </w:r>
      <w:r>
        <w:rPr>
          <w:rFonts w:hint="eastAsia" w:ascii="宋体" w:hAnsi="Times New Roman" w:eastAsia="宋体" w:cs="Times New Roman"/>
          <w:color w:val="000000"/>
          <w:kern w:val="0"/>
          <w:sz w:val="21"/>
          <w:szCs w:val="20"/>
          <w:highlight w:val="none"/>
          <w:lang w:val="en-US" w:eastAsia="zh-CN" w:bidi="ar"/>
        </w:rPr>
        <w:t>较差5个等级。</w:t>
      </w:r>
    </w:p>
    <w:p w14:paraId="2341EF07">
      <w:pPr>
        <w:pStyle w:val="25"/>
        <w:rPr>
          <w:rFonts w:hint="eastAsia" w:hAnsi="Times New Roman" w:cs="Times New Roman"/>
          <w:color w:val="000000"/>
          <w:highlight w:val="none"/>
          <w:lang w:val="en-US" w:eastAsia="zh-CN"/>
        </w:rPr>
      </w:pPr>
      <w:r>
        <w:rPr>
          <w:rFonts w:hint="eastAsia" w:cs="Times New Roman"/>
          <w:color w:val="000000"/>
          <w:kern w:val="0"/>
          <w:sz w:val="21"/>
          <w:szCs w:val="20"/>
          <w:highlight w:val="none"/>
          <w:lang w:val="en-US" w:eastAsia="zh-CN" w:bidi="ar"/>
        </w:rPr>
        <w:t>具体</w:t>
      </w:r>
      <w:r>
        <w:rPr>
          <w:rFonts w:hint="eastAsia" w:hAnsi="Times New Roman" w:cs="Times New Roman"/>
          <w:color w:val="000000"/>
          <w:highlight w:val="none"/>
          <w:lang w:val="en-US" w:eastAsia="zh-CN"/>
        </w:rPr>
        <w:t>的计算方法与分级参见附录C。</w:t>
      </w:r>
    </w:p>
    <w:p w14:paraId="43A20F27">
      <w:pPr>
        <w:pStyle w:val="61"/>
        <w:spacing w:before="156" w:after="156"/>
        <w:rPr>
          <w:rFonts w:hint="eastAsia" w:hAnsi="Times New Roman" w:cs="Times New Roman"/>
          <w:color w:val="000000"/>
          <w:highlight w:val="none"/>
          <w:lang w:val="en-US" w:eastAsia="zh-CN"/>
        </w:rPr>
      </w:pPr>
      <w:r>
        <w:rPr>
          <w:rFonts w:hint="default" w:cs="Times New Roman"/>
          <w:color w:val="000000"/>
          <w:highlight w:val="none"/>
          <w:lang w:val="en-US" w:eastAsia="zh-CN"/>
        </w:rPr>
        <w:t>问题识别</w:t>
      </w:r>
    </w:p>
    <w:p w14:paraId="3CBF5455">
      <w:pPr>
        <w:pStyle w:val="25"/>
        <w:keepNext w:val="0"/>
        <w:keepLines w:val="0"/>
        <w:widowControl/>
        <w:suppressLineNumbers w:val="0"/>
        <w:jc w:val="left"/>
        <w:rPr>
          <w:rFonts w:hint="eastAsia"/>
          <w:color w:val="000000"/>
          <w:highlight w:val="none"/>
        </w:rPr>
      </w:pPr>
      <w:r>
        <w:rPr>
          <w:rFonts w:hint="eastAsia"/>
          <w:color w:val="000000"/>
          <w:highlight w:val="none"/>
          <w:lang w:val="en-US" w:eastAsia="zh-CN"/>
        </w:rPr>
        <w:t>综合各类指标数据信息，识别生态单元内</w:t>
      </w:r>
      <w:r>
        <w:rPr>
          <w:rFonts w:hint="eastAsia" w:ascii="宋体" w:hAnsi="Times New Roman" w:eastAsia="宋体" w:cs="Times New Roman"/>
          <w:color w:val="000000"/>
          <w:kern w:val="0"/>
          <w:sz w:val="21"/>
          <w:szCs w:val="20"/>
          <w:highlight w:val="none"/>
          <w:lang w:val="en-US" w:eastAsia="zh-CN" w:bidi="ar"/>
        </w:rPr>
        <w:t>生态胁迫、生态系统质量、生态系统服务、生态空间格局 等方面主要生态问题。</w:t>
      </w:r>
    </w:p>
    <w:p w14:paraId="1D0F73A1">
      <w:pPr>
        <w:pStyle w:val="25"/>
        <w:rPr>
          <w:rFonts w:hint="eastAsia" w:ascii="宋体" w:hAnsi="Times New Roman" w:eastAsia="宋体" w:cs="Times New Roman"/>
          <w:color w:val="000000"/>
          <w:kern w:val="0"/>
          <w:sz w:val="21"/>
          <w:szCs w:val="20"/>
          <w:highlight w:val="none"/>
          <w:lang w:val="en-US" w:eastAsia="zh-CN" w:bidi="ar"/>
        </w:rPr>
      </w:pPr>
      <w:r>
        <w:rPr>
          <w:rFonts w:hint="eastAsia" w:ascii="宋体" w:hAnsi="Times New Roman" w:eastAsia="宋体" w:cs="Times New Roman"/>
          <w:color w:val="000000"/>
          <w:kern w:val="0"/>
          <w:sz w:val="21"/>
          <w:szCs w:val="20"/>
          <w:highlight w:val="none"/>
          <w:lang w:val="en-US" w:eastAsia="zh-CN" w:bidi="ar"/>
        </w:rPr>
        <w:t>准确识别主要生态问题及问题之间的关联性、紧迫度和优先度，确定需要保护修复的相关重要生态系统、物种和关键要素，科学诊断自然生态系统受损的面积、分布、程度、影响因素、成因及与相关生态系统 的关联性。</w:t>
      </w:r>
    </w:p>
    <w:p w14:paraId="0D07B336">
      <w:pPr>
        <w:pStyle w:val="25"/>
        <w:rPr>
          <w:rFonts w:hint="eastAsia"/>
          <w:color w:val="000000"/>
          <w:highlight w:val="none"/>
          <w:lang w:val="en-US" w:eastAsia="zh-CN"/>
        </w:rPr>
      </w:pPr>
      <w:r>
        <w:rPr>
          <w:rFonts w:hint="eastAsia"/>
          <w:color w:val="000000"/>
          <w:highlight w:val="none"/>
          <w:lang w:val="en-US" w:eastAsia="zh-CN"/>
        </w:rPr>
        <w:t>单一指标的定量评价结果可作为某一种问题识别的依据，综合评价结果可作为生态单元整体问题研判的依据。</w:t>
      </w:r>
    </w:p>
    <w:p w14:paraId="2B7455E9">
      <w:pPr>
        <w:pStyle w:val="80"/>
        <w:rPr>
          <w:rFonts w:hint="eastAsia" w:hAnsi="Times New Roman" w:cs="Times New Roman"/>
          <w:highlight w:val="none"/>
          <w:lang w:val="en-US" w:eastAsia="zh-CN"/>
        </w:rPr>
      </w:pPr>
      <w:bookmarkStart w:id="322" w:name="_Toc2997"/>
      <w:bookmarkStart w:id="323" w:name="_Toc7255"/>
      <w:bookmarkStart w:id="324" w:name="_Toc15230"/>
      <w:bookmarkStart w:id="325" w:name="_Toc2583"/>
      <w:bookmarkStart w:id="326" w:name="_Toc23079"/>
      <w:bookmarkStart w:id="327" w:name="_Toc8657"/>
      <w:bookmarkStart w:id="328" w:name="_Toc21127"/>
      <w:bookmarkStart w:id="329" w:name="_Toc16814"/>
      <w:bookmarkStart w:id="330" w:name="_Toc6741"/>
      <w:r>
        <w:rPr>
          <w:rFonts w:hint="eastAsia" w:hAnsi="Times New Roman" w:cs="Times New Roman"/>
          <w:highlight w:val="none"/>
          <w:lang w:val="en-US" w:eastAsia="zh-CN"/>
        </w:rPr>
        <w:t>调查评价成果</w:t>
      </w:r>
      <w:bookmarkEnd w:id="322"/>
      <w:bookmarkEnd w:id="323"/>
      <w:bookmarkEnd w:id="324"/>
      <w:bookmarkEnd w:id="325"/>
      <w:bookmarkEnd w:id="326"/>
      <w:bookmarkEnd w:id="327"/>
      <w:bookmarkEnd w:id="328"/>
      <w:bookmarkEnd w:id="329"/>
      <w:bookmarkEnd w:id="330"/>
    </w:p>
    <w:p w14:paraId="4C953C48">
      <w:pPr>
        <w:pStyle w:val="62"/>
        <w:rPr>
          <w:rFonts w:hint="eastAsia" w:hAnsi="Times New Roman" w:cs="Times New Roman"/>
          <w:highlight w:val="none"/>
          <w:lang w:val="en-US" w:eastAsia="zh-CN"/>
        </w:rPr>
      </w:pPr>
      <w:bookmarkStart w:id="331" w:name="_Toc2100"/>
      <w:bookmarkStart w:id="332" w:name="_Toc10014"/>
      <w:bookmarkStart w:id="333" w:name="_Toc19507"/>
      <w:bookmarkStart w:id="334" w:name="_Toc3971"/>
      <w:bookmarkStart w:id="335" w:name="_Toc21696"/>
      <w:bookmarkStart w:id="336" w:name="_Toc22574"/>
      <w:bookmarkStart w:id="337" w:name="_Toc9967"/>
      <w:bookmarkStart w:id="338" w:name="_Toc31775"/>
      <w:r>
        <w:rPr>
          <w:rFonts w:hint="eastAsia" w:hAnsi="Times New Roman" w:cs="Times New Roman"/>
          <w:highlight w:val="none"/>
          <w:lang w:val="en-US" w:eastAsia="zh-CN"/>
        </w:rPr>
        <w:t>成果形式</w:t>
      </w:r>
      <w:bookmarkEnd w:id="331"/>
      <w:bookmarkEnd w:id="332"/>
      <w:bookmarkEnd w:id="333"/>
      <w:bookmarkEnd w:id="334"/>
      <w:bookmarkEnd w:id="335"/>
      <w:bookmarkEnd w:id="336"/>
      <w:bookmarkEnd w:id="337"/>
      <w:bookmarkEnd w:id="338"/>
    </w:p>
    <w:p w14:paraId="5CECCDC7">
      <w:pPr>
        <w:pStyle w:val="61"/>
        <w:spacing w:before="156" w:after="156"/>
        <w:rPr>
          <w:rFonts w:hint="eastAsia" w:hAnsi="Times New Roman" w:cs="Times New Roman"/>
          <w:highlight w:val="none"/>
          <w:lang w:val="en-US" w:eastAsia="zh-CN"/>
        </w:rPr>
      </w:pPr>
      <w:bookmarkStart w:id="339" w:name="_Toc23185"/>
      <w:r>
        <w:rPr>
          <w:rFonts w:hint="eastAsia" w:hAnsi="Times New Roman" w:cs="Times New Roman"/>
          <w:highlight w:val="none"/>
          <w:lang w:val="en-US" w:eastAsia="zh-CN"/>
        </w:rPr>
        <w:t>文本成果</w:t>
      </w:r>
      <w:bookmarkEnd w:id="339"/>
      <w:r>
        <w:rPr>
          <w:rFonts w:hint="eastAsia" w:hAnsi="Times New Roman" w:cs="Times New Roman"/>
          <w:highlight w:val="none"/>
          <w:lang w:val="en-US" w:eastAsia="zh-CN"/>
        </w:rPr>
        <w:t xml:space="preserve"> </w:t>
      </w:r>
    </w:p>
    <w:p w14:paraId="62E905A7">
      <w:pPr>
        <w:keepNext w:val="0"/>
        <w:keepLines w:val="0"/>
        <w:widowControl/>
        <w:suppressLineNumbers w:val="0"/>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包括但不限于：调查质检报告、调查</w:t>
      </w:r>
      <w:r>
        <w:rPr>
          <w:rFonts w:hint="eastAsia" w:ascii="宋体" w:hAnsi="宋体" w:cs="宋体"/>
          <w:color w:val="000000"/>
          <w:kern w:val="0"/>
          <w:sz w:val="21"/>
          <w:szCs w:val="21"/>
          <w:highlight w:val="none"/>
          <w:lang w:val="en-US" w:eastAsia="zh-CN" w:bidi="ar"/>
        </w:rPr>
        <w:t>评价</w:t>
      </w:r>
      <w:r>
        <w:rPr>
          <w:rFonts w:hint="eastAsia" w:ascii="宋体" w:hAnsi="宋体" w:eastAsia="宋体" w:cs="宋体"/>
          <w:color w:val="000000"/>
          <w:kern w:val="0"/>
          <w:sz w:val="21"/>
          <w:szCs w:val="21"/>
          <w:highlight w:val="none"/>
          <w:lang w:val="en-US" w:eastAsia="zh-CN" w:bidi="ar"/>
        </w:rPr>
        <w:t>成果报告等。</w:t>
      </w:r>
    </w:p>
    <w:p w14:paraId="0C1FC57D">
      <w:pPr>
        <w:pStyle w:val="61"/>
        <w:spacing w:before="156" w:after="156"/>
        <w:rPr>
          <w:rFonts w:hint="eastAsia" w:hAnsi="Times New Roman" w:cs="Times New Roman"/>
          <w:highlight w:val="none"/>
          <w:lang w:val="en-US" w:eastAsia="zh-CN"/>
        </w:rPr>
      </w:pPr>
      <w:bookmarkStart w:id="340" w:name="_Toc31108"/>
      <w:r>
        <w:rPr>
          <w:rFonts w:hint="eastAsia" w:hAnsi="Times New Roman" w:cs="Times New Roman"/>
          <w:highlight w:val="none"/>
          <w:lang w:val="en-US" w:eastAsia="zh-CN"/>
        </w:rPr>
        <w:t>图件成果</w:t>
      </w:r>
      <w:bookmarkEnd w:id="340"/>
    </w:p>
    <w:p w14:paraId="330AAC91">
      <w:pPr>
        <w:keepNext w:val="0"/>
        <w:keepLines w:val="0"/>
        <w:widowControl/>
        <w:suppressLineNumbers w:val="0"/>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包括研究生态单元生态现状分布图、生态单元生态现状综合评价图、各类指标调查与评价图集。采用计算机系统进行相关图件制作，图件编码规则按照有关规定执行。</w:t>
      </w:r>
    </w:p>
    <w:p w14:paraId="4474861E">
      <w:pPr>
        <w:pStyle w:val="61"/>
        <w:spacing w:before="156" w:after="156"/>
        <w:rPr>
          <w:rFonts w:hint="eastAsia" w:hAnsi="Times New Roman" w:cs="Times New Roman"/>
          <w:highlight w:val="none"/>
          <w:lang w:val="en-US" w:eastAsia="zh-CN"/>
        </w:rPr>
      </w:pPr>
      <w:bookmarkStart w:id="341" w:name="_Toc18933"/>
      <w:r>
        <w:rPr>
          <w:rFonts w:hint="eastAsia" w:hAnsi="Times New Roman" w:cs="Times New Roman"/>
          <w:highlight w:val="none"/>
          <w:lang w:val="en-US" w:eastAsia="zh-CN"/>
        </w:rPr>
        <w:t>表格成果</w:t>
      </w:r>
      <w:bookmarkEnd w:id="341"/>
      <w:r>
        <w:rPr>
          <w:rFonts w:hint="eastAsia" w:hAnsi="Times New Roman" w:cs="Times New Roman"/>
          <w:highlight w:val="none"/>
          <w:lang w:val="en-US" w:eastAsia="zh-CN"/>
        </w:rPr>
        <w:t xml:space="preserve"> </w:t>
      </w:r>
    </w:p>
    <w:p w14:paraId="2F0DE210">
      <w:pPr>
        <w:keepNext w:val="0"/>
        <w:keepLines w:val="0"/>
        <w:widowControl/>
        <w:suppressLineNumbers w:val="0"/>
        <w:ind w:firstLine="420" w:firstLineChars="200"/>
        <w:jc w:val="left"/>
        <w:rPr>
          <w:highlight w:val="none"/>
        </w:rPr>
      </w:pPr>
      <w:r>
        <w:rPr>
          <w:rFonts w:hint="eastAsia" w:ascii="宋体" w:hAnsi="宋体" w:eastAsia="宋体" w:cs="宋体"/>
          <w:color w:val="000000"/>
          <w:kern w:val="0"/>
          <w:sz w:val="21"/>
          <w:szCs w:val="21"/>
          <w:highlight w:val="none"/>
          <w:lang w:val="en-US" w:eastAsia="zh-CN" w:bidi="ar"/>
        </w:rPr>
        <w:t xml:space="preserve">包括但不限于生态单元的基本状况、生态状况、人类活动本底调查登记表及对应的生态状况数据、各类人类活动本底情况数据等。 </w:t>
      </w:r>
    </w:p>
    <w:p w14:paraId="6E963CB0">
      <w:pPr>
        <w:pStyle w:val="61"/>
        <w:spacing w:before="156" w:after="156"/>
        <w:rPr>
          <w:rFonts w:hint="eastAsia" w:ascii="黑体" w:hAnsi="Times New Roman" w:eastAsia="黑体" w:cs="Times New Roman"/>
          <w:kern w:val="0"/>
          <w:sz w:val="21"/>
          <w:szCs w:val="21"/>
          <w:highlight w:val="none"/>
          <w:lang w:val="en-US" w:eastAsia="zh-CN" w:bidi="ar-SA"/>
        </w:rPr>
      </w:pPr>
      <w:bookmarkStart w:id="342" w:name="_Toc28272"/>
      <w:r>
        <w:rPr>
          <w:rFonts w:hint="eastAsia" w:ascii="黑体" w:hAnsi="Times New Roman" w:cs="Times New Roman"/>
          <w:kern w:val="0"/>
          <w:sz w:val="21"/>
          <w:szCs w:val="21"/>
          <w:highlight w:val="none"/>
          <w:lang w:val="en-US" w:eastAsia="zh-CN" w:bidi="ar-SA"/>
        </w:rPr>
        <w:t>数据库成果</w:t>
      </w:r>
    </w:p>
    <w:p w14:paraId="267ECCF8">
      <w:pPr>
        <w:keepNext w:val="0"/>
        <w:keepLines w:val="0"/>
        <w:widowControl/>
        <w:suppressLineNumbers w:val="0"/>
        <w:ind w:firstLine="420" w:firstLineChars="200"/>
        <w:jc w:val="left"/>
        <w:rPr>
          <w:rFonts w:hint="eastAsia" w:ascii="黑体" w:hAnsi="Times New Roman" w:eastAsia="宋体" w:cs="Times New Roman"/>
          <w:kern w:val="0"/>
          <w:sz w:val="21"/>
          <w:szCs w:val="21"/>
          <w:highlight w:val="none"/>
          <w:lang w:val="en-US" w:eastAsia="zh-CN" w:bidi="ar-SA"/>
        </w:rPr>
      </w:pPr>
      <w:r>
        <w:rPr>
          <w:rFonts w:hint="eastAsia" w:ascii="宋体" w:hAnsi="宋体" w:cs="宋体"/>
          <w:color w:val="000000"/>
          <w:kern w:val="0"/>
          <w:szCs w:val="21"/>
          <w:highlight w:val="none"/>
          <w:lang w:bidi="ar"/>
        </w:rPr>
        <w:t>建立</w:t>
      </w:r>
      <w:r>
        <w:rPr>
          <w:rFonts w:hint="eastAsia" w:ascii="宋体" w:hAnsi="宋体" w:cs="宋体"/>
          <w:color w:val="000000"/>
          <w:kern w:val="0"/>
          <w:szCs w:val="21"/>
          <w:highlight w:val="none"/>
          <w:lang w:eastAsia="zh-CN" w:bidi="ar"/>
        </w:rPr>
        <w:t>调查评价指标</w:t>
      </w:r>
      <w:r>
        <w:rPr>
          <w:rFonts w:hint="eastAsia" w:ascii="宋体" w:hAnsi="宋体" w:cs="宋体"/>
          <w:color w:val="000000"/>
          <w:kern w:val="0"/>
          <w:szCs w:val="21"/>
          <w:highlight w:val="none"/>
          <w:lang w:bidi="ar"/>
        </w:rPr>
        <w:t>数据库</w:t>
      </w:r>
      <w:r>
        <w:rPr>
          <w:rFonts w:hint="eastAsia" w:ascii="宋体" w:hAnsi="宋体" w:cs="宋体"/>
          <w:color w:val="000000"/>
          <w:kern w:val="0"/>
          <w:szCs w:val="21"/>
          <w:highlight w:val="none"/>
          <w:lang w:eastAsia="zh-CN" w:bidi="ar"/>
        </w:rPr>
        <w:t>和</w:t>
      </w:r>
      <w:r>
        <w:rPr>
          <w:rFonts w:hint="eastAsia" w:ascii="宋体" w:hAnsi="宋体" w:cs="宋体"/>
          <w:color w:val="000000"/>
          <w:kern w:val="0"/>
          <w:szCs w:val="21"/>
          <w:highlight w:val="none"/>
          <w:lang w:bidi="ar"/>
        </w:rPr>
        <w:t>空间数据库</w:t>
      </w:r>
      <w:r>
        <w:rPr>
          <w:rFonts w:hint="eastAsia" w:ascii="宋体" w:hAnsi="宋体" w:cs="宋体"/>
          <w:color w:val="000000"/>
          <w:kern w:val="0"/>
          <w:szCs w:val="21"/>
          <w:highlight w:val="none"/>
          <w:lang w:eastAsia="zh-CN" w:bidi="ar"/>
        </w:rPr>
        <w:t>。</w:t>
      </w:r>
    </w:p>
    <w:p w14:paraId="437B66C6">
      <w:pPr>
        <w:pStyle w:val="61"/>
        <w:spacing w:before="156" w:after="156"/>
        <w:rPr>
          <w:rFonts w:hint="eastAsia" w:hAnsi="Times New Roman" w:cs="Times New Roman"/>
          <w:highlight w:val="none"/>
          <w:lang w:val="en-US" w:eastAsia="zh-CN"/>
        </w:rPr>
      </w:pPr>
      <w:r>
        <w:rPr>
          <w:rFonts w:hint="eastAsia" w:hAnsi="Times New Roman" w:cs="Times New Roman"/>
          <w:highlight w:val="none"/>
          <w:lang w:val="en-US" w:eastAsia="zh-CN"/>
        </w:rPr>
        <w:t>多媒体成果</w:t>
      </w:r>
      <w:bookmarkEnd w:id="342"/>
      <w:r>
        <w:rPr>
          <w:rFonts w:hint="eastAsia" w:hAnsi="Times New Roman" w:cs="Times New Roman"/>
          <w:highlight w:val="none"/>
          <w:lang w:val="en-US" w:eastAsia="zh-CN"/>
        </w:rPr>
        <w:t xml:space="preserve"> </w:t>
      </w:r>
    </w:p>
    <w:p w14:paraId="05CA2AED">
      <w:pPr>
        <w:keepNext w:val="0"/>
        <w:keepLines w:val="0"/>
        <w:widowControl/>
        <w:suppressLineNumbers w:val="0"/>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包括工作过程中实地拍摄的重要生态环境受损破坏情况的举证照片（应注明拍摄定位坐标和方位角）和音视频等。</w:t>
      </w:r>
    </w:p>
    <w:p w14:paraId="35B6CA23">
      <w:pPr>
        <w:pStyle w:val="62"/>
        <w:rPr>
          <w:rFonts w:hint="eastAsia" w:hAnsi="Times New Roman" w:cs="Times New Roman"/>
          <w:highlight w:val="none"/>
          <w:lang w:val="en-US" w:eastAsia="zh-CN"/>
        </w:rPr>
      </w:pPr>
      <w:bookmarkStart w:id="343" w:name="_Toc6234"/>
      <w:bookmarkStart w:id="344" w:name="_Toc13335"/>
      <w:bookmarkStart w:id="345" w:name="_Toc10030"/>
      <w:bookmarkStart w:id="346" w:name="_Toc8853"/>
      <w:bookmarkStart w:id="347" w:name="_Toc20189"/>
      <w:bookmarkStart w:id="348" w:name="_Toc26324"/>
      <w:bookmarkStart w:id="349" w:name="_Toc24375"/>
      <w:bookmarkStart w:id="350" w:name="_Toc9865"/>
      <w:r>
        <w:rPr>
          <w:rFonts w:hint="eastAsia" w:hAnsi="Times New Roman" w:cs="Times New Roman"/>
          <w:highlight w:val="none"/>
          <w:lang w:val="en-US" w:eastAsia="zh-CN"/>
        </w:rPr>
        <w:t>成果应用</w:t>
      </w:r>
      <w:bookmarkEnd w:id="343"/>
      <w:bookmarkEnd w:id="344"/>
      <w:bookmarkEnd w:id="345"/>
      <w:bookmarkEnd w:id="346"/>
      <w:bookmarkEnd w:id="347"/>
      <w:bookmarkEnd w:id="348"/>
      <w:bookmarkEnd w:id="349"/>
      <w:bookmarkEnd w:id="350"/>
    </w:p>
    <w:p w14:paraId="505AB613">
      <w:pPr>
        <w:pStyle w:val="25"/>
        <w:rPr>
          <w:rFonts w:hint="eastAsia" w:ascii="宋体" w:hAnsi="Times New Roman" w:eastAsia="宋体" w:cs="Times New Roman"/>
          <w:highlight w:val="none"/>
          <w:lang w:val="en-US" w:eastAsia="zh-CN"/>
        </w:rPr>
      </w:pPr>
      <w:r>
        <w:rPr>
          <w:rFonts w:hint="eastAsia" w:ascii="宋体" w:hAnsi="Times New Roman" w:eastAsia="宋体" w:cs="Times New Roman"/>
          <w:highlight w:val="none"/>
          <w:lang w:val="en-US" w:eastAsia="zh-CN"/>
        </w:rPr>
        <w:t>调查评价结果可作为生态保护修复相关规划、后续相关生态保护修复工程布局的依据。</w:t>
      </w:r>
    </w:p>
    <w:p w14:paraId="19A631EF">
      <w:pPr>
        <w:pStyle w:val="80"/>
        <w:rPr>
          <w:rFonts w:hint="default" w:hAnsi="Times New Roman" w:cs="Times New Roman"/>
          <w:highlight w:val="none"/>
          <w:lang w:val="en-US" w:eastAsia="zh-CN"/>
        </w:rPr>
      </w:pPr>
      <w:bookmarkStart w:id="351" w:name="_Toc7674"/>
      <w:bookmarkStart w:id="352" w:name="_Toc7900"/>
      <w:bookmarkStart w:id="353" w:name="_Toc18146"/>
      <w:bookmarkStart w:id="354" w:name="_Toc22637"/>
      <w:bookmarkStart w:id="355" w:name="_Toc6264"/>
      <w:bookmarkStart w:id="356" w:name="_Toc24639"/>
      <w:bookmarkStart w:id="357" w:name="_Toc946"/>
      <w:bookmarkStart w:id="358" w:name="_Toc4259"/>
      <w:bookmarkStart w:id="359" w:name="_Toc16317"/>
      <w:bookmarkStart w:id="360" w:name="_Toc3896"/>
      <w:r>
        <w:rPr>
          <w:rFonts w:hint="eastAsia" w:cs="Times New Roman"/>
          <w:highlight w:val="none"/>
          <w:lang w:val="en-US" w:eastAsia="zh-CN"/>
        </w:rPr>
        <w:t>成果资料管理</w:t>
      </w:r>
      <w:bookmarkEnd w:id="351"/>
      <w:bookmarkEnd w:id="352"/>
      <w:bookmarkEnd w:id="353"/>
      <w:bookmarkEnd w:id="354"/>
      <w:bookmarkEnd w:id="355"/>
      <w:bookmarkEnd w:id="356"/>
      <w:bookmarkEnd w:id="357"/>
    </w:p>
    <w:p w14:paraId="235981FC">
      <w:pPr>
        <w:pStyle w:val="62"/>
        <w:rPr>
          <w:rFonts w:hint="eastAsia" w:hAnsi="Times New Roman" w:cs="Times New Roman"/>
          <w:highlight w:val="none"/>
          <w:lang w:val="en-US" w:eastAsia="zh-CN"/>
        </w:rPr>
      </w:pPr>
      <w:bookmarkStart w:id="361" w:name="_Toc9595"/>
      <w:bookmarkStart w:id="362" w:name="_Toc14725"/>
      <w:r>
        <w:rPr>
          <w:rFonts w:hint="eastAsia" w:cs="Times New Roman"/>
          <w:highlight w:val="none"/>
          <w:lang w:val="en-US" w:eastAsia="zh-CN"/>
        </w:rPr>
        <w:t>基本要求</w:t>
      </w:r>
      <w:bookmarkEnd w:id="361"/>
      <w:bookmarkEnd w:id="362"/>
    </w:p>
    <w:bookmarkEnd w:id="358"/>
    <w:bookmarkEnd w:id="359"/>
    <w:bookmarkEnd w:id="360"/>
    <w:p w14:paraId="4F994B33">
      <w:pPr>
        <w:keepNext w:val="0"/>
        <w:keepLines w:val="0"/>
        <w:widowControl/>
        <w:suppressLineNumbers w:val="0"/>
        <w:ind w:firstLine="420" w:firstLineChars="200"/>
        <w:jc w:val="left"/>
        <w:rPr>
          <w:rFonts w:hint="eastAsia"/>
          <w:lang w:val="en-US" w:eastAsia="zh-CN"/>
        </w:rPr>
      </w:pPr>
      <w:r>
        <w:rPr>
          <w:rFonts w:hint="eastAsia"/>
          <w:lang w:val="en-US" w:eastAsia="zh-CN"/>
        </w:rPr>
        <w:t>调查评价质量控制主要针对生态单元调查评价中涉及的数据采集、数据生产加工及数据应用全过程涉及的主要数据，包括遥感影像数据、生态系统类型数据、生态参数数据及野外调查/核查数据。</w:t>
      </w:r>
    </w:p>
    <w:p w14:paraId="1F408E2A">
      <w:pPr>
        <w:pStyle w:val="62"/>
        <w:keepNext w:val="0"/>
        <w:keepLines w:val="0"/>
        <w:widowControl/>
        <w:suppressLineNumbers w:val="0"/>
        <w:ind w:firstLineChars="0"/>
        <w:jc w:val="left"/>
        <w:rPr>
          <w:rFonts w:hint="eastAsia" w:cs="Times New Roman"/>
          <w:highlight w:val="none"/>
          <w:lang w:val="en-US" w:eastAsia="zh-CN"/>
        </w:rPr>
      </w:pPr>
      <w:bookmarkStart w:id="363" w:name="_Toc21881"/>
      <w:bookmarkStart w:id="364" w:name="_Toc30547"/>
      <w:bookmarkStart w:id="365" w:name="_Toc28634"/>
      <w:bookmarkStart w:id="366" w:name="_Toc16585"/>
      <w:r>
        <w:rPr>
          <w:rFonts w:hint="eastAsia" w:cs="Times New Roman"/>
          <w:highlight w:val="none"/>
          <w:lang w:val="en-US" w:eastAsia="zh-CN"/>
        </w:rPr>
        <w:t>数据管理</w:t>
      </w:r>
      <w:bookmarkEnd w:id="363"/>
      <w:bookmarkEnd w:id="364"/>
      <w:bookmarkEnd w:id="365"/>
      <w:bookmarkEnd w:id="366"/>
    </w:p>
    <w:p w14:paraId="3D3C4D32">
      <w:pPr>
        <w:keepNext w:val="0"/>
        <w:keepLines w:val="0"/>
        <w:widowControl/>
        <w:suppressLineNumbers w:val="0"/>
        <w:ind w:firstLine="420" w:firstLineChars="200"/>
        <w:jc w:val="left"/>
        <w:rPr>
          <w:rFonts w:hint="default"/>
          <w:kern w:val="0"/>
          <w:szCs w:val="20"/>
          <w:highlight w:val="none"/>
          <w:lang w:bidi="ar"/>
        </w:rPr>
      </w:pPr>
      <w:r>
        <w:rPr>
          <w:rFonts w:hint="default" w:ascii="Times New Roman" w:hAnsi="Times New Roman" w:eastAsia="宋体" w:cs="Times New Roman"/>
          <w:color w:val="auto"/>
          <w:kern w:val="0"/>
          <w:sz w:val="21"/>
          <w:szCs w:val="20"/>
          <w:highlight w:val="none"/>
          <w:lang w:val="en-US" w:eastAsia="zh-CN" w:bidi="ar"/>
        </w:rPr>
        <w:t>按照数据内容完备性要求，提交</w:t>
      </w:r>
      <w:r>
        <w:rPr>
          <w:rFonts w:hint="default" w:ascii="Times New Roman" w:cs="Times New Roman"/>
          <w:kern w:val="0"/>
          <w:sz w:val="21"/>
          <w:szCs w:val="20"/>
          <w:highlight w:val="none"/>
          <w:lang w:val="en-US" w:eastAsia="zh-CN" w:bidi="ar"/>
        </w:rPr>
        <w:t>的</w:t>
      </w:r>
      <w:r>
        <w:rPr>
          <w:rFonts w:hint="default" w:ascii="Times New Roman" w:hAnsi="Times New Roman" w:eastAsia="宋体" w:cs="Times New Roman"/>
          <w:color w:val="auto"/>
          <w:kern w:val="0"/>
          <w:sz w:val="21"/>
          <w:szCs w:val="20"/>
          <w:highlight w:val="none"/>
          <w:lang w:val="en-US" w:eastAsia="zh-CN" w:bidi="ar"/>
        </w:rPr>
        <w:t>内容数据类型应完整、准确。</w:t>
      </w:r>
    </w:p>
    <w:p w14:paraId="39C299C8">
      <w:pPr>
        <w:keepNext w:val="0"/>
        <w:keepLines w:val="0"/>
        <w:widowControl/>
        <w:suppressLineNumbers w:val="0"/>
        <w:ind w:firstLine="420" w:firstLineChars="200"/>
        <w:jc w:val="left"/>
        <w:rPr>
          <w:rFonts w:hint="default"/>
          <w:kern w:val="0"/>
          <w:szCs w:val="20"/>
          <w:highlight w:val="none"/>
          <w:lang w:bidi="ar"/>
        </w:rPr>
      </w:pPr>
      <w:r>
        <w:rPr>
          <w:rFonts w:hint="default" w:ascii="Times New Roman" w:hAnsi="Times New Roman" w:eastAsia="宋体" w:cs="Times New Roman"/>
          <w:color w:val="auto"/>
          <w:kern w:val="0"/>
          <w:sz w:val="21"/>
          <w:szCs w:val="20"/>
          <w:highlight w:val="none"/>
          <w:lang w:val="en-US" w:eastAsia="zh-CN" w:bidi="ar"/>
        </w:rPr>
        <w:t>地面野外调查/核查数据：依据野外数据采集模板，提交Excel（.xls/.xlsx）格式的采集表格，同时提交附带的野外照片数据，采用JPEG（.jpg）格式，照片名称应与Excel文件中的数据记录一致。</w:t>
      </w:r>
    </w:p>
    <w:p w14:paraId="60DCB634">
      <w:pPr>
        <w:keepNext w:val="0"/>
        <w:keepLines w:val="0"/>
        <w:widowControl/>
        <w:suppressLineNumbers w:val="0"/>
        <w:ind w:firstLine="420" w:firstLineChars="200"/>
        <w:jc w:val="left"/>
        <w:rPr>
          <w:rFonts w:hint="default" w:ascii="Times New Roman" w:hAnsi="Times New Roman" w:eastAsia="宋体" w:cs="Times New Roman"/>
          <w:kern w:val="0"/>
          <w:sz w:val="21"/>
          <w:szCs w:val="20"/>
          <w:highlight w:val="none"/>
          <w:lang w:val="en-US" w:eastAsia="zh-CN" w:bidi="ar"/>
        </w:rPr>
      </w:pPr>
      <w:r>
        <w:rPr>
          <w:rFonts w:hint="default" w:ascii="Times New Roman" w:hAnsi="Times New Roman" w:eastAsia="宋体" w:cs="Times New Roman"/>
          <w:color w:val="auto"/>
          <w:kern w:val="0"/>
          <w:sz w:val="21"/>
          <w:szCs w:val="20"/>
          <w:highlight w:val="none"/>
          <w:lang w:val="en-US" w:eastAsia="zh-CN" w:bidi="ar"/>
        </w:rPr>
        <w:t>卫星遥感数据：提交格式为 GeoTIFF（.tif）格式，并应附带有元数据说明文件和缩略图文件，具体元数据要求可</w:t>
      </w:r>
      <w:r>
        <w:rPr>
          <w:rFonts w:hint="eastAsia" w:cs="Times New Roman"/>
          <w:color w:val="auto"/>
          <w:kern w:val="0"/>
          <w:sz w:val="21"/>
          <w:szCs w:val="20"/>
          <w:highlight w:val="none"/>
          <w:lang w:val="en-US" w:eastAsia="zh-CN" w:bidi="ar"/>
        </w:rPr>
        <w:t>按照</w:t>
      </w:r>
      <w:r>
        <w:rPr>
          <w:rFonts w:hint="default" w:ascii="Times New Roman" w:hAnsi="Times New Roman" w:eastAsia="宋体" w:cs="Times New Roman"/>
          <w:color w:val="auto"/>
          <w:kern w:val="0"/>
          <w:sz w:val="21"/>
          <w:szCs w:val="20"/>
          <w:highlight w:val="none"/>
          <w:lang w:val="en-US" w:eastAsia="zh-CN" w:bidi="ar"/>
        </w:rPr>
        <w:t>GB/T 35643</w:t>
      </w:r>
      <w:r>
        <w:rPr>
          <w:rFonts w:hint="eastAsia" w:cs="Times New Roman"/>
          <w:color w:val="auto"/>
          <w:kern w:val="0"/>
          <w:sz w:val="21"/>
          <w:szCs w:val="20"/>
          <w:highlight w:val="none"/>
          <w:lang w:val="en-US" w:eastAsia="zh-CN" w:bidi="ar"/>
        </w:rPr>
        <w:t>相关内容执行</w:t>
      </w:r>
      <w:r>
        <w:rPr>
          <w:rFonts w:hint="default" w:ascii="Times New Roman" w:hAnsi="Times New Roman" w:eastAsia="宋体" w:cs="Times New Roman"/>
          <w:color w:val="auto"/>
          <w:kern w:val="0"/>
          <w:sz w:val="21"/>
          <w:szCs w:val="20"/>
          <w:highlight w:val="none"/>
          <w:lang w:val="en-US" w:eastAsia="zh-CN" w:bidi="ar"/>
        </w:rPr>
        <w:t>。</w:t>
      </w:r>
    </w:p>
    <w:p w14:paraId="0D2FEDDF">
      <w:pPr>
        <w:keepNext w:val="0"/>
        <w:keepLines w:val="0"/>
        <w:widowControl/>
        <w:suppressLineNumbers w:val="0"/>
        <w:ind w:firstLine="420" w:firstLineChars="200"/>
        <w:jc w:val="left"/>
        <w:rPr>
          <w:rFonts w:hint="default" w:cs="Times New Roman"/>
          <w:color w:val="auto"/>
          <w:kern w:val="0"/>
          <w:szCs w:val="20"/>
          <w:highlight w:val="none"/>
          <w:lang w:val="en-US" w:eastAsia="zh-CN" w:bidi="ar"/>
        </w:rPr>
        <w:sectPr>
          <w:footerReference r:id="rId20" w:type="default"/>
          <w:footerReference r:id="rId21" w:type="even"/>
          <w:pgSz w:w="11906" w:h="16838"/>
          <w:pgMar w:top="567" w:right="1134" w:bottom="1134" w:left="1417" w:header="1418" w:footer="1134" w:gutter="0"/>
          <w:pgNumType w:start="1"/>
          <w:cols w:space="720" w:num="1"/>
          <w:formProt w:val="0"/>
          <w:docGrid w:type="lines" w:linePitch="312" w:charSpace="0"/>
        </w:sectPr>
      </w:pPr>
      <w:r>
        <w:rPr>
          <w:rFonts w:hint="eastAsia" w:ascii="宋体" w:hAnsi="宋体" w:cs="宋体"/>
          <w:color w:val="000000"/>
          <w:kern w:val="0"/>
          <w:sz w:val="21"/>
          <w:szCs w:val="21"/>
          <w:highlight w:val="none"/>
          <w:lang w:val="en-US" w:eastAsia="zh-CN" w:bidi="ar"/>
        </w:rPr>
        <w:t>空间</w:t>
      </w:r>
      <w:r>
        <w:rPr>
          <w:rFonts w:hint="eastAsia" w:ascii="宋体" w:hAnsi="宋体" w:eastAsia="宋体" w:cs="宋体"/>
          <w:color w:val="000000"/>
          <w:kern w:val="0"/>
          <w:sz w:val="21"/>
          <w:szCs w:val="21"/>
          <w:highlight w:val="none"/>
          <w:lang w:val="en-US" w:eastAsia="zh-CN" w:bidi="ar"/>
        </w:rPr>
        <w:t>数据采用</w:t>
      </w:r>
      <w:r>
        <w:rPr>
          <w:rFonts w:hint="default" w:ascii="Times New Roman" w:hAnsi="Times New Roman" w:eastAsia="宋体" w:cs="Times New Roman"/>
          <w:color w:val="000000"/>
          <w:kern w:val="0"/>
          <w:sz w:val="21"/>
          <w:szCs w:val="21"/>
          <w:highlight w:val="none"/>
          <w:lang w:val="en-US" w:eastAsia="zh-CN" w:bidi="ar"/>
        </w:rPr>
        <w:t>2000</w:t>
      </w:r>
      <w:r>
        <w:rPr>
          <w:rFonts w:hint="eastAsia" w:ascii="宋体" w:hAnsi="宋体" w:eastAsia="宋体" w:cs="宋体"/>
          <w:color w:val="000000"/>
          <w:kern w:val="0"/>
          <w:sz w:val="21"/>
          <w:szCs w:val="21"/>
          <w:highlight w:val="none"/>
          <w:lang w:val="en-US" w:eastAsia="zh-CN" w:bidi="ar"/>
        </w:rPr>
        <w:t>国家大地坐标，高斯</w:t>
      </w:r>
      <w:r>
        <w:rPr>
          <w:rFonts w:hint="default" w:ascii="Times New Roman" w:hAnsi="Times New Roman" w:eastAsia="宋体" w:cs="Times New Roman"/>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val="en-US" w:eastAsia="zh-CN" w:bidi="ar"/>
        </w:rPr>
        <w:t>克吕格投影，</w:t>
      </w:r>
      <w:r>
        <w:rPr>
          <w:rFonts w:hint="default" w:ascii="Times New Roman" w:hAnsi="Times New Roman" w:eastAsia="宋体" w:cs="Times New Roman"/>
          <w:color w:val="000000"/>
          <w:kern w:val="0"/>
          <w:sz w:val="21"/>
          <w:szCs w:val="21"/>
          <w:highlight w:val="none"/>
          <w:lang w:val="en-US" w:eastAsia="zh-CN" w:bidi="ar"/>
        </w:rPr>
        <w:t>1985</w:t>
      </w:r>
      <w:r>
        <w:rPr>
          <w:rFonts w:hint="eastAsia" w:ascii="宋体" w:hAnsi="宋体" w:eastAsia="宋体" w:cs="宋体"/>
          <w:color w:val="000000"/>
          <w:kern w:val="0"/>
          <w:sz w:val="21"/>
          <w:szCs w:val="21"/>
          <w:highlight w:val="none"/>
          <w:lang w:val="en-US" w:eastAsia="zh-CN" w:bidi="ar"/>
        </w:rPr>
        <w:t>国家高程基准。</w:t>
      </w:r>
      <w:r>
        <w:rPr>
          <w:rFonts w:eastAsia="宋体" w:cs="Times New Roman"/>
          <w:color w:val="auto"/>
          <w:kern w:val="0"/>
          <w:sz w:val="21"/>
          <w:szCs w:val="20"/>
          <w:highlight w:val="none"/>
          <w:lang w:eastAsia="zh-CN" w:bidi="ar"/>
        </w:rPr>
        <w:t>高斯-克吕格投影按3°分带执行，平面坐标单位为米，高程单位为米</w:t>
      </w:r>
      <w:r>
        <w:rPr>
          <w:rFonts w:hint="eastAsia" w:cs="Times New Roman"/>
          <w:color w:val="auto"/>
          <w:kern w:val="0"/>
          <w:sz w:val="21"/>
          <w:szCs w:val="20"/>
          <w:highlight w:val="none"/>
          <w:lang w:eastAsia="zh-CN" w:bidi="ar"/>
        </w:rPr>
        <w:t>。</w:t>
      </w:r>
    </w:p>
    <w:bookmarkEnd w:id="287"/>
    <w:p w14:paraId="059BF6DE">
      <w:pPr>
        <w:pStyle w:val="140"/>
        <w:rPr>
          <w:rFonts w:hint="eastAsia"/>
          <w:highlight w:val="none"/>
        </w:rPr>
      </w:pPr>
      <w:bookmarkStart w:id="367" w:name="_Toc5734"/>
      <w:bookmarkEnd w:id="367"/>
      <w:bookmarkStart w:id="368" w:name="_Toc19070"/>
      <w:bookmarkEnd w:id="368"/>
      <w:bookmarkStart w:id="369" w:name="_Toc7410"/>
      <w:bookmarkStart w:id="370" w:name="_Toc28284"/>
      <w:bookmarkStart w:id="371" w:name="_Toc29547"/>
      <w:bookmarkStart w:id="372" w:name="_Toc23089"/>
      <w:bookmarkStart w:id="373" w:name="_Toc9977"/>
      <w:bookmarkStart w:id="374" w:name="_Toc26771"/>
      <w:bookmarkStart w:id="375" w:name="_Toc6915"/>
      <w:bookmarkStart w:id="376" w:name="_Toc6683"/>
      <w:bookmarkStart w:id="377" w:name="_Toc19270"/>
      <w:r>
        <w:rPr>
          <w:highlight w:val="none"/>
        </w:rPr>
        <w:br w:type="textWrapping"/>
      </w:r>
      <w:bookmarkStart w:id="378" w:name="_Toc450293166"/>
      <w:r>
        <w:rPr>
          <w:rFonts w:hint="eastAsia"/>
          <w:highlight w:val="none"/>
        </w:rPr>
        <w:t>（规范性）</w:t>
      </w:r>
      <w:r>
        <w:rPr>
          <w:highlight w:val="none"/>
        </w:rPr>
        <w:br w:type="textWrapping"/>
      </w:r>
      <w:bookmarkEnd w:id="378"/>
      <w:r>
        <w:rPr>
          <w:rFonts w:hint="eastAsia"/>
          <w:highlight w:val="none"/>
          <w:lang w:eastAsia="zh-CN"/>
        </w:rPr>
        <w:t>指标计算方法及数据来源</w:t>
      </w:r>
      <w:bookmarkEnd w:id="369"/>
      <w:bookmarkEnd w:id="370"/>
      <w:bookmarkEnd w:id="371"/>
      <w:bookmarkEnd w:id="372"/>
      <w:bookmarkEnd w:id="373"/>
      <w:bookmarkEnd w:id="374"/>
      <w:bookmarkEnd w:id="375"/>
      <w:bookmarkEnd w:id="376"/>
      <w:bookmarkEnd w:id="377"/>
    </w:p>
    <w:p w14:paraId="49CAC07A">
      <w:pPr>
        <w:pStyle w:val="70"/>
        <w:spacing w:before="312" w:after="312"/>
        <w:rPr>
          <w:rFonts w:hint="default" w:hAnsi="Times New Roman" w:cs="Times New Roman"/>
          <w:color w:val="000000"/>
          <w:highlight w:val="none"/>
          <w:lang w:val="en-US" w:eastAsia="zh-CN"/>
        </w:rPr>
      </w:pPr>
      <w:bookmarkStart w:id="379" w:name="_Toc26051"/>
      <w:bookmarkStart w:id="380" w:name="_Toc9093"/>
      <w:bookmarkStart w:id="381" w:name="_Toc16135"/>
      <w:bookmarkStart w:id="382" w:name="_Toc17717"/>
      <w:bookmarkStart w:id="383" w:name="_Toc21089"/>
      <w:bookmarkStart w:id="384" w:name="_Toc27336"/>
      <w:bookmarkStart w:id="385" w:name="_Toc8637"/>
      <w:bookmarkStart w:id="386" w:name="_Toc17076"/>
      <w:bookmarkStart w:id="387" w:name="_Toc6632"/>
      <w:r>
        <w:rPr>
          <w:rFonts w:hint="eastAsia" w:hAnsi="Times New Roman" w:cs="Times New Roman"/>
          <w:color w:val="000000"/>
          <w:highlight w:val="none"/>
          <w:lang w:val="en-US" w:eastAsia="zh-CN"/>
        </w:rPr>
        <w:t>生态系统格局（景观格局）</w:t>
      </w:r>
      <w:bookmarkEnd w:id="379"/>
      <w:bookmarkEnd w:id="380"/>
      <w:bookmarkEnd w:id="381"/>
      <w:bookmarkEnd w:id="382"/>
      <w:bookmarkEnd w:id="383"/>
      <w:bookmarkEnd w:id="384"/>
      <w:bookmarkEnd w:id="385"/>
      <w:bookmarkEnd w:id="386"/>
      <w:bookmarkEnd w:id="387"/>
    </w:p>
    <w:p w14:paraId="46AEFFBB">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A.1.1生态系统构成</w:t>
      </w:r>
    </w:p>
    <w:p w14:paraId="5F12187A">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A.1.1.1 生态系统类型</w:t>
      </w:r>
    </w:p>
    <w:p w14:paraId="323E6336">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highlight w:val="none"/>
          <w:lang w:val="en-US" w:eastAsia="zh-CN"/>
        </w:rPr>
      </w:pPr>
      <w:r>
        <w:rPr>
          <w:rFonts w:hint="eastAsia" w:ascii="Times New Roman" w:cs="Times New Roman"/>
          <w:highlight w:val="none"/>
          <w:lang w:val="en-US" w:eastAsia="zh-CN"/>
        </w:rPr>
        <w:t>单元</w:t>
      </w:r>
      <w:r>
        <w:rPr>
          <w:rFonts w:hint="default" w:ascii="Times New Roman" w:hAnsi="Times New Roman" w:eastAsia="宋体" w:cs="Times New Roman"/>
          <w:highlight w:val="none"/>
          <w:lang w:val="en-US" w:eastAsia="zh-CN"/>
        </w:rPr>
        <w:t>内生态系统的类型，包括森林、草地、湿地、荒漠等类型。</w:t>
      </w:r>
      <w:r>
        <w:rPr>
          <w:rFonts w:hint="eastAsia" w:ascii="Times New Roman" w:hAnsi="Times New Roman" w:eastAsia="宋体" w:cs="Times New Roman"/>
          <w:highlight w:val="none"/>
          <w:lang w:val="en-US" w:eastAsia="zh-CN"/>
        </w:rPr>
        <w:t>通过</w:t>
      </w:r>
      <w:r>
        <w:rPr>
          <w:rFonts w:hint="default" w:ascii="Times New Roman" w:hAnsi="Times New Roman" w:eastAsia="宋体" w:cs="Times New Roman"/>
          <w:highlight w:val="none"/>
          <w:lang w:val="en-US" w:eastAsia="zh-CN"/>
        </w:rPr>
        <w:t>遥感调查，生态系统遥感解译和野外核查等</w:t>
      </w:r>
      <w:r>
        <w:rPr>
          <w:rFonts w:hint="eastAsia" w:ascii="Times New Roman" w:hAnsi="Times New Roman" w:eastAsia="宋体" w:cs="Times New Roman"/>
          <w:highlight w:val="none"/>
          <w:lang w:val="en-US" w:eastAsia="zh-CN"/>
        </w:rPr>
        <w:t>识别，</w:t>
      </w:r>
      <w:r>
        <w:rPr>
          <w:rFonts w:hint="default" w:ascii="Times New Roman" w:hAnsi="Times New Roman" w:eastAsia="宋体" w:cs="Times New Roman"/>
          <w:highlight w:val="none"/>
          <w:lang w:val="en-US" w:eastAsia="zh-CN"/>
        </w:rPr>
        <w:t>具体可</w:t>
      </w:r>
      <w:r>
        <w:rPr>
          <w:rFonts w:hint="eastAsia" w:ascii="Times New Roman" w:cs="Times New Roman"/>
          <w:highlight w:val="none"/>
          <w:lang w:val="en-US" w:eastAsia="zh-CN"/>
        </w:rPr>
        <w:t>按照</w:t>
      </w:r>
      <w:r>
        <w:rPr>
          <w:rFonts w:hint="default" w:ascii="Times New Roman" w:hAnsi="Times New Roman" w:eastAsia="宋体" w:cs="Times New Roman"/>
          <w:highlight w:val="none"/>
          <w:lang w:val="en-US" w:eastAsia="zh-CN"/>
        </w:rPr>
        <w:t>HJ1166</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r>
        <w:rPr>
          <w:rFonts w:hint="default" w:ascii="Times New Roman" w:hAnsi="Times New Roman" w:eastAsia="宋体" w:cs="Times New Roman"/>
          <w:highlight w:val="none"/>
          <w:lang w:val="en-US" w:eastAsia="zh-CN"/>
        </w:rPr>
        <w:t>。</w:t>
      </w:r>
    </w:p>
    <w:p w14:paraId="0601333A">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A.1.1.2 生态系统面积</w:t>
      </w:r>
    </w:p>
    <w:p w14:paraId="1E45A193">
      <w:pPr>
        <w:pStyle w:val="25"/>
        <w:keepNext w:val="0"/>
        <w:keepLines w:val="0"/>
        <w:pageBreakBefore w:val="0"/>
        <w:widowControl/>
        <w:kinsoku/>
        <w:wordWrap/>
        <w:overflowPunct/>
        <w:topLinePunct w:val="0"/>
        <w:bidi w:val="0"/>
        <w:adjustRightInd/>
        <w:snapToGrid/>
        <w:textAlignment w:val="auto"/>
        <w:outlineLvl w:val="9"/>
        <w:rPr>
          <w:rFonts w:hint="default"/>
          <w:highlight w:val="none"/>
          <w:lang w:val="en-US" w:eastAsia="zh-CN"/>
        </w:rPr>
      </w:pPr>
      <w:r>
        <w:rPr>
          <w:rFonts w:hint="eastAsia"/>
          <w:highlight w:val="none"/>
          <w:lang w:val="en-US" w:eastAsia="zh-CN"/>
        </w:rPr>
        <w:t>单元内各类生态系统所占二维空间的大小。通过</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遥感调查获取生态系统类型数据信息，然后利用空间统计方法得出。</w:t>
      </w:r>
    </w:p>
    <w:p w14:paraId="7ADFD01A">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A.1.1.3 生态系统类型构成比例</w:t>
      </w:r>
    </w:p>
    <w:p w14:paraId="60A4F86C">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宋体" w:hAnsi="Times New Roman" w:eastAsia="宋体" w:cs="Times New Roman"/>
          <w:highlight w:val="none"/>
          <w:lang w:val="en-US" w:eastAsia="zh-CN"/>
        </w:rPr>
        <w:t>指</w:t>
      </w:r>
      <w:r>
        <w:rPr>
          <w:rFonts w:hint="eastAsia" w:cs="Times New Roman"/>
          <w:highlight w:val="none"/>
          <w:lang w:val="en-US" w:eastAsia="zh-CN"/>
        </w:rPr>
        <w:t>单元</w:t>
      </w:r>
      <w:r>
        <w:rPr>
          <w:rFonts w:hint="eastAsia" w:ascii="宋体" w:hAnsi="Times New Roman" w:eastAsia="宋体" w:cs="Times New Roman"/>
          <w:highlight w:val="none"/>
          <w:lang w:val="en-US" w:eastAsia="zh-CN"/>
        </w:rPr>
        <w:t>内各类生态系统面积比例，代表了各类生态系统类型在单元内的组成现状。</w:t>
      </w:r>
      <w:r>
        <w:rPr>
          <w:rFonts w:hint="eastAsia"/>
          <w:highlight w:val="none"/>
          <w:lang w:val="en-US" w:eastAsia="zh-CN"/>
        </w:rPr>
        <w:t>计算方法</w:t>
      </w:r>
      <w:r>
        <w:rPr>
          <w:rFonts w:hint="eastAsia" w:ascii="宋体" w:cs="Times New Roman"/>
          <w:i w:val="0"/>
          <w:iCs w:val="0"/>
          <w:caps w:val="0"/>
          <w:color w:val="auto"/>
          <w:spacing w:val="0"/>
          <w:sz w:val="21"/>
          <w:szCs w:val="20"/>
          <w:highlight w:val="none"/>
          <w:shd w:val="clear" w:color="auto" w:fill="auto"/>
          <w:lang w:val="en-US" w:eastAsia="zh-CN" w:bidi="ar"/>
        </w:rPr>
        <w:t>按照</w:t>
      </w:r>
      <w:r>
        <w:rPr>
          <w:rFonts w:hint="eastAsia" w:ascii="宋体" w:hAnsi="Times New Roman" w:eastAsia="宋体" w:cs="Times New Roman"/>
          <w:i w:val="0"/>
          <w:iCs w:val="0"/>
          <w:caps w:val="0"/>
          <w:color w:val="auto"/>
          <w:spacing w:val="0"/>
          <w:sz w:val="21"/>
          <w:szCs w:val="20"/>
          <w:highlight w:val="none"/>
          <w:shd w:val="clear" w:color="auto" w:fill="auto"/>
          <w:lang w:val="en-US" w:eastAsia="zh-CN" w:bidi="ar"/>
        </w:rPr>
        <w:t>HJ1171</w:t>
      </w:r>
      <w:r>
        <w:rPr>
          <w:rFonts w:hint="eastAsia" w:ascii="宋体" w:cs="Times New Roman"/>
          <w:i w:val="0"/>
          <w:iCs w:val="0"/>
          <w:caps w:val="0"/>
          <w:color w:val="auto"/>
          <w:spacing w:val="0"/>
          <w:sz w:val="21"/>
          <w:szCs w:val="20"/>
          <w:highlight w:val="none"/>
          <w:shd w:val="clear" w:color="auto" w:fill="auto"/>
          <w:lang w:val="en-US" w:eastAsia="zh-CN" w:bidi="ar"/>
        </w:rPr>
        <w:t xml:space="preserve"> </w:t>
      </w:r>
      <w:r>
        <w:rPr>
          <w:rFonts w:hint="eastAsia" w:ascii="宋体" w:hAnsi="Times New Roman" w:eastAsia="宋体" w:cs="Times New Roman"/>
          <w:color w:val="auto"/>
          <w:kern w:val="0"/>
          <w:sz w:val="21"/>
          <w:szCs w:val="20"/>
          <w:highlight w:val="none"/>
          <w:lang w:val="en-US" w:eastAsia="zh-CN"/>
        </w:rPr>
        <w:t>6.1</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r>
        <w:rPr>
          <w:rFonts w:hint="eastAsia" w:ascii="宋体" w:hAnsi="Times New Roman" w:eastAsia="宋体" w:cs="Times New Roman"/>
          <w:highlight w:val="none"/>
          <w:lang w:val="en-US" w:eastAsia="zh-CN"/>
        </w:rPr>
        <w:t>可通过遥感和地面调查获取，也可参考</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文献资料以及自然资源、林草等部门数据。</w:t>
      </w:r>
    </w:p>
    <w:p w14:paraId="5DF19D47">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default" w:hAnsi="Times New Roman" w:cs="Times New Roman"/>
          <w:highlight w:val="none"/>
          <w:lang w:val="en-US" w:eastAsia="zh-CN"/>
        </w:rPr>
      </w:pPr>
      <w:r>
        <w:rPr>
          <w:rFonts w:hint="eastAsia" w:hAnsi="Times New Roman" w:cs="Times New Roman"/>
          <w:highlight w:val="none"/>
          <w:lang w:val="en-US" w:eastAsia="zh-CN"/>
        </w:rPr>
        <w:t>A.1.2生态系统空间格局</w:t>
      </w:r>
    </w:p>
    <w:p w14:paraId="2B50D179">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A.1.2.1 生境丰富度</w:t>
      </w:r>
    </w:p>
    <w:p w14:paraId="753E88C1">
      <w:pPr>
        <w:pStyle w:val="25"/>
        <w:rPr>
          <w:rFonts w:hint="eastAsia"/>
          <w:color w:val="000000"/>
          <w:highlight w:val="none"/>
          <w:lang w:val="en-US" w:eastAsia="zh-CN"/>
        </w:rPr>
      </w:pPr>
      <w:r>
        <w:rPr>
          <w:rFonts w:hint="eastAsia"/>
          <w:color w:val="000000"/>
          <w:highlight w:val="none"/>
          <w:lang w:val="en-US" w:eastAsia="zh-CN"/>
        </w:rPr>
        <w:t>生态空间中斑块类型的总数。</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通过</w:t>
      </w:r>
      <w:r>
        <w:rPr>
          <w:rFonts w:hint="eastAsia" w:ascii="宋体" w:hAnsi="Times New Roman" w:eastAsia="宋体" w:cs="Times New Roman"/>
          <w:highlight w:val="none"/>
          <w:lang w:val="en-US" w:eastAsia="zh-CN"/>
        </w:rPr>
        <w:t>遥感调查</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和实地调查获取</w:t>
      </w:r>
      <w:r>
        <w:rPr>
          <w:rFonts w:hint="eastAsia" w:ascii="宋体" w:hAnsi="Times New Roman" w:eastAsia="宋体" w:cs="Times New Roman"/>
          <w:highlight w:val="none"/>
          <w:lang w:val="en-US" w:eastAsia="zh-CN"/>
        </w:rPr>
        <w:t>。</w:t>
      </w:r>
    </w:p>
    <w:p w14:paraId="750FB76E">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A.1.2.2 斑块数量</w:t>
      </w:r>
    </w:p>
    <w:p w14:paraId="2733849B">
      <w:pPr>
        <w:pStyle w:val="25"/>
        <w:keepNext w:val="0"/>
        <w:keepLines w:val="0"/>
        <w:pageBreakBefore w:val="0"/>
        <w:widowControl/>
        <w:kinsoku/>
        <w:wordWrap/>
        <w:overflowPunct/>
        <w:topLinePunct w:val="0"/>
        <w:bidi w:val="0"/>
        <w:adjustRightInd/>
        <w:snapToGrid/>
        <w:textAlignment w:val="auto"/>
        <w:outlineLvl w:val="9"/>
        <w:rPr>
          <w:rFonts w:hint="eastAsia" w:ascii="宋体" w:hAnsi="Times New Roman" w:eastAsia="宋体" w:cs="Times New Roman"/>
          <w:highlight w:val="none"/>
          <w:lang w:val="en-US" w:eastAsia="zh-CN"/>
        </w:rPr>
      </w:pPr>
      <w:r>
        <w:rPr>
          <w:rFonts w:hint="eastAsia" w:cs="Times New Roman"/>
          <w:highlight w:val="none"/>
          <w:lang w:val="en-US" w:eastAsia="zh-CN"/>
        </w:rPr>
        <w:t>单元</w:t>
      </w:r>
      <w:r>
        <w:rPr>
          <w:rFonts w:hint="eastAsia" w:ascii="宋体" w:hAnsi="Times New Roman" w:eastAsia="宋体" w:cs="Times New Roman"/>
          <w:highlight w:val="none"/>
          <w:lang w:val="en-US" w:eastAsia="zh-CN"/>
        </w:rPr>
        <w:t>内各类生态系统斑块的数量。</w:t>
      </w:r>
      <w:r>
        <w:rPr>
          <w:rFonts w:hint="eastAsia"/>
          <w:highlight w:val="none"/>
          <w:lang w:val="en-US" w:eastAsia="zh-CN"/>
        </w:rPr>
        <w:t>计算方法</w:t>
      </w:r>
      <w:r>
        <w:rPr>
          <w:rFonts w:hint="eastAsia" w:ascii="Times New Roman" w:cs="Times New Roman"/>
          <w:i w:val="0"/>
          <w:iCs w:val="0"/>
          <w:caps w:val="0"/>
          <w:color w:val="000000"/>
          <w:spacing w:val="0"/>
          <w:sz w:val="21"/>
          <w:szCs w:val="24"/>
          <w:highlight w:val="none"/>
          <w:shd w:val="clear" w:color="auto" w:fill="auto"/>
          <w:lang w:val="en-US" w:eastAsia="zh-CN" w:bidi="ar"/>
        </w:rPr>
        <w:t>按照GB/T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43681，C.1.4</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执行。通过</w:t>
      </w:r>
      <w:r>
        <w:rPr>
          <w:rFonts w:hint="eastAsia" w:ascii="宋体" w:hAnsi="Times New Roman" w:eastAsia="宋体" w:cs="Times New Roman"/>
          <w:highlight w:val="none"/>
          <w:lang w:val="en-US" w:eastAsia="zh-CN"/>
        </w:rPr>
        <w:t>遥感调查</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和实地调查获取</w:t>
      </w:r>
      <w:r>
        <w:rPr>
          <w:rFonts w:hint="eastAsia" w:ascii="宋体" w:hAnsi="Times New Roman" w:eastAsia="宋体" w:cs="Times New Roman"/>
          <w:highlight w:val="none"/>
          <w:lang w:val="en-US" w:eastAsia="zh-CN"/>
        </w:rPr>
        <w:t>。斑块数越大，</w:t>
      </w:r>
      <w:r>
        <w:rPr>
          <w:rFonts w:hint="default" w:ascii="宋体" w:hAnsi="Times New Roman" w:eastAsia="宋体" w:cs="Times New Roman"/>
          <w:highlight w:val="none"/>
          <w:lang w:val="en-US" w:eastAsia="zh-CN"/>
        </w:rPr>
        <w:t>该生态系统类型分布的规模越大或越破碎</w:t>
      </w:r>
      <w:r>
        <w:rPr>
          <w:rFonts w:hint="eastAsia" w:ascii="宋体" w:hAnsi="Times New Roman" w:eastAsia="宋体" w:cs="Times New Roman"/>
          <w:highlight w:val="none"/>
          <w:lang w:val="en-US" w:eastAsia="zh-CN"/>
        </w:rPr>
        <w:t>，</w:t>
      </w:r>
      <w:r>
        <w:rPr>
          <w:rFonts w:hint="default" w:ascii="宋体" w:hAnsi="Times New Roman" w:eastAsia="宋体" w:cs="Times New Roman"/>
          <w:highlight w:val="none"/>
          <w:lang w:val="en-US" w:eastAsia="zh-CN"/>
        </w:rPr>
        <w:t>宜结合平均斑块面积指数综合分析</w:t>
      </w:r>
      <w:r>
        <w:rPr>
          <w:rFonts w:hint="eastAsia" w:ascii="宋体" w:hAnsi="Times New Roman" w:eastAsia="宋体" w:cs="Times New Roman"/>
          <w:highlight w:val="none"/>
          <w:lang w:val="en-US" w:eastAsia="zh-CN"/>
        </w:rPr>
        <w:t>。</w:t>
      </w:r>
    </w:p>
    <w:p w14:paraId="3B504122">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A.1.2.3 平均斑块面积</w:t>
      </w:r>
    </w:p>
    <w:p w14:paraId="35A20A64">
      <w:pPr>
        <w:keepNext w:val="0"/>
        <w:keepLines w:val="0"/>
        <w:widowControl/>
        <w:suppressLineNumbers w:val="0"/>
        <w:ind w:firstLine="420" w:firstLineChars="200"/>
        <w:jc w:val="left"/>
        <w:rPr>
          <w:rFonts w:hint="eastAsia" w:ascii="宋体" w:hAnsi="Times New Roman" w:eastAsia="宋体" w:cs="Times New Roman"/>
          <w:highlight w:val="none"/>
          <w:lang w:val="en-US" w:eastAsia="zh-CN"/>
        </w:rPr>
      </w:pPr>
      <w:r>
        <w:rPr>
          <w:rFonts w:hint="eastAsia" w:ascii="宋体" w:cs="Times New Roman"/>
          <w:highlight w:val="none"/>
          <w:lang w:val="en-US" w:eastAsia="zh-CN"/>
        </w:rPr>
        <w:t>单元</w:t>
      </w:r>
      <w:r>
        <w:rPr>
          <w:rFonts w:hint="eastAsia" w:ascii="宋体" w:hAnsi="Times New Roman" w:eastAsia="宋体" w:cs="Times New Roman"/>
          <w:highlight w:val="none"/>
          <w:lang w:val="en-US" w:eastAsia="zh-CN"/>
        </w:rPr>
        <w:t>内某类生态系统斑块面积的算术平均值。</w:t>
      </w:r>
      <w:r>
        <w:rPr>
          <w:rFonts w:hint="eastAsia" w:ascii="宋体" w:hAnsi="宋体" w:eastAsia="宋体" w:cs="宋体"/>
          <w:color w:val="000000"/>
          <w:kern w:val="0"/>
          <w:sz w:val="21"/>
          <w:szCs w:val="21"/>
          <w:highlight w:val="none"/>
          <w:lang w:val="en-US" w:eastAsia="zh-CN" w:bidi="ar"/>
        </w:rPr>
        <w:t>该指标越大，该生态系统类型越完整，需结合斑块数量指数综合分析</w:t>
      </w:r>
      <w:r>
        <w:rPr>
          <w:rFonts w:hint="eastAsia" w:ascii="宋体" w:hAnsi="Times New Roman" w:eastAsia="宋体" w:cs="Times New Roman"/>
          <w:highlight w:val="none"/>
          <w:lang w:val="en-US" w:eastAsia="zh-CN"/>
        </w:rPr>
        <w:t>。</w:t>
      </w:r>
      <w:r>
        <w:rPr>
          <w:rFonts w:hint="eastAsia"/>
          <w:highlight w:val="none"/>
          <w:lang w:val="en-US" w:eastAsia="zh-CN"/>
        </w:rPr>
        <w:t>计算方法</w:t>
      </w:r>
      <w:r>
        <w:rPr>
          <w:rFonts w:hint="eastAsia" w:cs="Times New Roman"/>
          <w:i w:val="0"/>
          <w:iCs w:val="0"/>
          <w:caps w:val="0"/>
          <w:color w:val="000000"/>
          <w:spacing w:val="0"/>
          <w:sz w:val="21"/>
          <w:szCs w:val="24"/>
          <w:highlight w:val="none"/>
          <w:shd w:val="clear" w:color="auto" w:fill="auto"/>
          <w:lang w:val="en-US" w:eastAsia="zh-CN" w:bidi="ar"/>
        </w:rPr>
        <w:t>按照GB/T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43681，C.1.5</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执行。通过</w:t>
      </w:r>
      <w:r>
        <w:rPr>
          <w:rFonts w:hint="eastAsia" w:ascii="宋体" w:hAnsi="Times New Roman" w:eastAsia="宋体" w:cs="Times New Roman"/>
          <w:highlight w:val="none"/>
          <w:lang w:val="en-US" w:eastAsia="zh-CN"/>
        </w:rPr>
        <w:t>遥感调查</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和实地调查获取</w:t>
      </w:r>
      <w:r>
        <w:rPr>
          <w:rFonts w:hint="eastAsia" w:ascii="宋体" w:hAnsi="Times New Roman" w:eastAsia="宋体" w:cs="Times New Roman"/>
          <w:highlight w:val="none"/>
          <w:lang w:val="en-US" w:eastAsia="zh-CN"/>
        </w:rPr>
        <w:t>。</w:t>
      </w:r>
    </w:p>
    <w:p w14:paraId="72D89537">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A.1.2.4 边界密度</w:t>
      </w:r>
    </w:p>
    <w:p w14:paraId="0645CA19">
      <w:pPr>
        <w:pStyle w:val="25"/>
        <w:keepNext w:val="0"/>
        <w:keepLines w:val="0"/>
        <w:pageBreakBefore w:val="0"/>
        <w:widowControl/>
        <w:kinsoku/>
        <w:wordWrap/>
        <w:overflowPunct/>
        <w:topLinePunct w:val="0"/>
        <w:bidi w:val="0"/>
        <w:adjustRightInd/>
        <w:snapToGrid/>
        <w:textAlignment w:val="auto"/>
        <w:outlineLvl w:val="9"/>
        <w:rPr>
          <w:highlight w:val="none"/>
        </w:rPr>
      </w:pPr>
      <w:r>
        <w:rPr>
          <w:rFonts w:hint="eastAsia" w:ascii="宋体" w:hAnsi="Times New Roman" w:eastAsia="宋体" w:cs="Times New Roman"/>
          <w:highlight w:val="none"/>
          <w:lang w:val="en-US" w:eastAsia="zh-CN"/>
        </w:rPr>
        <w:t>某类生态系统边界与总面积的比例，以该类边形特征描述生态系统破碎化程度。</w:t>
      </w:r>
      <w:r>
        <w:rPr>
          <w:rFonts w:hint="eastAsia" w:ascii="宋体" w:hAnsi="宋体" w:eastAsia="宋体" w:cs="宋体"/>
          <w:color w:val="000000"/>
          <w:kern w:val="0"/>
          <w:sz w:val="21"/>
          <w:szCs w:val="21"/>
          <w:highlight w:val="none"/>
          <w:lang w:val="en-US" w:eastAsia="zh-CN" w:bidi="ar"/>
        </w:rPr>
        <w:t>该指标越大，该生态系统类型距离边界较远的核心面积越小。</w:t>
      </w:r>
      <w:r>
        <w:rPr>
          <w:rFonts w:hint="eastAsia"/>
          <w:highlight w:val="none"/>
          <w:lang w:val="en-US" w:eastAsia="zh-CN"/>
        </w:rPr>
        <w:t>计算方法</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HJ1171，6.5</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执行通过</w:t>
      </w:r>
      <w:r>
        <w:rPr>
          <w:rFonts w:hint="eastAsia" w:ascii="宋体" w:hAnsi="Times New Roman" w:eastAsia="宋体" w:cs="Times New Roman"/>
          <w:highlight w:val="none"/>
          <w:lang w:val="en-US" w:eastAsia="zh-CN"/>
        </w:rPr>
        <w:t>遥感调查</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和实地调查获取</w:t>
      </w:r>
      <w:r>
        <w:rPr>
          <w:rFonts w:hint="eastAsia" w:ascii="宋体" w:hAnsi="Times New Roman" w:eastAsia="宋体" w:cs="Times New Roman"/>
          <w:highlight w:val="none"/>
          <w:lang w:val="en-US" w:eastAsia="zh-CN"/>
        </w:rPr>
        <w:t>。</w:t>
      </w:r>
    </w:p>
    <w:p w14:paraId="0ED0E078">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A.1.2.5 生境破碎度</w:t>
      </w:r>
    </w:p>
    <w:p w14:paraId="7E91AE20">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生态空间被分割的破碎程度，可反映生态廊道建设情况。计算公式为C=</w:t>
      </w:r>
      <w:r>
        <w:rPr>
          <w:rFonts w:hint="eastAsia" w:ascii="Times New Roman" w:hAnsi="Times New Roman" w:eastAsia="宋体" w:cs="Times New Roman"/>
          <w:highlight w:val="none"/>
          <w:lang w:val="en-US" w:eastAsia="zh-CN"/>
        </w:rPr>
        <w:t>n</w:t>
      </w:r>
      <w:r>
        <w:rPr>
          <w:rFonts w:hint="default" w:ascii="Times New Roman" w:hAnsi="Times New Roman" w:eastAsia="宋体" w:cs="Times New Roman"/>
          <w:highlight w:val="none"/>
          <w:lang w:val="en-US" w:eastAsia="zh-CN"/>
        </w:rPr>
        <w:t>/A，其中C为生境破碎度；</w:t>
      </w:r>
      <w:r>
        <w:rPr>
          <w:rFonts w:hint="eastAsia" w:ascii="Times New Roman" w:hAnsi="Times New Roman" w:eastAsia="宋体" w:cs="Times New Roman"/>
          <w:highlight w:val="none"/>
          <w:lang w:val="en-US" w:eastAsia="zh-CN"/>
        </w:rPr>
        <w:t>n</w:t>
      </w:r>
      <w:r>
        <w:rPr>
          <w:rFonts w:hint="default" w:ascii="Times New Roman" w:hAnsi="Times New Roman" w:eastAsia="宋体" w:cs="Times New Roman"/>
          <w:highlight w:val="none"/>
          <w:lang w:val="en-US" w:eastAsia="zh-CN"/>
        </w:rPr>
        <w:t>为生态空间中所有生境斑块总数；A为生态空间总面积。</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通过</w:t>
      </w:r>
      <w:r>
        <w:rPr>
          <w:rFonts w:hint="eastAsia" w:ascii="宋体" w:hAnsi="Times New Roman" w:eastAsia="宋体" w:cs="Times New Roman"/>
          <w:highlight w:val="none"/>
          <w:lang w:val="en-US" w:eastAsia="zh-CN"/>
        </w:rPr>
        <w:t>遥感调查</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和实地调查获取</w:t>
      </w:r>
      <w:r>
        <w:rPr>
          <w:rFonts w:hint="eastAsia" w:ascii="宋体" w:hAnsi="Times New Roman" w:eastAsia="宋体" w:cs="Times New Roman"/>
          <w:highlight w:val="none"/>
          <w:lang w:val="en-US" w:eastAsia="zh-CN"/>
        </w:rPr>
        <w:t>。</w:t>
      </w:r>
    </w:p>
    <w:p w14:paraId="58EAB4EB">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default" w:hAnsi="Times New Roman" w:cs="Times New Roman"/>
          <w:highlight w:val="none"/>
          <w:lang w:val="en-US" w:eastAsia="zh-CN"/>
        </w:rPr>
      </w:pPr>
      <w:r>
        <w:rPr>
          <w:rFonts w:hint="eastAsia" w:hAnsi="Times New Roman" w:cs="Times New Roman"/>
          <w:highlight w:val="none"/>
          <w:lang w:val="en-US" w:eastAsia="zh-CN"/>
        </w:rPr>
        <w:t>A.1.3生态连通性</w:t>
      </w:r>
    </w:p>
    <w:p w14:paraId="5462E0D6">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A.1.3.1 聚集度指数</w:t>
      </w:r>
    </w:p>
    <w:p w14:paraId="6EC03853">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cs="Times New Roman"/>
          <w:i w:val="0"/>
          <w:iCs w:val="0"/>
          <w:caps w:val="0"/>
          <w:color w:val="000000"/>
          <w:spacing w:val="0"/>
          <w:sz w:val="21"/>
          <w:szCs w:val="24"/>
          <w:highlight w:val="none"/>
          <w:shd w:val="clear" w:color="auto" w:fill="auto"/>
          <w:lang w:val="en-US" w:eastAsia="zh-CN" w:bidi="ar"/>
        </w:rPr>
        <w:t>单元</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内所有类型生态系统斑块的相邻概率。</w:t>
      </w:r>
      <w:r>
        <w:rPr>
          <w:rFonts w:hint="eastAsia"/>
          <w:highlight w:val="none"/>
          <w:lang w:val="en-US" w:eastAsia="zh-CN"/>
        </w:rPr>
        <w:t>计算方法按照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TD/T 1102，A3.2.1</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r>
        <w:rPr>
          <w:rFonts w:hint="eastAsia" w:ascii="宋体" w:hAnsi="Times New Roman" w:eastAsia="宋体" w:cs="Times New Roman"/>
          <w:highlight w:val="none"/>
          <w:lang w:val="en-US" w:eastAsia="zh-CN"/>
        </w:rPr>
        <w:t>可通过遥感和地面调查获取，也可参考</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文献资料以及自然资源、林草等部门数据。</w:t>
      </w:r>
    </w:p>
    <w:p w14:paraId="116DE836">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A.1.3.2 连接度指数</w:t>
      </w:r>
    </w:p>
    <w:p w14:paraId="5CE8C0FC">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反映</w:t>
      </w:r>
      <w:r>
        <w:rPr>
          <w:rFonts w:hint="eastAsia" w:ascii="Times New Roman" w:cs="Times New Roman"/>
          <w:i w:val="0"/>
          <w:iCs w:val="0"/>
          <w:caps w:val="0"/>
          <w:color w:val="000000"/>
          <w:spacing w:val="0"/>
          <w:sz w:val="21"/>
          <w:szCs w:val="24"/>
          <w:highlight w:val="none"/>
          <w:shd w:val="clear" w:color="auto" w:fill="auto"/>
          <w:lang w:val="en-US" w:eastAsia="zh-CN" w:bidi="ar"/>
        </w:rPr>
        <w:t>单元</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内斑块之间的连通性，连接度指数越大，连通性越高。计算方法</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TD/T 1102，A3.2.1</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执行。可通过遥感和地面调查获取，也可参考文献资料以及自然资源、林草等部门数据。</w:t>
      </w:r>
    </w:p>
    <w:p w14:paraId="752699E4">
      <w:pPr>
        <w:pStyle w:val="70"/>
        <w:spacing w:before="312" w:after="312"/>
        <w:rPr>
          <w:rFonts w:hint="default" w:hAnsi="Times New Roman" w:cs="Times New Roman"/>
          <w:color w:val="000000"/>
          <w:highlight w:val="none"/>
          <w:lang w:val="en-US" w:eastAsia="zh-CN"/>
        </w:rPr>
      </w:pPr>
      <w:bookmarkStart w:id="388" w:name="_Toc9825"/>
      <w:bookmarkStart w:id="389" w:name="_Toc18506"/>
      <w:bookmarkStart w:id="390" w:name="_Toc13624"/>
      <w:bookmarkStart w:id="391" w:name="_Toc7445"/>
      <w:bookmarkStart w:id="392" w:name="_Toc19344"/>
      <w:bookmarkStart w:id="393" w:name="_Toc3843"/>
      <w:bookmarkStart w:id="394" w:name="_Toc21258"/>
      <w:bookmarkStart w:id="395" w:name="_Toc17287"/>
      <w:r>
        <w:rPr>
          <w:rFonts w:hint="eastAsia" w:hAnsi="Times New Roman" w:cs="Times New Roman"/>
          <w:color w:val="000000"/>
          <w:highlight w:val="none"/>
          <w:lang w:val="en-US" w:eastAsia="zh-CN"/>
        </w:rPr>
        <w:t>生态系统质量</w:t>
      </w:r>
      <w:bookmarkEnd w:id="388"/>
      <w:bookmarkEnd w:id="389"/>
      <w:bookmarkEnd w:id="390"/>
      <w:bookmarkEnd w:id="391"/>
      <w:bookmarkEnd w:id="392"/>
      <w:bookmarkEnd w:id="393"/>
      <w:bookmarkEnd w:id="394"/>
      <w:bookmarkEnd w:id="395"/>
    </w:p>
    <w:p w14:paraId="46CD6B3A">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A.2.1水环境质量</w:t>
      </w:r>
    </w:p>
    <w:p w14:paraId="3AD3C66F">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A.2.1.1 水质指数</w:t>
      </w:r>
    </w:p>
    <w:p w14:paraId="5737BE7A">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断面（点位）水质指数计算</w:t>
      </w:r>
      <w:r>
        <w:rPr>
          <w:rFonts w:hint="eastAsia" w:ascii="Times New Roman" w:cs="Times New Roman"/>
          <w:i w:val="0"/>
          <w:iCs w:val="0"/>
          <w:caps w:val="0"/>
          <w:color w:val="000000"/>
          <w:spacing w:val="0"/>
          <w:sz w:val="21"/>
          <w:szCs w:val="24"/>
          <w:highlight w:val="none"/>
          <w:shd w:val="clear" w:color="auto" w:fill="auto"/>
          <w:lang w:val="en-US" w:eastAsia="zh-CN" w:bidi="ar"/>
        </w:rPr>
        <w:t>执行</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GB3838相关条款要求，计算方法和评价标准</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D</w:t>
      </w:r>
      <w:r>
        <w:rPr>
          <w:rFonts w:hint="eastAsia" w:ascii="Times New Roman" w:cs="Times New Roman"/>
          <w:i w:val="0"/>
          <w:iCs w:val="0"/>
          <w:caps w:val="0"/>
          <w:color w:val="000000"/>
          <w:spacing w:val="0"/>
          <w:sz w:val="21"/>
          <w:szCs w:val="24"/>
          <w:highlight w:val="none"/>
          <w:shd w:val="clear" w:color="auto" w:fill="auto"/>
          <w:lang w:val="en-US" w:eastAsia="zh-CN" w:bidi="ar"/>
        </w:rPr>
        <w:t>B</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46</w:t>
      </w:r>
      <w:r>
        <w:rPr>
          <w:rFonts w:hint="eastAsia" w:ascii="Times New Roman" w:cs="Times New Roman"/>
          <w:i w:val="0"/>
          <w:iCs w:val="0"/>
          <w:caps w:val="0"/>
          <w:color w:val="000000"/>
          <w:spacing w:val="0"/>
          <w:sz w:val="21"/>
          <w:szCs w:val="24"/>
          <w:highlight w:val="none"/>
          <w:shd w:val="clear" w:color="auto" w:fill="auto"/>
          <w:lang w:val="en-US" w:eastAsia="zh-CN" w:bidi="ar"/>
        </w:rPr>
        <w: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T664，B.3.1</w:t>
      </w:r>
      <w:r>
        <w:rPr>
          <w:rFonts w:hint="eastAsia" w:ascii="Times New Roman" w:cs="Times New Roman"/>
          <w:i w:val="0"/>
          <w:iCs w:val="0"/>
          <w:caps w:val="0"/>
          <w:color w:val="000000"/>
          <w:spacing w:val="0"/>
          <w:sz w:val="21"/>
          <w:szCs w:val="24"/>
          <w:highlight w:val="none"/>
          <w:shd w:val="clear" w:color="auto" w:fill="auto"/>
          <w:lang w:val="en-US" w:eastAsia="zh-CN" w:bidi="ar"/>
        </w:rPr>
        <w:t>相关要求执行</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。指标获取方式采用地面调查（样地、样品调查）。</w:t>
      </w:r>
    </w:p>
    <w:p w14:paraId="08C4C55D">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default" w:hAnsi="Times New Roman" w:cs="Times New Roman"/>
          <w:color w:val="000000"/>
          <w:highlight w:val="none"/>
          <w:lang w:val="en-US" w:eastAsia="zh-CN"/>
        </w:rPr>
      </w:pPr>
      <w:r>
        <w:rPr>
          <w:rFonts w:hint="eastAsia" w:hAnsi="Times New Roman" w:cs="Times New Roman"/>
          <w:color w:val="000000"/>
          <w:highlight w:val="none"/>
          <w:lang w:val="en-US" w:eastAsia="zh-CN"/>
        </w:rPr>
        <w:t>A.2.1.2 地表积水深度</w:t>
      </w:r>
    </w:p>
    <w:p w14:paraId="04434AD1">
      <w:pPr>
        <w:keepNext w:val="0"/>
        <w:keepLines w:val="0"/>
        <w:widowControl/>
        <w:suppressLineNumbers w:val="0"/>
        <w:ind w:firstLine="400" w:firstLineChars="200"/>
        <w:jc w:val="left"/>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宋体" w:hAnsi="宋体" w:eastAsia="宋体" w:cs="宋体"/>
          <w:color w:val="000000"/>
          <w:kern w:val="0"/>
          <w:sz w:val="20"/>
          <w:szCs w:val="20"/>
          <w:highlight w:val="none"/>
          <w:lang w:val="en-US" w:eastAsia="zh-CN" w:bidi="ar"/>
        </w:rPr>
        <w:t>积水深度是生态系统过程与功能调查的基本参数之一。该指标可选择超声波测深仪、水文测杆进行调查监测获得。</w:t>
      </w:r>
    </w:p>
    <w:p w14:paraId="73E28359">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 xml:space="preserve">A.2.1.3 地下水水位 </w:t>
      </w:r>
    </w:p>
    <w:p w14:paraId="543CDB97">
      <w:pPr>
        <w:keepNext w:val="0"/>
        <w:keepLines w:val="0"/>
        <w:widowControl/>
        <w:suppressLineNumbers w:val="0"/>
        <w:ind w:firstLine="420" w:firstLineChars="200"/>
        <w:jc w:val="left"/>
        <w:rPr>
          <w:rFonts w:hint="eastAsia" w:ascii="宋体" w:hAnsi="Times New Roman" w:eastAsia="宋体" w:cs="Times New Roman"/>
          <w:color w:val="000000"/>
          <w:kern w:val="0"/>
          <w:sz w:val="21"/>
          <w:szCs w:val="20"/>
          <w:highlight w:val="none"/>
          <w:lang w:val="en-US" w:eastAsia="zh-CN" w:bidi="ar-SA"/>
        </w:rPr>
      </w:pPr>
      <w:r>
        <w:rPr>
          <w:rFonts w:hint="eastAsia" w:ascii="宋体" w:hAnsi="Times New Roman" w:eastAsia="宋体" w:cs="Times New Roman"/>
          <w:color w:val="000000"/>
          <w:kern w:val="0"/>
          <w:sz w:val="21"/>
          <w:szCs w:val="20"/>
          <w:highlight w:val="none"/>
          <w:lang w:val="en-US" w:eastAsia="zh-CN" w:bidi="ar-SA"/>
        </w:rPr>
        <w:t>地下水的水位高程。主要以站点观测的方式获</w:t>
      </w:r>
      <w:r>
        <w:rPr>
          <w:rFonts w:hint="default" w:ascii="Times New Roman" w:hAnsi="Times New Roman" w:eastAsia="宋体" w:cs="Times New Roman"/>
          <w:color w:val="000000"/>
          <w:kern w:val="0"/>
          <w:sz w:val="21"/>
          <w:szCs w:val="20"/>
          <w:highlight w:val="none"/>
          <w:lang w:val="en-US" w:eastAsia="zh-CN" w:bidi="ar-SA"/>
        </w:rPr>
        <w:t>取。具体</w:t>
      </w:r>
      <w:r>
        <w:rPr>
          <w:rFonts w:hint="eastAsia" w:cs="Times New Roman"/>
          <w:color w:val="000000"/>
          <w:kern w:val="0"/>
          <w:sz w:val="21"/>
          <w:szCs w:val="20"/>
          <w:highlight w:val="none"/>
          <w:lang w:val="en-US" w:eastAsia="zh-CN" w:bidi="ar-SA"/>
        </w:rPr>
        <w:t>按照</w:t>
      </w:r>
      <w:r>
        <w:rPr>
          <w:rFonts w:hint="default" w:ascii="Times New Roman" w:hAnsi="Times New Roman" w:eastAsia="宋体" w:cs="Times New Roman"/>
          <w:color w:val="000000"/>
          <w:kern w:val="0"/>
          <w:sz w:val="21"/>
          <w:szCs w:val="20"/>
          <w:highlight w:val="none"/>
          <w:lang w:val="en-US" w:eastAsia="zh-CN" w:bidi="ar-SA"/>
        </w:rPr>
        <w:t>SL183中的方法</w:t>
      </w:r>
      <w:r>
        <w:rPr>
          <w:rFonts w:hint="eastAsia" w:ascii="宋体" w:hAnsi="Times New Roman" w:eastAsia="宋体" w:cs="Times New Roman"/>
          <w:color w:val="000000"/>
          <w:kern w:val="0"/>
          <w:sz w:val="21"/>
          <w:szCs w:val="20"/>
          <w:highlight w:val="none"/>
          <w:lang w:val="en-US" w:eastAsia="zh-CN" w:bidi="ar-SA"/>
        </w:rPr>
        <w:t>执行。</w:t>
      </w:r>
    </w:p>
    <w:p w14:paraId="77867E2C">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A.2.1.4河湖生态流量达标率</w:t>
      </w:r>
    </w:p>
    <w:p w14:paraId="669EA9B8">
      <w:pPr>
        <w:keepNext w:val="0"/>
        <w:keepLines w:val="0"/>
        <w:widowControl/>
        <w:suppressLineNumbers w:val="0"/>
        <w:ind w:firstLine="420" w:firstLineChars="200"/>
        <w:jc w:val="left"/>
        <w:rPr>
          <w:rFonts w:hint="eastAsia" w:ascii="Times New Roman" w:hAnsi="Times New Roman" w:eastAsia="宋体" w:cs="Times New Roman"/>
          <w:color w:val="000000"/>
          <w:kern w:val="0"/>
          <w:sz w:val="21"/>
          <w:szCs w:val="21"/>
          <w:highlight w:val="none"/>
          <w:lang w:val="en-US" w:eastAsia="zh-CN" w:bidi="ar"/>
        </w:rPr>
      </w:pPr>
      <w:r>
        <w:rPr>
          <w:rFonts w:hint="eastAsia" w:ascii="宋体" w:hAnsi="Times New Roman" w:eastAsia="宋体" w:cs="Times New Roman"/>
          <w:color w:val="000000"/>
          <w:kern w:val="0"/>
          <w:sz w:val="21"/>
          <w:szCs w:val="20"/>
          <w:highlight w:val="none"/>
          <w:lang w:val="en-US" w:eastAsia="zh-CN" w:bidi="ar-SA"/>
        </w:rPr>
        <w:t>纳入生态流量保障重要河湖名录的河湖控制断面生态基流、最低生态水位、基本生态水量、敏感生态流量等保障目标的实现比例。河湖生态流量保障目标可采用水利部印发的《重点河湖生态流量保障目标》文件中规定的目标值以及重大水利水电工程相关批复文件规定的目标值等。计算方法</w:t>
      </w:r>
      <w:r>
        <w:rPr>
          <w:rFonts w:hint="eastAsia" w:ascii="宋体" w:cs="Times New Roman"/>
          <w:color w:val="000000"/>
          <w:kern w:val="0"/>
          <w:sz w:val="21"/>
          <w:szCs w:val="20"/>
          <w:highlight w:val="none"/>
          <w:lang w:val="en-US" w:eastAsia="zh-CN" w:bidi="ar-SA"/>
        </w:rPr>
        <w:t>按照</w:t>
      </w:r>
      <w:r>
        <w:rPr>
          <w:rFonts w:hint="default" w:ascii="Times New Roman" w:hAnsi="Times New Roman" w:eastAsia="宋体" w:cs="Times New Roman"/>
          <w:color w:val="000000"/>
          <w:kern w:val="0"/>
          <w:sz w:val="21"/>
          <w:szCs w:val="21"/>
          <w:highlight w:val="none"/>
          <w:lang w:val="en-US" w:eastAsia="zh-CN" w:bidi="ar"/>
        </w:rPr>
        <w:t>SL/T 820</w:t>
      </w:r>
      <w:r>
        <w:rPr>
          <w:rFonts w:hint="eastAsia" w:cs="Times New Roman"/>
          <w:color w:val="000000"/>
          <w:kern w:val="0"/>
          <w:sz w:val="21"/>
          <w:szCs w:val="21"/>
          <w:highlight w:val="none"/>
          <w:lang w:val="en-US" w:eastAsia="zh-CN" w:bidi="ar"/>
        </w:rPr>
        <w:t>相关要求执行</w:t>
      </w:r>
      <w:r>
        <w:rPr>
          <w:rFonts w:hint="eastAsia" w:ascii="Times New Roman" w:hAnsi="Times New Roman" w:eastAsia="宋体" w:cs="Times New Roman"/>
          <w:color w:val="000000"/>
          <w:kern w:val="0"/>
          <w:sz w:val="21"/>
          <w:szCs w:val="21"/>
          <w:highlight w:val="none"/>
          <w:lang w:val="en-US" w:eastAsia="zh-CN" w:bidi="ar"/>
        </w:rPr>
        <w:t>。</w:t>
      </w:r>
    </w:p>
    <w:p w14:paraId="3F005243">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A.2.1.5自然岸线保有率</w:t>
      </w:r>
    </w:p>
    <w:p w14:paraId="616FADFB">
      <w:pPr>
        <w:keepNext w:val="0"/>
        <w:keepLines w:val="0"/>
        <w:widowControl/>
        <w:suppressLineNumbers w:val="0"/>
        <w:ind w:firstLine="420" w:firstLineChars="200"/>
        <w:jc w:val="left"/>
        <w:rPr>
          <w:rFonts w:hint="default" w:ascii="宋体" w:hAnsi="Times New Roman" w:eastAsia="宋体" w:cs="Times New Roman"/>
          <w:color w:val="000000"/>
          <w:kern w:val="0"/>
          <w:sz w:val="21"/>
          <w:szCs w:val="20"/>
          <w:highlight w:val="none"/>
          <w:lang w:val="en-US" w:eastAsia="zh-CN" w:bidi="ar-SA"/>
        </w:rPr>
      </w:pPr>
      <w:r>
        <w:rPr>
          <w:rFonts w:hint="eastAsia" w:ascii="宋体" w:hAnsi="Times New Roman" w:eastAsia="宋体" w:cs="Times New Roman"/>
          <w:color w:val="000000"/>
          <w:kern w:val="0"/>
          <w:sz w:val="21"/>
          <w:szCs w:val="20"/>
          <w:highlight w:val="none"/>
          <w:lang w:val="en-US" w:eastAsia="zh-CN" w:bidi="ar-SA"/>
        </w:rPr>
        <w:t>重要河湖自然岸线长度与总长度的比例。通过遥感调查获取并计算。</w:t>
      </w:r>
    </w:p>
    <w:p w14:paraId="4C64719A">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A.2.1.6河流纵向连通指数</w:t>
      </w:r>
    </w:p>
    <w:p w14:paraId="0454874D">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 xml:space="preserve">采用河流纵向连通阻隔系数法，对不同类型的拦河建筑物赋予相应的阻隔系数来表示其对河流的 </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阻隔影响。系数越大表明河流纵向连通性受到的影响越大，系数越小表明河流纵向连通性受到的影响越 小。</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计算方法和评价标准</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D46-T664，B.2.3</w:t>
      </w:r>
      <w:r>
        <w:rPr>
          <w:rFonts w:hint="eastAsia" w:ascii="Times New Roman" w:cs="Times New Roman"/>
          <w:i w:val="0"/>
          <w:iCs w:val="0"/>
          <w:caps w:val="0"/>
          <w:color w:val="000000"/>
          <w:spacing w:val="0"/>
          <w:sz w:val="21"/>
          <w:szCs w:val="24"/>
          <w:highlight w:val="none"/>
          <w:shd w:val="clear" w:color="auto" w:fill="auto"/>
          <w:lang w:val="en-US" w:eastAsia="zh-CN" w:bidi="ar"/>
        </w:rPr>
        <w:t>要求执行</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p>
    <w:p w14:paraId="10BCD352">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A.2.2大气环境质量</w:t>
      </w:r>
    </w:p>
    <w:p w14:paraId="7121ECB1">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A.2.2.1 环境空气质量指数（AQI）</w:t>
      </w:r>
    </w:p>
    <w:p w14:paraId="27EE67C6">
      <w:pPr>
        <w:keepNext w:val="0"/>
        <w:keepLines w:val="0"/>
        <w:widowControl/>
        <w:suppressLineNumbers w:val="0"/>
        <w:ind w:firstLine="420" w:firstLineChars="200"/>
        <w:jc w:val="left"/>
        <w:rPr>
          <w:highlight w:val="none"/>
        </w:rPr>
      </w:pPr>
      <w:r>
        <w:rPr>
          <w:rFonts w:hint="eastAsia" w:ascii="Times New Roman" w:hAnsi="Times New Roman" w:eastAsia="宋体" w:cs="Times New Roman"/>
          <w:color w:val="000000"/>
          <w:kern w:val="0"/>
          <w:sz w:val="21"/>
          <w:szCs w:val="20"/>
          <w:highlight w:val="none"/>
          <w:lang w:val="en-US" w:eastAsia="zh-CN" w:bidi="ar-SA"/>
        </w:rPr>
        <w:t>定量描述空气质量状况的无量纲指数。计算方法</w:t>
      </w:r>
      <w:r>
        <w:rPr>
          <w:rFonts w:hint="eastAsia" w:cs="Times New Roman"/>
          <w:color w:val="000000"/>
          <w:kern w:val="0"/>
          <w:sz w:val="21"/>
          <w:szCs w:val="20"/>
          <w:highlight w:val="none"/>
          <w:lang w:val="en-US" w:eastAsia="zh-CN" w:bidi="ar-SA"/>
        </w:rPr>
        <w:t>按照</w:t>
      </w:r>
      <w:r>
        <w:rPr>
          <w:rFonts w:hint="default" w:ascii="Times New Roman" w:hAnsi="Times New Roman" w:eastAsia="宋体" w:cs="Times New Roman"/>
          <w:color w:val="000000"/>
          <w:kern w:val="0"/>
          <w:sz w:val="21"/>
          <w:szCs w:val="21"/>
          <w:highlight w:val="none"/>
          <w:lang w:val="en-US" w:eastAsia="zh-CN" w:bidi="ar"/>
        </w:rPr>
        <w:t>HJ633</w:t>
      </w:r>
      <w:r>
        <w:rPr>
          <w:rFonts w:hint="eastAsia" w:ascii="Times New Roman" w:hAnsi="Times New Roman" w:eastAsia="宋体" w:cs="Times New Roman"/>
          <w:color w:val="000000"/>
          <w:kern w:val="0"/>
          <w:sz w:val="21"/>
          <w:szCs w:val="21"/>
          <w:highlight w:val="none"/>
          <w:lang w:val="en-US" w:eastAsia="zh-CN" w:bidi="ar"/>
        </w:rPr>
        <w:t>，4.4</w:t>
      </w:r>
      <w:r>
        <w:rPr>
          <w:rFonts w:hint="eastAsia" w:cs="Times New Roman"/>
          <w:color w:val="000000"/>
          <w:kern w:val="0"/>
          <w:sz w:val="21"/>
          <w:szCs w:val="21"/>
          <w:highlight w:val="none"/>
          <w:lang w:val="en-US" w:eastAsia="zh-CN" w:bidi="ar"/>
        </w:rPr>
        <w:t>要求执行</w:t>
      </w:r>
      <w:r>
        <w:rPr>
          <w:rFonts w:hint="eastAsia" w:ascii="Times New Roman" w:hAnsi="Times New Roman" w:eastAsia="宋体" w:cs="Times New Roman"/>
          <w:color w:val="000000"/>
          <w:kern w:val="0"/>
          <w:sz w:val="21"/>
          <w:szCs w:val="21"/>
          <w:highlight w:val="none"/>
          <w:lang w:val="en-US" w:eastAsia="zh-CN" w:bidi="ar"/>
        </w:rPr>
        <w:t>。资料来源于生态环境部门资料。</w:t>
      </w:r>
    </w:p>
    <w:p w14:paraId="68BC574E">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A.2.2.2 负氧离子</w:t>
      </w:r>
    </w:p>
    <w:p w14:paraId="05A622D6">
      <w:pPr>
        <w:keepNext w:val="0"/>
        <w:keepLines w:val="0"/>
        <w:widowControl/>
        <w:suppressLineNumbers w:val="0"/>
        <w:ind w:firstLine="420" w:firstLineChars="200"/>
        <w:jc w:val="left"/>
        <w:rPr>
          <w:rFonts w:hint="eastAsia"/>
          <w:color w:val="000000"/>
          <w:highlight w:val="none"/>
          <w:lang w:val="en-US" w:eastAsia="zh-CN"/>
        </w:rPr>
      </w:pPr>
      <w:r>
        <w:rPr>
          <w:rFonts w:hint="default" w:ascii="Times New Roman" w:hAnsi="Times New Roman" w:eastAsia="宋体" w:cs="Times New Roman"/>
          <w:color w:val="000000"/>
          <w:kern w:val="0"/>
          <w:sz w:val="21"/>
          <w:szCs w:val="20"/>
          <w:highlight w:val="none"/>
          <w:lang w:val="en-US" w:eastAsia="zh-CN" w:bidi="ar-SA"/>
        </w:rPr>
        <w:t>空气中带负电荷的单个气体分子和轻离子团的总</w:t>
      </w:r>
      <w:r>
        <w:rPr>
          <w:rFonts w:hint="eastAsia" w:cs="Times New Roman"/>
          <w:color w:val="000000"/>
          <w:kern w:val="0"/>
          <w:sz w:val="21"/>
          <w:szCs w:val="20"/>
          <w:highlight w:val="none"/>
          <w:lang w:val="en-US" w:eastAsia="zh-CN" w:bidi="ar-SA"/>
        </w:rPr>
        <w:t>浓度</w:t>
      </w:r>
      <w:r>
        <w:rPr>
          <w:rFonts w:hint="default" w:ascii="Times New Roman" w:hAnsi="Times New Roman" w:eastAsia="宋体" w:cs="Times New Roman"/>
          <w:color w:val="000000"/>
          <w:kern w:val="0"/>
          <w:sz w:val="21"/>
          <w:szCs w:val="20"/>
          <w:highlight w:val="none"/>
          <w:lang w:val="en-US" w:eastAsia="zh-CN" w:bidi="ar-SA"/>
        </w:rPr>
        <w:t>。主要以站点观测的方式获取，具体</w:t>
      </w:r>
      <w:r>
        <w:rPr>
          <w:rFonts w:hint="eastAsia" w:cs="Times New Roman"/>
          <w:color w:val="000000"/>
          <w:kern w:val="0"/>
          <w:sz w:val="21"/>
          <w:szCs w:val="20"/>
          <w:highlight w:val="none"/>
          <w:lang w:val="en-US" w:eastAsia="zh-CN" w:bidi="ar-SA"/>
        </w:rPr>
        <w:t>按照</w:t>
      </w:r>
      <w:r>
        <w:rPr>
          <w:rFonts w:hint="default" w:ascii="Times New Roman" w:hAnsi="Times New Roman" w:eastAsia="宋体" w:cs="Times New Roman"/>
          <w:color w:val="000000"/>
          <w:kern w:val="0"/>
          <w:sz w:val="21"/>
          <w:szCs w:val="20"/>
          <w:highlight w:val="none"/>
          <w:lang w:val="en-US" w:eastAsia="zh-CN" w:bidi="ar-SA"/>
        </w:rPr>
        <w:t>LY/T2586中的方法执行。</w:t>
      </w:r>
      <w:r>
        <w:rPr>
          <w:rFonts w:hint="eastAsia" w:ascii="Times New Roman" w:hAnsi="Times New Roman" w:eastAsia="宋体" w:cs="Times New Roman"/>
          <w:color w:val="000000"/>
          <w:kern w:val="0"/>
          <w:sz w:val="21"/>
          <w:szCs w:val="21"/>
          <w:highlight w:val="none"/>
          <w:lang w:val="en-US" w:eastAsia="zh-CN" w:bidi="ar"/>
        </w:rPr>
        <w:t>资料来源于生态环境部门资料。</w:t>
      </w:r>
    </w:p>
    <w:p w14:paraId="681EA955">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A.2.3土壤环境质量</w:t>
      </w:r>
    </w:p>
    <w:p w14:paraId="51736D6A">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w:t>
      </w:r>
      <w:r>
        <w:rPr>
          <w:rFonts w:hint="default" w:hAnsi="Times New Roman" w:cs="Times New Roman"/>
          <w:color w:val="000000"/>
          <w:highlight w:val="none"/>
          <w:lang w:val="en-US" w:eastAsia="zh-CN"/>
        </w:rPr>
        <w:t>.</w:t>
      </w:r>
      <w:r>
        <w:rPr>
          <w:rFonts w:hint="eastAsia" w:hAnsi="Times New Roman" w:cs="Times New Roman"/>
          <w:color w:val="000000"/>
          <w:highlight w:val="none"/>
          <w:lang w:val="en-US" w:eastAsia="zh-CN"/>
        </w:rPr>
        <w:t>3.1</w:t>
      </w:r>
      <w:r>
        <w:rPr>
          <w:rFonts w:hint="default" w:hAnsi="Times New Roman" w:cs="Times New Roman"/>
          <w:color w:val="000000"/>
          <w:highlight w:val="none"/>
          <w:lang w:val="en-US" w:eastAsia="zh-CN"/>
        </w:rPr>
        <w:t xml:space="preserve"> </w:t>
      </w:r>
      <w:r>
        <w:rPr>
          <w:rFonts w:hint="eastAsia" w:hAnsi="Times New Roman" w:cs="Times New Roman"/>
          <w:color w:val="000000"/>
          <w:highlight w:val="none"/>
          <w:lang w:val="en-US" w:eastAsia="zh-CN"/>
        </w:rPr>
        <w:t>土壤类型</w:t>
      </w:r>
    </w:p>
    <w:p w14:paraId="5BB28B3A">
      <w:pPr>
        <w:keepNext w:val="0"/>
        <w:keepLines w:val="0"/>
        <w:widowControl/>
        <w:suppressLineNumbers w:val="0"/>
        <w:ind w:firstLine="420" w:firstLineChars="200"/>
        <w:jc w:val="left"/>
        <w:rPr>
          <w:rFonts w:hint="default"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根据土壤性状、质与量的差异,划分土壤各类型</w:t>
      </w:r>
      <w:r>
        <w:rPr>
          <w:rFonts w:hint="eastAsia" w:ascii="Times New Roman" w:hAnsi="Times New Roman" w:eastAsia="宋体" w:cs="Times New Roman"/>
          <w:kern w:val="0"/>
          <w:sz w:val="21"/>
          <w:szCs w:val="20"/>
          <w:highlight w:val="none"/>
          <w:lang w:val="en-US" w:eastAsia="zh-CN" w:bidi="ar-SA"/>
        </w:rPr>
        <w:t>。</w:t>
      </w:r>
      <w:r>
        <w:rPr>
          <w:rFonts w:hint="default" w:ascii="Times New Roman" w:hAnsi="Times New Roman" w:eastAsia="宋体" w:cs="Times New Roman"/>
          <w:kern w:val="0"/>
          <w:sz w:val="21"/>
          <w:szCs w:val="20"/>
          <w:highlight w:val="none"/>
          <w:lang w:val="en-US" w:eastAsia="zh-CN" w:bidi="ar-SA"/>
        </w:rPr>
        <w:t>参照中国土壤分类表和《中国土系志》综合确定。主要观测到土纲层级</w:t>
      </w:r>
      <w:r>
        <w:rPr>
          <w:rFonts w:hint="eastAsia" w:ascii="Times New Roman" w:hAnsi="Times New Roman" w:eastAsia="宋体" w:cs="Times New Roman"/>
          <w:kern w:val="0"/>
          <w:sz w:val="21"/>
          <w:szCs w:val="20"/>
          <w:highlight w:val="none"/>
          <w:lang w:val="en-US" w:eastAsia="zh-CN" w:bidi="ar-SA"/>
        </w:rPr>
        <w:t>，</w:t>
      </w:r>
      <w:r>
        <w:rPr>
          <w:rFonts w:hint="default" w:ascii="Times New Roman" w:hAnsi="Times New Roman" w:eastAsia="宋体" w:cs="Times New Roman"/>
          <w:kern w:val="0"/>
          <w:sz w:val="21"/>
          <w:szCs w:val="20"/>
          <w:highlight w:val="none"/>
          <w:lang w:val="en-US" w:eastAsia="zh-CN" w:bidi="ar-SA"/>
        </w:rPr>
        <w:t>宜根据实际情况在此基础上进行细化和备注。</w:t>
      </w:r>
    </w:p>
    <w:p w14:paraId="3010C2FD">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w:t>
      </w:r>
      <w:r>
        <w:rPr>
          <w:rFonts w:hint="default" w:hAnsi="Times New Roman" w:cs="Times New Roman"/>
          <w:color w:val="000000"/>
          <w:highlight w:val="none"/>
          <w:lang w:val="en-US" w:eastAsia="zh-CN"/>
        </w:rPr>
        <w:t>.</w:t>
      </w:r>
      <w:r>
        <w:rPr>
          <w:rFonts w:hint="eastAsia" w:hAnsi="Times New Roman" w:cs="Times New Roman"/>
          <w:color w:val="000000"/>
          <w:highlight w:val="none"/>
          <w:lang w:val="en-US" w:eastAsia="zh-CN"/>
        </w:rPr>
        <w:t xml:space="preserve">3.2土壤厚度 </w:t>
      </w:r>
    </w:p>
    <w:p w14:paraId="66841F04">
      <w:pPr>
        <w:keepNext w:val="0"/>
        <w:keepLines w:val="0"/>
        <w:widowControl/>
        <w:suppressLineNumbers w:val="0"/>
        <w:ind w:firstLine="420" w:firstLineChars="200"/>
        <w:jc w:val="left"/>
        <w:rPr>
          <w:rFonts w:hint="default" w:ascii="Times New Roman" w:hAnsi="Times New Roman" w:eastAsia="宋体" w:cs="Times New Roman"/>
          <w:kern w:val="0"/>
          <w:sz w:val="21"/>
          <w:szCs w:val="20"/>
          <w:highlight w:val="none"/>
          <w:lang w:val="en-US" w:eastAsia="zh-CN" w:bidi="ar-SA"/>
        </w:rPr>
      </w:pPr>
      <w:r>
        <w:rPr>
          <w:rFonts w:hint="default" w:ascii="Times New Roman" w:hAnsi="Times New Roman" w:eastAsia="宋体" w:cs="Times New Roman"/>
          <w:kern w:val="0"/>
          <w:sz w:val="21"/>
          <w:szCs w:val="20"/>
          <w:highlight w:val="none"/>
          <w:lang w:val="en-US" w:eastAsia="zh-CN" w:bidi="ar-SA"/>
        </w:rPr>
        <w:t>土壤母质层以上到土壤表面的垂直深度</w:t>
      </w:r>
      <w:r>
        <w:rPr>
          <w:rFonts w:hint="eastAsia" w:ascii="Times New Roman" w:hAnsi="Times New Roman" w:eastAsia="宋体" w:cs="Times New Roman"/>
          <w:kern w:val="0"/>
          <w:sz w:val="21"/>
          <w:szCs w:val="20"/>
          <w:highlight w:val="none"/>
          <w:lang w:val="en-US" w:eastAsia="zh-CN" w:bidi="ar-SA"/>
        </w:rPr>
        <w:t>。</w:t>
      </w:r>
      <w:r>
        <w:rPr>
          <w:rFonts w:hint="default" w:ascii="Times New Roman" w:hAnsi="Times New Roman" w:eastAsia="宋体" w:cs="Times New Roman"/>
          <w:kern w:val="0"/>
          <w:sz w:val="21"/>
          <w:szCs w:val="20"/>
          <w:highlight w:val="none"/>
          <w:lang w:val="en-US" w:eastAsia="zh-CN" w:bidi="ar-SA"/>
        </w:rPr>
        <w:t>采用插钎法测定</w:t>
      </w:r>
      <w:r>
        <w:rPr>
          <w:rFonts w:hint="eastAsia" w:ascii="Times New Roman" w:hAnsi="Times New Roman" w:eastAsia="宋体" w:cs="Times New Roman"/>
          <w:kern w:val="0"/>
          <w:sz w:val="21"/>
          <w:szCs w:val="20"/>
          <w:highlight w:val="none"/>
          <w:lang w:val="en-US" w:eastAsia="zh-CN" w:bidi="ar-SA"/>
        </w:rPr>
        <w:t>，</w:t>
      </w:r>
      <w:r>
        <w:rPr>
          <w:rFonts w:hint="default" w:ascii="Times New Roman" w:hAnsi="Times New Roman" w:eastAsia="宋体" w:cs="Times New Roman"/>
          <w:kern w:val="0"/>
          <w:sz w:val="21"/>
          <w:szCs w:val="20"/>
          <w:highlight w:val="none"/>
          <w:lang w:val="en-US" w:eastAsia="zh-CN" w:bidi="ar-SA"/>
        </w:rPr>
        <w:t>将钢钎垂直于土壤插入土层中</w:t>
      </w:r>
      <w:r>
        <w:rPr>
          <w:rFonts w:hint="eastAsia" w:ascii="Times New Roman" w:hAnsi="Times New Roman" w:eastAsia="宋体" w:cs="Times New Roman"/>
          <w:kern w:val="0"/>
          <w:sz w:val="21"/>
          <w:szCs w:val="20"/>
          <w:highlight w:val="none"/>
          <w:lang w:val="en-US" w:eastAsia="zh-CN" w:bidi="ar-SA"/>
        </w:rPr>
        <w:t>，</w:t>
      </w:r>
      <w:r>
        <w:rPr>
          <w:rFonts w:hint="default" w:ascii="Times New Roman" w:hAnsi="Times New Roman" w:eastAsia="宋体" w:cs="Times New Roman"/>
          <w:kern w:val="0"/>
          <w:sz w:val="21"/>
          <w:szCs w:val="20"/>
          <w:highlight w:val="none"/>
          <w:lang w:val="en-US" w:eastAsia="zh-CN" w:bidi="ar-SA"/>
        </w:rPr>
        <w:t>直到插不动为止</w:t>
      </w:r>
      <w:r>
        <w:rPr>
          <w:rFonts w:hint="eastAsia" w:ascii="Times New Roman" w:hAnsi="Times New Roman" w:eastAsia="宋体" w:cs="Times New Roman"/>
          <w:kern w:val="0"/>
          <w:sz w:val="21"/>
          <w:szCs w:val="20"/>
          <w:highlight w:val="none"/>
          <w:lang w:val="en-US" w:eastAsia="zh-CN" w:bidi="ar-SA"/>
        </w:rPr>
        <w:t>，</w:t>
      </w:r>
      <w:r>
        <w:rPr>
          <w:rFonts w:hint="default" w:ascii="Times New Roman" w:hAnsi="Times New Roman" w:eastAsia="宋体" w:cs="Times New Roman"/>
          <w:kern w:val="0"/>
          <w:sz w:val="21"/>
          <w:szCs w:val="20"/>
          <w:highlight w:val="none"/>
          <w:lang w:val="en-US" w:eastAsia="zh-CN" w:bidi="ar-SA"/>
        </w:rPr>
        <w:t>然后测量钢钎露出部分的长度</w:t>
      </w:r>
      <w:r>
        <w:rPr>
          <w:rFonts w:hint="eastAsia" w:ascii="Times New Roman" w:hAnsi="Times New Roman" w:eastAsia="宋体" w:cs="Times New Roman"/>
          <w:kern w:val="0"/>
          <w:sz w:val="21"/>
          <w:szCs w:val="20"/>
          <w:highlight w:val="none"/>
          <w:lang w:val="en-US" w:eastAsia="zh-CN" w:bidi="ar-SA"/>
        </w:rPr>
        <w:t>，</w:t>
      </w:r>
      <w:r>
        <w:rPr>
          <w:rFonts w:hint="default" w:ascii="Times New Roman" w:hAnsi="Times New Roman" w:eastAsia="宋体" w:cs="Times New Roman"/>
          <w:kern w:val="0"/>
          <w:sz w:val="21"/>
          <w:szCs w:val="20"/>
          <w:highlight w:val="none"/>
          <w:lang w:val="en-US" w:eastAsia="zh-CN" w:bidi="ar-SA"/>
        </w:rPr>
        <w:t>总长度减去露出部分的长度即为土壤厚度。</w:t>
      </w:r>
    </w:p>
    <w:p w14:paraId="3D77896D">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w:t>
      </w:r>
      <w:r>
        <w:rPr>
          <w:rFonts w:hint="default" w:hAnsi="Times New Roman" w:cs="Times New Roman"/>
          <w:color w:val="000000"/>
          <w:highlight w:val="none"/>
          <w:lang w:val="en-US" w:eastAsia="zh-CN"/>
        </w:rPr>
        <w:t>.</w:t>
      </w:r>
      <w:r>
        <w:rPr>
          <w:rFonts w:hint="eastAsia" w:hAnsi="Times New Roman" w:cs="Times New Roman"/>
          <w:color w:val="000000"/>
          <w:highlight w:val="none"/>
          <w:lang w:val="en-US" w:eastAsia="zh-CN"/>
        </w:rPr>
        <w:t>3.3土壤质地</w:t>
      </w:r>
    </w:p>
    <w:p w14:paraId="7178D70F">
      <w:pPr>
        <w:keepNext w:val="0"/>
        <w:keepLines w:val="0"/>
        <w:widowControl/>
        <w:suppressLineNumbers w:val="0"/>
        <w:ind w:firstLine="420" w:firstLineChars="200"/>
        <w:jc w:val="left"/>
        <w:rPr>
          <w:rFonts w:hint="default"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土壤中不同大小直径的矿物颗粒的组合状况。</w:t>
      </w:r>
      <w:r>
        <w:rPr>
          <w:rFonts w:hint="default" w:ascii="Times New Roman" w:hAnsi="Times New Roman" w:eastAsia="宋体" w:cs="Times New Roman"/>
          <w:kern w:val="0"/>
          <w:sz w:val="21"/>
          <w:szCs w:val="20"/>
          <w:highlight w:val="none"/>
          <w:lang w:val="en-US" w:eastAsia="zh-CN" w:bidi="ar-SA"/>
        </w:rPr>
        <w:t>采用野外调查的方式测定。具体采用吸管法</w:t>
      </w:r>
      <w:r>
        <w:rPr>
          <w:rFonts w:hint="eastAsia" w:ascii="Times New Roman" w:hAnsi="Times New Roman" w:eastAsia="宋体" w:cs="Times New Roman"/>
          <w:kern w:val="0"/>
          <w:sz w:val="21"/>
          <w:szCs w:val="20"/>
          <w:highlight w:val="none"/>
          <w:lang w:val="en-US" w:eastAsia="zh-CN" w:bidi="ar-SA"/>
        </w:rPr>
        <w:t>，</w:t>
      </w:r>
      <w:r>
        <w:rPr>
          <w:rFonts w:hint="default" w:ascii="Times New Roman" w:hAnsi="Times New Roman" w:eastAsia="宋体" w:cs="Times New Roman"/>
          <w:kern w:val="0"/>
          <w:sz w:val="21"/>
          <w:szCs w:val="20"/>
          <w:highlight w:val="none"/>
          <w:lang w:val="en-US" w:eastAsia="zh-CN" w:bidi="ar-SA"/>
        </w:rPr>
        <w:t>参考 LY/T1225</w:t>
      </w:r>
      <w:r>
        <w:rPr>
          <w:rFonts w:hint="eastAsia" w:cs="Times New Roman"/>
          <w:kern w:val="0"/>
          <w:sz w:val="21"/>
          <w:szCs w:val="20"/>
          <w:highlight w:val="none"/>
          <w:lang w:val="en-US" w:eastAsia="zh-CN" w:bidi="ar-SA"/>
        </w:rPr>
        <w:t>执行</w:t>
      </w:r>
      <w:r>
        <w:rPr>
          <w:rFonts w:hint="eastAsia" w:ascii="Times New Roman" w:hAnsi="Times New Roman" w:eastAsia="宋体" w:cs="Times New Roman"/>
          <w:kern w:val="0"/>
          <w:sz w:val="21"/>
          <w:szCs w:val="20"/>
          <w:highlight w:val="none"/>
          <w:lang w:val="en-US" w:eastAsia="zh-CN" w:bidi="ar-SA"/>
        </w:rPr>
        <w:t>，</w:t>
      </w:r>
      <w:r>
        <w:rPr>
          <w:rFonts w:hint="default" w:ascii="Times New Roman" w:hAnsi="Times New Roman" w:eastAsia="宋体" w:cs="Times New Roman"/>
          <w:kern w:val="0"/>
          <w:sz w:val="21"/>
          <w:szCs w:val="20"/>
          <w:highlight w:val="none"/>
          <w:lang w:val="en-US" w:eastAsia="zh-CN" w:bidi="ar-SA"/>
        </w:rPr>
        <w:t>主要测定土壤砂粒、粉粒和黏粒含量。</w:t>
      </w:r>
    </w:p>
    <w:p w14:paraId="5B46891E">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w:t>
      </w:r>
      <w:r>
        <w:rPr>
          <w:rFonts w:hint="default" w:hAnsi="Times New Roman" w:cs="Times New Roman"/>
          <w:color w:val="000000"/>
          <w:highlight w:val="none"/>
          <w:lang w:val="en-US" w:eastAsia="zh-CN"/>
        </w:rPr>
        <w:t>.</w:t>
      </w:r>
      <w:r>
        <w:rPr>
          <w:rFonts w:hint="eastAsia" w:hAnsi="Times New Roman" w:cs="Times New Roman"/>
          <w:color w:val="000000"/>
          <w:highlight w:val="none"/>
          <w:lang w:val="en-US" w:eastAsia="zh-CN"/>
        </w:rPr>
        <w:t>3.4土壤有机质含量</w:t>
      </w:r>
    </w:p>
    <w:p w14:paraId="7292F54D">
      <w:pPr>
        <w:keepNext w:val="0"/>
        <w:keepLines w:val="0"/>
        <w:widowControl/>
        <w:suppressLineNumbers w:val="0"/>
        <w:ind w:firstLine="420" w:firstLineChars="200"/>
        <w:jc w:val="left"/>
        <w:rPr>
          <w:rFonts w:hint="eastAsia"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单位体积土壤中含有的各种动植物残体与微生物及其分解合成的有机物质的数量。采用重铬酸钾氧化法测量，具体采样方法和测定步骤具体依据</w:t>
      </w:r>
      <w:r>
        <w:rPr>
          <w:rFonts w:hint="default" w:ascii="Times New Roman" w:hAnsi="Times New Roman" w:eastAsia="宋体" w:cs="Times New Roman"/>
          <w:kern w:val="0"/>
          <w:sz w:val="21"/>
          <w:szCs w:val="20"/>
          <w:highlight w:val="none"/>
          <w:lang w:val="en-US" w:eastAsia="zh-CN" w:bidi="ar-SA"/>
        </w:rPr>
        <w:t>HJ615</w:t>
      </w:r>
      <w:r>
        <w:rPr>
          <w:rFonts w:hint="eastAsia" w:ascii="Times New Roman" w:hAnsi="Times New Roman" w:eastAsia="宋体" w:cs="Times New Roman"/>
          <w:kern w:val="0"/>
          <w:sz w:val="21"/>
          <w:szCs w:val="20"/>
          <w:highlight w:val="none"/>
          <w:lang w:val="en-US" w:eastAsia="zh-CN" w:bidi="ar-SA"/>
        </w:rPr>
        <w:t>的相关要求执行。</w:t>
      </w:r>
    </w:p>
    <w:p w14:paraId="73BB86E6">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A.2.3.5 土壤综合污染指数</w:t>
      </w:r>
    </w:p>
    <w:p w14:paraId="06D5FF40">
      <w:pPr>
        <w:keepNext w:val="0"/>
        <w:keepLines w:val="0"/>
        <w:widowControl/>
        <w:suppressLineNumbers w:val="0"/>
        <w:ind w:firstLine="420" w:firstLineChars="200"/>
        <w:jc w:val="left"/>
        <w:rPr>
          <w:rFonts w:hint="eastAsia"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综合污染指数（CPI）包含了土壤元素背景值、土壤元素标准尺度因素和价态效应综合影响。调查方法、计算方式和评价方法</w:t>
      </w:r>
      <w:r>
        <w:rPr>
          <w:rFonts w:hint="eastAsia" w:cs="Times New Roman"/>
          <w:kern w:val="0"/>
          <w:sz w:val="21"/>
          <w:szCs w:val="20"/>
          <w:highlight w:val="none"/>
          <w:lang w:val="en-US" w:eastAsia="zh-CN" w:bidi="ar-SA"/>
        </w:rPr>
        <w:t>按照</w:t>
      </w:r>
      <w:r>
        <w:rPr>
          <w:rFonts w:hint="eastAsia" w:ascii="Times New Roman" w:hAnsi="Times New Roman" w:eastAsia="宋体" w:cs="Times New Roman"/>
          <w:kern w:val="0"/>
          <w:sz w:val="21"/>
          <w:szCs w:val="20"/>
          <w:highlight w:val="none"/>
          <w:lang w:val="en-US" w:eastAsia="zh-CN" w:bidi="ar-SA"/>
        </w:rPr>
        <w:fldChar w:fldCharType="begin"/>
      </w:r>
      <w:r>
        <w:rPr>
          <w:rFonts w:hint="eastAsia" w:ascii="Times New Roman" w:hAnsi="Times New Roman" w:eastAsia="宋体" w:cs="Times New Roman"/>
          <w:kern w:val="0"/>
          <w:sz w:val="21"/>
          <w:szCs w:val="20"/>
          <w:highlight w:val="none"/>
          <w:lang w:val="en-US" w:eastAsia="zh-CN" w:bidi="ar-SA"/>
        </w:rPr>
        <w:instrText xml:space="preserve"> HYPERLINK "https://www.mee.gov.cn/image20010518/5406.pdf" \t "https://cn.bing.com/_blank" </w:instrText>
      </w:r>
      <w:r>
        <w:rPr>
          <w:rFonts w:hint="eastAsia" w:ascii="Times New Roman" w:hAnsi="Times New Roman" w:eastAsia="宋体" w:cs="Times New Roman"/>
          <w:kern w:val="0"/>
          <w:sz w:val="21"/>
          <w:szCs w:val="20"/>
          <w:highlight w:val="none"/>
          <w:lang w:val="en-US" w:eastAsia="zh-CN" w:bidi="ar-SA"/>
        </w:rPr>
        <w:fldChar w:fldCharType="separate"/>
      </w:r>
      <w:r>
        <w:rPr>
          <w:rFonts w:hint="default" w:ascii="Times New Roman" w:hAnsi="Times New Roman" w:eastAsia="宋体" w:cs="Times New Roman"/>
          <w:kern w:val="0"/>
          <w:sz w:val="21"/>
          <w:szCs w:val="20"/>
          <w:highlight w:val="none"/>
          <w:lang w:val="en-US" w:eastAsia="zh-CN" w:bidi="ar-SA"/>
        </w:rPr>
        <w:t>HJ/T166</w:t>
      </w:r>
      <w:r>
        <w:rPr>
          <w:rFonts w:hint="default" w:ascii="Times New Roman" w:hAnsi="Times New Roman" w:eastAsia="宋体" w:cs="Times New Roman"/>
          <w:kern w:val="0"/>
          <w:sz w:val="21"/>
          <w:szCs w:val="20"/>
          <w:highlight w:val="none"/>
          <w:lang w:val="en-US" w:eastAsia="zh-CN" w:bidi="ar-SA"/>
        </w:rPr>
        <w:fldChar w:fldCharType="end"/>
      </w:r>
      <w:r>
        <w:rPr>
          <w:rFonts w:hint="eastAsia" w:ascii="Times New Roman" w:hAnsi="Times New Roman" w:eastAsia="宋体" w:cs="Times New Roman"/>
          <w:kern w:val="0"/>
          <w:sz w:val="21"/>
          <w:szCs w:val="20"/>
          <w:highlight w:val="none"/>
          <w:lang w:val="en-US" w:eastAsia="zh-CN" w:bidi="ar-SA"/>
        </w:rPr>
        <w:t>相关要求执行。</w:t>
      </w:r>
    </w:p>
    <w:p w14:paraId="69AE8DF3">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A.2.4</w:t>
      </w:r>
      <w:r>
        <w:rPr>
          <w:rFonts w:hint="eastAsia" w:cs="Times New Roman"/>
          <w:highlight w:val="none"/>
          <w:lang w:val="en-US" w:eastAsia="zh-CN"/>
        </w:rPr>
        <w:t>生物环境质量</w:t>
      </w:r>
    </w:p>
    <w:p w14:paraId="4286CC74">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w:t>
      </w:r>
      <w:r>
        <w:rPr>
          <w:rFonts w:hint="eastAsia" w:cs="Times New Roman"/>
          <w:color w:val="000000"/>
          <w:highlight w:val="none"/>
          <w:lang w:val="en-US" w:eastAsia="zh-CN"/>
        </w:rPr>
        <w:t>2</w:t>
      </w:r>
      <w:r>
        <w:rPr>
          <w:rFonts w:hint="eastAsia" w:hAnsi="Times New Roman" w:cs="Times New Roman"/>
          <w:color w:val="000000"/>
          <w:highlight w:val="none"/>
          <w:lang w:val="en-US" w:eastAsia="zh-CN"/>
        </w:rPr>
        <w:t>.</w:t>
      </w:r>
      <w:r>
        <w:rPr>
          <w:rFonts w:hint="eastAsia" w:cs="Times New Roman"/>
          <w:color w:val="000000"/>
          <w:highlight w:val="none"/>
          <w:lang w:val="en-US" w:eastAsia="zh-CN"/>
        </w:rPr>
        <w:t>4</w:t>
      </w:r>
      <w:r>
        <w:rPr>
          <w:rFonts w:hint="eastAsia" w:hAnsi="Times New Roman" w:cs="Times New Roman"/>
          <w:color w:val="000000"/>
          <w:highlight w:val="none"/>
          <w:lang w:val="en-US" w:eastAsia="zh-CN"/>
        </w:rPr>
        <w:t>.1生境不可替代指数</w:t>
      </w:r>
    </w:p>
    <w:p w14:paraId="5B433A0A">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不可替代性指数是0～1之间的连续值，值越高代表所在规划单元的保护价值越高，能够替代该单元完成保护目标的其他规划单元数量越少。具体方法详见HJ1173，A.4。</w:t>
      </w:r>
    </w:p>
    <w:p w14:paraId="0D3818C8">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w:t>
      </w:r>
      <w:r>
        <w:rPr>
          <w:rFonts w:hint="eastAsia" w:cs="Times New Roman"/>
          <w:highlight w:val="none"/>
          <w:lang w:val="en-US" w:eastAsia="zh-CN"/>
        </w:rPr>
        <w:t>2</w:t>
      </w:r>
      <w:r>
        <w:rPr>
          <w:rFonts w:hint="eastAsia" w:hAnsi="Times New Roman" w:cs="Times New Roman"/>
          <w:highlight w:val="none"/>
          <w:lang w:val="en-US" w:eastAsia="zh-CN"/>
        </w:rPr>
        <w:t>.</w:t>
      </w:r>
      <w:r>
        <w:rPr>
          <w:rFonts w:hint="eastAsia" w:cs="Times New Roman"/>
          <w:highlight w:val="none"/>
          <w:lang w:val="en-US" w:eastAsia="zh-CN"/>
        </w:rPr>
        <w:t>4</w:t>
      </w:r>
      <w:r>
        <w:rPr>
          <w:rFonts w:hint="eastAsia" w:hAnsi="Times New Roman" w:cs="Times New Roman"/>
          <w:highlight w:val="none"/>
          <w:lang w:val="en-US" w:eastAsia="zh-CN"/>
        </w:rPr>
        <w:t>.</w:t>
      </w:r>
      <w:r>
        <w:rPr>
          <w:rFonts w:hint="eastAsia" w:cs="Times New Roman"/>
          <w:highlight w:val="none"/>
          <w:lang w:val="en-US" w:eastAsia="zh-CN"/>
        </w:rPr>
        <w:t>2</w:t>
      </w:r>
      <w:r>
        <w:rPr>
          <w:rFonts w:hint="eastAsia" w:hAnsi="Times New Roman" w:cs="Times New Roman"/>
          <w:highlight w:val="none"/>
          <w:lang w:val="en-US" w:eastAsia="zh-CN"/>
        </w:rPr>
        <w:t>物种丰富度</w:t>
      </w:r>
    </w:p>
    <w:p w14:paraId="5DD8E87B">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highlight w:val="none"/>
          <w:lang w:val="en-US" w:eastAsia="zh-CN"/>
        </w:rPr>
        <w:t>一定单元范围内的物种数目</w:t>
      </w:r>
      <w:r>
        <w:rPr>
          <w:rFonts w:hint="eastAsia" w:ascii="宋体" w:hAnsi="Times New Roman" w:eastAsia="宋体" w:cs="Times New Roman"/>
          <w:highlight w:val="none"/>
          <w:lang w:val="en-US" w:eastAsia="zh-CN"/>
        </w:rPr>
        <w:t>。通过</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地面调查（采用样方调查方法统计生态系统群落中物种数目的多少）或林草等部门数据获取。</w:t>
      </w:r>
      <w:r>
        <w:rPr>
          <w:rFonts w:hint="eastAsia" w:ascii="Times New Roman" w:cs="Times New Roman"/>
          <w:i w:val="0"/>
          <w:iCs w:val="0"/>
          <w:caps w:val="0"/>
          <w:color w:val="000000"/>
          <w:spacing w:val="0"/>
          <w:sz w:val="21"/>
          <w:szCs w:val="24"/>
          <w:highlight w:val="none"/>
          <w:shd w:val="clear" w:color="auto" w:fill="auto"/>
          <w:lang w:val="en-US" w:eastAsia="zh-CN" w:bidi="ar"/>
        </w:rPr>
        <w:t>按照GB/T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43681，D.1.6</w:t>
      </w:r>
      <w:r>
        <w:rPr>
          <w:rFonts w:hint="eastAsia" w:ascii="Times New Roman" w:cs="Times New Roman"/>
          <w:i w:val="0"/>
          <w:iCs w:val="0"/>
          <w:caps w:val="0"/>
          <w:color w:val="000000"/>
          <w:spacing w:val="0"/>
          <w:sz w:val="21"/>
          <w:szCs w:val="24"/>
          <w:highlight w:val="none"/>
          <w:shd w:val="clear" w:color="auto" w:fill="auto"/>
          <w:lang w:val="en-US" w:eastAsia="zh-CN" w:bidi="ar"/>
        </w:rPr>
        <w:t>要求执行</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p>
    <w:p w14:paraId="182B3181">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A.2.4.</w:t>
      </w:r>
      <w:r>
        <w:rPr>
          <w:rFonts w:hint="eastAsia" w:cs="Times New Roman"/>
          <w:highlight w:val="none"/>
          <w:lang w:val="en-US" w:eastAsia="zh-CN"/>
        </w:rPr>
        <w:t>3</w:t>
      </w:r>
      <w:r>
        <w:rPr>
          <w:rFonts w:hint="eastAsia" w:hAnsi="Times New Roman" w:cs="Times New Roman"/>
          <w:highlight w:val="none"/>
          <w:lang w:val="en-US" w:eastAsia="zh-CN"/>
        </w:rPr>
        <w:t xml:space="preserve"> 植被覆盖度</w:t>
      </w:r>
    </w:p>
    <w:p w14:paraId="7D4D3DC5">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highlight w:val="none"/>
          <w:lang w:val="en-US" w:eastAsia="zh-CN"/>
        </w:rPr>
        <w:t>植被（包括根茎叶）在地面的垂直投影面积占单元总面积的百分比</w:t>
      </w:r>
      <w:r>
        <w:rPr>
          <w:rFonts w:hint="eastAsia" w:ascii="宋体" w:hAnsi="Times New Roman" w:eastAsia="宋体" w:cs="Times New Roman"/>
          <w:highlight w:val="none"/>
          <w:lang w:val="en-US" w:eastAsia="zh-CN"/>
        </w:rPr>
        <w:t>。</w:t>
      </w:r>
      <w:r>
        <w:rPr>
          <w:rFonts w:hint="eastAsia"/>
          <w:highlight w:val="none"/>
          <w:lang w:val="en-US" w:eastAsia="zh-CN"/>
        </w:rPr>
        <w:t>计算方法</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TD/T1102-2024，A.2.4.1</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r>
        <w:rPr>
          <w:rFonts w:hint="eastAsia" w:ascii="宋体" w:hAnsi="Times New Roman" w:eastAsia="宋体" w:cs="Times New Roman"/>
          <w:highlight w:val="none"/>
          <w:lang w:val="en-US" w:eastAsia="zh-CN"/>
        </w:rPr>
        <w:t>可通过遥感和地面调查获取，也可参考</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文献资料以及自然资源、林草等部门数据。可</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HJ1172相关要求执行。</w:t>
      </w:r>
    </w:p>
    <w:p w14:paraId="5EF55123">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A.2.4.</w:t>
      </w:r>
      <w:r>
        <w:rPr>
          <w:rFonts w:hint="eastAsia" w:cs="Times New Roman"/>
          <w:highlight w:val="none"/>
          <w:lang w:val="en-US" w:eastAsia="zh-CN"/>
        </w:rPr>
        <w:t>4</w:t>
      </w:r>
      <w:r>
        <w:rPr>
          <w:rFonts w:hint="eastAsia" w:hAnsi="Times New Roman" w:cs="Times New Roman"/>
          <w:highlight w:val="none"/>
          <w:lang w:val="en-US" w:eastAsia="zh-CN"/>
        </w:rPr>
        <w:t xml:space="preserve"> 叶面积指数</w:t>
      </w:r>
    </w:p>
    <w:p w14:paraId="658172D0">
      <w:pPr>
        <w:pStyle w:val="25"/>
        <w:keepNext w:val="0"/>
        <w:keepLines w:val="0"/>
        <w:pageBreakBefore w:val="0"/>
        <w:widowControl/>
        <w:kinsoku/>
        <w:wordWrap/>
        <w:overflowPunct/>
        <w:topLinePunct w:val="0"/>
        <w:bidi w:val="0"/>
        <w:adjustRightInd/>
        <w:snapToGrid/>
        <w:textAlignment w:val="auto"/>
        <w:outlineLvl w:val="9"/>
        <w:rPr>
          <w:rFonts w:hint="default"/>
          <w:highlight w:val="none"/>
          <w:lang w:val="en-US" w:eastAsia="zh-CN"/>
        </w:rPr>
      </w:pPr>
      <w:r>
        <w:rPr>
          <w:rFonts w:hint="eastAsia"/>
          <w:highlight w:val="none"/>
          <w:lang w:val="en-US" w:eastAsia="zh-CN"/>
        </w:rPr>
        <w:t>单位土地面积上植物叶片总面积与土地面积的比值</w:t>
      </w:r>
      <w:r>
        <w:rPr>
          <w:rFonts w:hint="eastAsia" w:ascii="宋体" w:hAnsi="Times New Roman" w:eastAsia="宋体" w:cs="Times New Roman"/>
          <w:highlight w:val="none"/>
          <w:lang w:val="en-US" w:eastAsia="zh-CN"/>
        </w:rPr>
        <w: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一般采用遥感调查获取，较小尺度范围内采用地面调查获取。具体流程和参数计算</w:t>
      </w:r>
      <w:r>
        <w:rPr>
          <w:rFonts w:hint="eastAsia" w:ascii="Times New Roman" w:cs="Times New Roman"/>
          <w:i w:val="0"/>
          <w:iCs w:val="0"/>
          <w:caps w:val="0"/>
          <w:color w:val="000000"/>
          <w:spacing w:val="0"/>
          <w:sz w:val="21"/>
          <w:szCs w:val="24"/>
          <w:highlight w:val="none"/>
          <w:shd w:val="clear" w:color="auto" w:fill="auto"/>
          <w:lang w:val="en-US" w:eastAsia="zh-CN" w:bidi="ar"/>
        </w:rPr>
        <w:t>按照GB/T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43681，C.1.8</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p>
    <w:p w14:paraId="428E63BC">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A.2.4.</w:t>
      </w:r>
      <w:r>
        <w:rPr>
          <w:rFonts w:hint="eastAsia" w:cs="Times New Roman"/>
          <w:highlight w:val="none"/>
          <w:lang w:val="en-US" w:eastAsia="zh-CN"/>
        </w:rPr>
        <w:t>5</w:t>
      </w:r>
      <w:r>
        <w:rPr>
          <w:rFonts w:hint="eastAsia" w:hAnsi="Times New Roman" w:cs="Times New Roman"/>
          <w:highlight w:val="none"/>
          <w:lang w:val="en-US" w:eastAsia="zh-CN"/>
        </w:rPr>
        <w:t xml:space="preserve"> 生物量</w:t>
      </w:r>
    </w:p>
    <w:p w14:paraId="2A591F33">
      <w:pPr>
        <w:pStyle w:val="25"/>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cs="Times New Roman"/>
          <w:highlight w:val="none"/>
          <w:lang w:val="en-US" w:eastAsia="zh-CN"/>
        </w:rPr>
        <w:t>单元</w:t>
      </w:r>
      <w:r>
        <w:rPr>
          <w:rFonts w:hint="eastAsia" w:hAnsi="Times New Roman" w:cs="Times New Roman"/>
          <w:highlight w:val="none"/>
          <w:lang w:val="en-US" w:eastAsia="zh-CN"/>
        </w:rPr>
        <w:t>内地表植被在一定时间内累积的有机质（干重）总量。</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计算方法</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TD/T1102，A.2.4.2</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执行。大范围生态单元可通过遥感监测估算得到，小范围生态单元的生物量数据可通过地面调查统计获得（</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HJ1167、HJ1168等</w:t>
      </w:r>
      <w:r>
        <w:rPr>
          <w:rFonts w:hint="eastAsia" w:ascii="Times New Roman" w:cs="Times New Roman"/>
          <w:i w:val="0"/>
          <w:iCs w:val="0"/>
          <w:caps w:val="0"/>
          <w:color w:val="000000"/>
          <w:spacing w:val="0"/>
          <w:sz w:val="21"/>
          <w:szCs w:val="24"/>
          <w:highlight w:val="none"/>
          <w:shd w:val="clear" w:color="auto" w:fill="auto"/>
          <w:lang w:val="en-US" w:eastAsia="zh-CN" w:bidi="ar"/>
        </w:rPr>
        <w:t>相关要求执行</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p>
    <w:p w14:paraId="744AD78C">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A.2.4.</w:t>
      </w:r>
      <w:r>
        <w:rPr>
          <w:rFonts w:hint="eastAsia" w:cs="Times New Roman"/>
          <w:highlight w:val="none"/>
          <w:lang w:val="en-US" w:eastAsia="zh-CN"/>
        </w:rPr>
        <w:t>6</w:t>
      </w:r>
      <w:r>
        <w:rPr>
          <w:rFonts w:hint="eastAsia" w:hAnsi="Times New Roman" w:cs="Times New Roman"/>
          <w:highlight w:val="none"/>
          <w:lang w:val="en-US" w:eastAsia="zh-CN"/>
        </w:rPr>
        <w:t xml:space="preserve"> 总初级生产力</w:t>
      </w:r>
    </w:p>
    <w:p w14:paraId="021E6986">
      <w:pPr>
        <w:pStyle w:val="25"/>
        <w:keepNext w:val="0"/>
        <w:keepLines w:val="0"/>
        <w:pageBreakBefore w:val="0"/>
        <w:widowControl/>
        <w:kinsoku/>
        <w:wordWrap/>
        <w:overflowPunct/>
        <w:topLinePunct w:val="0"/>
        <w:bidi w:val="0"/>
        <w:adjustRightInd/>
        <w:snapToGrid/>
        <w:textAlignment w:val="auto"/>
        <w:outlineLvl w:val="9"/>
        <w:rPr>
          <w:rFonts w:hint="eastAsia"/>
          <w:highlight w:val="none"/>
          <w:lang w:val="en-US" w:eastAsia="zh-CN"/>
        </w:rPr>
      </w:pP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单位面积、</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单位时间群落</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或生态系统</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中</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植物利用太阳能固定的能量或生产的有机质的量。该指标决定了进入陆地生态系统的初始能量与物质总量</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r>
        <w:rPr>
          <w:rFonts w:hint="eastAsia" w:ascii="宋体" w:hAnsi="Times New Roman" w:eastAsia="宋体" w:cs="Times New Roman"/>
          <w:highlight w:val="none"/>
          <w:lang w:val="en-US" w:eastAsia="zh-CN"/>
        </w:rPr>
        <w:t>采用遥感调查或现场调查方法获取</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。具体流程和参数计算</w:t>
      </w:r>
      <w:r>
        <w:rPr>
          <w:rFonts w:hint="eastAsia" w:ascii="Times New Roman" w:cs="Times New Roman"/>
          <w:i w:val="0"/>
          <w:iCs w:val="0"/>
          <w:caps w:val="0"/>
          <w:color w:val="000000"/>
          <w:spacing w:val="0"/>
          <w:sz w:val="21"/>
          <w:szCs w:val="24"/>
          <w:highlight w:val="none"/>
          <w:shd w:val="clear" w:color="auto" w:fill="auto"/>
          <w:lang w:val="en-US" w:eastAsia="zh-CN" w:bidi="ar"/>
        </w:rPr>
        <w:t>按照GB/T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43681，D.1.1</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p>
    <w:p w14:paraId="06E08B5D">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A.2.4.</w:t>
      </w:r>
      <w:r>
        <w:rPr>
          <w:rFonts w:hint="eastAsia" w:cs="Times New Roman"/>
          <w:highlight w:val="none"/>
          <w:lang w:val="en-US" w:eastAsia="zh-CN"/>
        </w:rPr>
        <w:t>7</w:t>
      </w:r>
      <w:r>
        <w:rPr>
          <w:rFonts w:hint="eastAsia" w:hAnsi="Times New Roman" w:cs="Times New Roman"/>
          <w:highlight w:val="none"/>
          <w:lang w:val="en-US" w:eastAsia="zh-CN"/>
        </w:rPr>
        <w:t xml:space="preserve"> 森林蓄积量</w:t>
      </w:r>
    </w:p>
    <w:p w14:paraId="59DD1FC6">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ascii="Times New Roman" w:cs="Times New Roman"/>
          <w:i w:val="0"/>
          <w:iCs w:val="0"/>
          <w:caps w:val="0"/>
          <w:color w:val="000000"/>
          <w:spacing w:val="0"/>
          <w:sz w:val="21"/>
          <w:szCs w:val="24"/>
          <w:highlight w:val="none"/>
          <w:shd w:val="clear" w:color="auto" w:fill="auto"/>
          <w:lang w:val="en-US" w:eastAsia="zh-CN" w:bidi="ar"/>
        </w:rPr>
        <w:t>单元</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内现存的各种活立木的材积总量。主要以实地调查和遥感监测</w:t>
      </w:r>
      <w:r>
        <w:rPr>
          <w:rFonts w:hint="eastAsia" w:ascii="Times New Roman" w:cs="Times New Roman"/>
          <w:i w:val="0"/>
          <w:iCs w:val="0"/>
          <w:caps w:val="0"/>
          <w:color w:val="000000"/>
          <w:spacing w:val="0"/>
          <w:sz w:val="21"/>
          <w:szCs w:val="24"/>
          <w:highlight w:val="none"/>
          <w:shd w:val="clear" w:color="auto" w:fill="auto"/>
          <w:lang w:val="en-US" w:eastAsia="zh-CN" w:bidi="ar"/>
        </w:rPr>
        <w:t>相结合的</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方式获取。</w:t>
      </w:r>
      <w:r>
        <w:rPr>
          <w:rFonts w:hint="eastAsia" w:ascii="Times New Roman" w:hAnsi="Times New Roman" w:eastAsia="宋体" w:cs="Times New Roman"/>
          <w:color w:val="000000"/>
          <w:kern w:val="0"/>
          <w:sz w:val="21"/>
          <w:szCs w:val="24"/>
          <w:highlight w:val="none"/>
          <w:shd w:val="clear" w:color="auto" w:fill="auto"/>
          <w:lang w:val="en-US" w:eastAsia="zh-CN" w:bidi="ar"/>
        </w:rPr>
        <w:t>在遥感图像上选择关键区域进行地面调查，采集必要的因子数据，再将采集的地面数据与遥感图像结合，通过模型计算出森林蓄积量。</w:t>
      </w:r>
    </w:p>
    <w:p w14:paraId="365AA1AC">
      <w:pPr>
        <w:pStyle w:val="70"/>
        <w:spacing w:before="312" w:after="312"/>
        <w:rPr>
          <w:rFonts w:hint="default" w:hAnsi="Times New Roman" w:cs="Times New Roman"/>
          <w:color w:val="000000"/>
          <w:highlight w:val="none"/>
          <w:lang w:val="en-US" w:eastAsia="zh-CN"/>
        </w:rPr>
      </w:pPr>
      <w:bookmarkStart w:id="396" w:name="_Toc16271"/>
      <w:bookmarkStart w:id="397" w:name="_Toc17429"/>
      <w:bookmarkStart w:id="398" w:name="_Toc7772"/>
      <w:bookmarkStart w:id="399" w:name="_Toc27655"/>
      <w:bookmarkStart w:id="400" w:name="_Toc8099"/>
      <w:bookmarkStart w:id="401" w:name="_Toc24282"/>
      <w:bookmarkStart w:id="402" w:name="_Toc13755"/>
      <w:bookmarkStart w:id="403" w:name="_Toc25617"/>
      <w:r>
        <w:rPr>
          <w:rFonts w:hint="eastAsia" w:hAnsi="Times New Roman" w:cs="Times New Roman"/>
          <w:color w:val="000000"/>
          <w:highlight w:val="none"/>
          <w:lang w:val="en-US" w:eastAsia="zh-CN"/>
        </w:rPr>
        <w:t>生态系统服务</w:t>
      </w:r>
      <w:bookmarkEnd w:id="396"/>
      <w:bookmarkEnd w:id="397"/>
      <w:bookmarkEnd w:id="398"/>
      <w:bookmarkEnd w:id="399"/>
      <w:bookmarkEnd w:id="400"/>
      <w:bookmarkEnd w:id="401"/>
      <w:bookmarkEnd w:id="402"/>
      <w:bookmarkEnd w:id="403"/>
    </w:p>
    <w:p w14:paraId="3DA198A8">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A.3.1水源涵养能力</w:t>
      </w:r>
    </w:p>
    <w:p w14:paraId="170D80E1">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A.3.1.1水源涵养量</w:t>
      </w:r>
    </w:p>
    <w:p w14:paraId="7B37D91D">
      <w:pPr>
        <w:pStyle w:val="25"/>
        <w:rPr>
          <w:rFonts w:hint="eastAsia"/>
          <w:highlight w:val="none"/>
          <w:lang w:val="en-US" w:eastAsia="zh-CN"/>
        </w:rPr>
      </w:pPr>
      <w:r>
        <w:rPr>
          <w:rFonts w:hint="eastAsia" w:hAnsi="Times New Roman" w:cs="Times New Roman"/>
          <w:highlight w:val="none"/>
          <w:lang w:val="en-US" w:eastAsia="zh-CN"/>
        </w:rPr>
        <w:t>反映生态系统通过特有的结构与水相互作用，对降水进行截留、渗透、蓄积，并通过蒸散发实现对水流、水循环的调控。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计算方法</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TD/T1102，A.2.5.1</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执行。计算公式中涉及的单因子（降雨量、暴雨径流量、蒸散发量等）可通过收集气象数据、公开发表文献等获取。</w:t>
      </w:r>
    </w:p>
    <w:p w14:paraId="2D983701">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A.3.1.2洪水调蓄量</w:t>
      </w:r>
    </w:p>
    <w:p w14:paraId="5992B30A">
      <w:pPr>
        <w:pStyle w:val="25"/>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hAnsi="Times New Roman" w:cs="Times New Roman"/>
          <w:highlight w:val="none"/>
          <w:lang w:val="en-US" w:eastAsia="zh-CN"/>
        </w:rPr>
        <w:t>反映生态系统所持有的生态结构能够吸纳大量的降水和过境水，蓄积洪峰水量，消减后洪峰，以及</w:t>
      </w:r>
      <w:r>
        <w:rPr>
          <w:rFonts w:hint="eastAsia" w:cs="Times New Roman"/>
          <w:highlight w:val="none"/>
          <w:lang w:val="en-US" w:eastAsia="zh-CN"/>
        </w:rPr>
        <w:t>缓解</w:t>
      </w:r>
      <w:r>
        <w:rPr>
          <w:rFonts w:hint="eastAsia" w:hAnsi="Times New Roman" w:cs="Times New Roman"/>
          <w:highlight w:val="none"/>
          <w:lang w:val="en-US" w:eastAsia="zh-CN"/>
        </w:rPr>
        <w:t>汛期洪峰造成的威胁和损失功能。</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计算方法</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TD/T1102，A.2.5.2</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执行。涉及的单因子通过水利部门资料、气象部门数据、第三次全国国土调查数据及年度变更数据等获取。</w:t>
      </w:r>
    </w:p>
    <w:p w14:paraId="15CEBA67">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A.3.1.3冠层截留量</w:t>
      </w:r>
    </w:p>
    <w:p w14:paraId="2E38C8EB">
      <w:pPr>
        <w:pStyle w:val="25"/>
        <w:rPr>
          <w:highlight w:val="none"/>
        </w:rPr>
      </w:pPr>
      <w:r>
        <w:rPr>
          <w:rFonts w:hint="eastAsia" w:ascii="宋体" w:hAnsi="Times New Roman" w:eastAsia="宋体" w:cs="Times New Roman"/>
          <w:highlight w:val="none"/>
          <w:lang w:val="en-US" w:eastAsia="zh-CN"/>
        </w:rPr>
        <w:t>叶片、</w:t>
      </w:r>
      <w:r>
        <w:rPr>
          <w:rFonts w:hint="default" w:ascii="宋体" w:hAnsi="Times New Roman" w:eastAsia="宋体" w:cs="Times New Roman"/>
          <w:highlight w:val="none"/>
          <w:lang w:val="en-US" w:eastAsia="zh-CN"/>
        </w:rPr>
        <w:t>枝干等植物地上生理器官对落入其内水分的截留容纳数值</w:t>
      </w:r>
      <w:r>
        <w:rPr>
          <w:rFonts w:hint="eastAsia" w:ascii="宋体" w:hAnsi="Times New Roman" w:eastAsia="宋体" w:cs="Times New Roman"/>
          <w:highlight w:val="none"/>
          <w:lang w:val="en-US" w:eastAsia="zh-CN"/>
        </w:rPr>
        <w:t>。采用现场调查方法获取，具体</w:t>
      </w:r>
      <w:r>
        <w:rPr>
          <w:rFonts w:hint="eastAsia" w:cs="Times New Roman"/>
          <w:highlight w:val="none"/>
          <w:lang w:val="en-US" w:eastAsia="zh-CN"/>
        </w:rPr>
        <w:t>按照</w:t>
      </w:r>
      <w:r>
        <w:rPr>
          <w:rFonts w:hint="eastAsia" w:ascii="Times New Roman" w:cs="Times New Roman"/>
          <w:i w:val="0"/>
          <w:iCs w:val="0"/>
          <w:caps w:val="0"/>
          <w:color w:val="000000"/>
          <w:spacing w:val="0"/>
          <w:sz w:val="21"/>
          <w:szCs w:val="24"/>
          <w:highlight w:val="none"/>
          <w:shd w:val="clear" w:color="auto" w:fill="auto"/>
          <w:lang w:val="en-US" w:eastAsia="zh-CN" w:bidi="ar"/>
        </w:rPr>
        <w:t>GB/T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43681，D.2.4</w:t>
      </w:r>
      <w:r>
        <w:rPr>
          <w:rFonts w:hint="eastAsia" w:ascii="Times New Roman" w:cs="Times New Roman"/>
          <w:i w:val="0"/>
          <w:iCs w:val="0"/>
          <w:caps w:val="0"/>
          <w:color w:val="000000"/>
          <w:spacing w:val="0"/>
          <w:sz w:val="21"/>
          <w:szCs w:val="24"/>
          <w:highlight w:val="none"/>
          <w:shd w:val="clear" w:color="auto" w:fill="auto"/>
          <w:lang w:val="en-US" w:eastAsia="zh-CN" w:bidi="ar"/>
        </w:rPr>
        <w:t>要求执行</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p>
    <w:p w14:paraId="03C262D2">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A.3.1.4土壤湿度</w:t>
      </w:r>
    </w:p>
    <w:p w14:paraId="690862BD">
      <w:pPr>
        <w:pStyle w:val="25"/>
        <w:rPr>
          <w:rFonts w:hint="eastAsia"/>
          <w:highlight w:val="none"/>
          <w:lang w:val="en-US" w:eastAsia="zh-CN"/>
        </w:rPr>
      </w:pPr>
      <w:r>
        <w:rPr>
          <w:rFonts w:hint="eastAsia" w:ascii="宋体" w:hAnsi="Times New Roman" w:eastAsia="宋体" w:cs="Times New Roman"/>
          <w:highlight w:val="none"/>
          <w:lang w:val="en-US" w:eastAsia="zh-CN"/>
        </w:rPr>
        <w:t>土壤湿度指土壤的干湿程度，</w:t>
      </w:r>
      <w:r>
        <w:rPr>
          <w:rFonts w:hint="default" w:ascii="宋体" w:hAnsi="Times New Roman" w:eastAsia="宋体" w:cs="Times New Roman"/>
          <w:highlight w:val="none"/>
          <w:lang w:val="en-US" w:eastAsia="zh-CN"/>
        </w:rPr>
        <w:t>它与土壤的含水量成正比。含水量达到饱和状态时</w:t>
      </w:r>
      <w:r>
        <w:rPr>
          <w:rFonts w:hint="eastAsia" w:ascii="宋体" w:hAnsi="Times New Roman" w:eastAsia="宋体" w:cs="Times New Roman"/>
          <w:highlight w:val="none"/>
          <w:lang w:val="en-US" w:eastAsia="zh-CN"/>
        </w:rPr>
        <w:t>，</w:t>
      </w:r>
      <w:r>
        <w:rPr>
          <w:rFonts w:hint="default" w:ascii="宋体" w:hAnsi="Times New Roman" w:eastAsia="宋体" w:cs="Times New Roman"/>
          <w:highlight w:val="none"/>
          <w:lang w:val="en-US" w:eastAsia="zh-CN"/>
        </w:rPr>
        <w:t>土壤湿度是100%;水分逐渐减少</w:t>
      </w:r>
      <w:r>
        <w:rPr>
          <w:rFonts w:hint="eastAsia" w:ascii="宋体" w:hAnsi="Times New Roman" w:eastAsia="宋体" w:cs="Times New Roman"/>
          <w:highlight w:val="none"/>
          <w:lang w:val="en-US" w:eastAsia="zh-CN"/>
        </w:rPr>
        <w:t>，</w:t>
      </w:r>
      <w:r>
        <w:rPr>
          <w:rFonts w:hint="default" w:ascii="宋体" w:hAnsi="Times New Roman" w:eastAsia="宋体" w:cs="Times New Roman"/>
          <w:highlight w:val="none"/>
          <w:lang w:val="en-US" w:eastAsia="zh-CN"/>
        </w:rPr>
        <w:t>土壤湿度随之降低</w:t>
      </w:r>
      <w:r>
        <w:rPr>
          <w:rFonts w:hint="eastAsia" w:ascii="宋体" w:hAnsi="Times New Roman" w:eastAsia="宋体" w:cs="Times New Roman"/>
          <w:highlight w:val="none"/>
          <w:lang w:val="en-US" w:eastAsia="zh-CN"/>
        </w:rPr>
        <w:t>，</w:t>
      </w:r>
      <w:r>
        <w:rPr>
          <w:rFonts w:hint="default" w:ascii="宋体" w:hAnsi="Times New Roman" w:eastAsia="宋体" w:cs="Times New Roman"/>
          <w:highlight w:val="none"/>
          <w:lang w:val="en-US" w:eastAsia="zh-CN"/>
        </w:rPr>
        <w:t>但土壤湿度不会降低到0</w:t>
      </w:r>
      <w:r>
        <w:rPr>
          <w:rFonts w:hint="eastAsia" w:ascii="宋体" w:hAnsi="Times New Roman" w:eastAsia="宋体" w:cs="Times New Roman"/>
          <w:highlight w:val="none"/>
          <w:lang w:val="en-US" w:eastAsia="zh-CN"/>
        </w:rPr>
        <w:t>。采用现场调查方法获取，具体</w:t>
      </w:r>
      <w:r>
        <w:rPr>
          <w:rFonts w:hint="eastAsia" w:cs="Times New Roman"/>
          <w:highlight w:val="none"/>
          <w:lang w:val="en-US" w:eastAsia="zh-CN"/>
        </w:rPr>
        <w:t>按照</w:t>
      </w:r>
      <w:r>
        <w:rPr>
          <w:rFonts w:hint="eastAsia" w:ascii="Times New Roman" w:cs="Times New Roman"/>
          <w:i w:val="0"/>
          <w:iCs w:val="0"/>
          <w:caps w:val="0"/>
          <w:color w:val="000000"/>
          <w:spacing w:val="0"/>
          <w:sz w:val="21"/>
          <w:szCs w:val="24"/>
          <w:highlight w:val="none"/>
          <w:shd w:val="clear" w:color="auto" w:fill="auto"/>
          <w:lang w:val="en-US" w:eastAsia="zh-CN" w:bidi="ar"/>
        </w:rPr>
        <w:t>GB/T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43681，D.2.7</w:t>
      </w:r>
      <w:r>
        <w:rPr>
          <w:rFonts w:hint="eastAsia" w:ascii="Times New Roman" w:cs="Times New Roman"/>
          <w:i w:val="0"/>
          <w:iCs w:val="0"/>
          <w:caps w:val="0"/>
          <w:color w:val="000000"/>
          <w:spacing w:val="0"/>
          <w:sz w:val="21"/>
          <w:szCs w:val="24"/>
          <w:highlight w:val="none"/>
          <w:shd w:val="clear" w:color="auto" w:fill="auto"/>
          <w:lang w:val="en-US" w:eastAsia="zh-CN" w:bidi="ar"/>
        </w:rPr>
        <w:t>要求执行</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p>
    <w:p w14:paraId="4E6EDAAB">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A.3.2防风固沙能力</w:t>
      </w:r>
    </w:p>
    <w:p w14:paraId="3843EAAF">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A.3.2.1防风固沙量</w:t>
      </w:r>
    </w:p>
    <w:p w14:paraId="6AE44635">
      <w:pPr>
        <w:pStyle w:val="25"/>
        <w:keepNext w:val="0"/>
        <w:keepLines w:val="0"/>
        <w:pageBreakBefore w:val="0"/>
        <w:widowControl/>
        <w:kinsoku/>
        <w:wordWrap/>
        <w:overflowPunct/>
        <w:topLinePunct w:val="0"/>
        <w:bidi w:val="0"/>
        <w:adjustRightInd/>
        <w:snapToGrid/>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通过生态系统减少的风蚀量（即潜在风蚀量与实际风蚀量的差值）。</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计算方法</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TD/T1102，A.2.5.3</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执行。通过气象、自然资源部门以及文献资料获取。</w:t>
      </w:r>
    </w:p>
    <w:p w14:paraId="42F05446">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A.3.3土壤保持能力</w:t>
      </w:r>
    </w:p>
    <w:p w14:paraId="5D595E90">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A.3.3.1土壤保持量</w:t>
      </w:r>
    </w:p>
    <w:p w14:paraId="4ABBF224">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生态系统减少的土壤侵蚀量（即潜在土壤侵蚀量与实际土壤侵蚀量的差值）。主要基于土壤流失方程（RUSLE）进行测算。计算方法</w:t>
      </w:r>
      <w:r>
        <w:rPr>
          <w:rFonts w:hint="eastAsia" w:ascii="Times New Roman" w:cs="Times New Roman"/>
          <w:highlight w:val="none"/>
          <w:lang w:val="en-US" w:eastAsia="zh-CN"/>
        </w:rPr>
        <w:t>按照</w:t>
      </w:r>
      <w:r>
        <w:rPr>
          <w:rFonts w:hint="default" w:ascii="Times New Roman" w:hAnsi="Times New Roman" w:eastAsia="宋体" w:cs="Times New Roman"/>
          <w:highlight w:val="none"/>
          <w:lang w:val="en-US" w:eastAsia="zh-CN"/>
        </w:rPr>
        <w:t>TD/T1102，A.2.5.4</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r>
        <w:rPr>
          <w:rFonts w:hint="default" w:ascii="Times New Roman" w:hAnsi="Times New Roman" w:eastAsia="宋体" w:cs="Times New Roman"/>
          <w:highlight w:val="none"/>
          <w:lang w:val="en-US" w:eastAsia="zh-CN"/>
        </w:rPr>
        <w:t>。通过气象、自然资源部门以及文献资料获取。</w:t>
      </w:r>
    </w:p>
    <w:p w14:paraId="6233BEC1">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A.3.4生态碳汇能力</w:t>
      </w:r>
    </w:p>
    <w:p w14:paraId="491D9C59">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A.3.4.1固碳量</w:t>
      </w:r>
    </w:p>
    <w:p w14:paraId="034896E2">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hAnsi="Times New Roman" w:cs="Times New Roman"/>
          <w:b w:val="0"/>
          <w:bCs w:val="0"/>
          <w:color w:val="000000"/>
          <w:highlight w:val="none"/>
          <w:lang w:val="en-US" w:eastAsia="zh-CN"/>
        </w:rPr>
        <w:t>生态系统吸收大气中的二氧化碳合成有机质，将碳固定在植物或土壤中的总量。</w:t>
      </w:r>
      <w:r>
        <w:rPr>
          <w:rFonts w:hint="eastAsia" w:ascii="Times New Roman" w:hAnsi="Times New Roman" w:eastAsia="宋体" w:cs="Times New Roman"/>
          <w:b w:val="0"/>
          <w:bCs w:val="0"/>
          <w:i w:val="0"/>
          <w:iCs w:val="0"/>
          <w:caps w:val="0"/>
          <w:color w:val="000000"/>
          <w:spacing w:val="0"/>
          <w:sz w:val="21"/>
          <w:szCs w:val="24"/>
          <w:highlight w:val="none"/>
          <w:shd w:val="clear" w:color="auto" w:fill="auto"/>
          <w:lang w:val="en-US" w:eastAsia="zh-CN" w:bidi="ar"/>
        </w:rPr>
        <w:t>计算方法</w:t>
      </w:r>
      <w:r>
        <w:rPr>
          <w:rFonts w:hint="eastAsia" w:ascii="Times New Roman" w:cs="Times New Roman"/>
          <w:b w:val="0"/>
          <w:bCs w:val="0"/>
          <w:i w:val="0"/>
          <w:iCs w:val="0"/>
          <w:caps w:val="0"/>
          <w:color w:val="000000"/>
          <w:spacing w:val="0"/>
          <w:sz w:val="21"/>
          <w:szCs w:val="24"/>
          <w:highlight w:val="none"/>
          <w:shd w:val="clear" w:color="auto" w:fill="auto"/>
          <w:lang w:val="en-US" w:eastAsia="zh-CN" w:bidi="ar"/>
        </w:rPr>
        <w:t>按照</w:t>
      </w:r>
      <w:r>
        <w:rPr>
          <w:rFonts w:hint="eastAsia" w:ascii="宋体" w:hAnsi="Times New Roman" w:eastAsia="宋体" w:cs="Times New Roman"/>
          <w:color w:val="000000"/>
          <w:kern w:val="0"/>
          <w:sz w:val="21"/>
          <w:szCs w:val="20"/>
          <w:highlight w:val="none"/>
        </w:rPr>
        <w:t>DB11/T2059</w:t>
      </w:r>
      <w:r>
        <w:rPr>
          <w:rFonts w:hint="eastAsia" w:ascii="宋体" w:cs="Times New Roman"/>
          <w:b w:val="0"/>
          <w:bCs w:val="0"/>
          <w:i w:val="0"/>
          <w:iCs w:val="0"/>
          <w:caps w:val="0"/>
          <w:color w:val="000000"/>
          <w:spacing w:val="0"/>
          <w:sz w:val="21"/>
          <w:szCs w:val="20"/>
          <w:highlight w:val="none"/>
          <w:shd w:val="clear" w:color="auto" w:fill="auto"/>
          <w:lang w:val="en-US" w:eastAsia="zh-CN" w:bidi="ar"/>
        </w:rPr>
        <w:t>相关</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r>
        <w:rPr>
          <w:rFonts w:hint="eastAsia" w:ascii="Times New Roman" w:hAnsi="Times New Roman" w:eastAsia="宋体" w:cs="Times New Roman"/>
          <w:b w:val="0"/>
          <w:bCs w:val="0"/>
          <w:i w:val="0"/>
          <w:iCs w:val="0"/>
          <w:caps w:val="0"/>
          <w:color w:val="000000"/>
          <w:spacing w:val="0"/>
          <w:sz w:val="21"/>
          <w:szCs w:val="24"/>
          <w:highlight w:val="none"/>
          <w:shd w:val="clear" w:color="auto" w:fill="auto"/>
          <w:lang w:val="en-US" w:eastAsia="zh-CN" w:bidi="ar"/>
        </w:rPr>
        <w:t>。</w:t>
      </w:r>
      <w:r>
        <w:rPr>
          <w:rFonts w:hint="eastAsia" w:ascii="宋体" w:hAnsi="Times New Roman" w:eastAsia="宋体" w:cs="Times New Roman"/>
          <w:b w:val="0"/>
          <w:bCs w:val="0"/>
          <w:color w:val="000000"/>
          <w:highlight w:val="none"/>
          <w:lang w:val="en-US" w:eastAsia="zh-CN"/>
        </w:rPr>
        <w:t>可</w:t>
      </w:r>
      <w:r>
        <w:rPr>
          <w:rFonts w:hint="eastAsia" w:ascii="宋体" w:hAnsi="Times New Roman" w:eastAsia="宋体" w:cs="Times New Roman"/>
          <w:highlight w:val="none"/>
          <w:lang w:val="en-US" w:eastAsia="zh-CN"/>
        </w:rPr>
        <w:t>通过遥感和地面调查获取，也可参考</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文献资料以及自然资源、林草等部门数据。</w:t>
      </w:r>
    </w:p>
    <w:p w14:paraId="155CA8F8">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A.3.4.2土壤碳储量</w:t>
      </w:r>
    </w:p>
    <w:p w14:paraId="1FE20087">
      <w:pPr>
        <w:keepNext w:val="0"/>
        <w:keepLines w:val="0"/>
        <w:widowControl/>
        <w:suppressLineNumbers w:val="0"/>
        <w:ind w:firstLine="420" w:firstLineChars="200"/>
        <w:jc w:val="left"/>
        <w:rPr>
          <w:rFonts w:hint="eastAsia"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pPr>
      <w:r>
        <w:rPr>
          <w:rFonts w:hint="default"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一定深度内（通常为1m）单位面积矿质土和有机土（包括泥炭土）中的有机碳素存留量</w:t>
      </w:r>
      <w:r>
        <w:rPr>
          <w:rFonts w:hint="eastAsia"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。地面调查采样及指标测算</w:t>
      </w:r>
      <w:r>
        <w:rPr>
          <w:rFonts w:hint="eastAsia" w:cs="Times New Roman"/>
          <w:i w:val="0"/>
          <w:iCs w:val="0"/>
          <w:caps w:val="0"/>
          <w:color w:val="000000"/>
          <w:spacing w:val="0"/>
          <w:kern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LY/T3330</w:t>
      </w:r>
      <w:r>
        <w:rPr>
          <w:rFonts w:hint="eastAsia" w:cs="Times New Roman"/>
          <w:i w:val="0"/>
          <w:iCs w:val="0"/>
          <w:caps w:val="0"/>
          <w:color w:val="000000"/>
          <w:spacing w:val="0"/>
          <w:kern w:val="0"/>
          <w:sz w:val="21"/>
          <w:szCs w:val="24"/>
          <w:highlight w:val="none"/>
          <w:shd w:val="clear" w:color="auto" w:fill="auto"/>
          <w:lang w:val="en-US" w:eastAsia="zh-CN" w:bidi="ar"/>
        </w:rPr>
        <w:t>相关</w:t>
      </w:r>
      <w:r>
        <w:rPr>
          <w:rFonts w:hint="eastAsia" w:ascii="Times New Roman" w:cs="Times New Roman"/>
          <w:i w:val="0"/>
          <w:iCs w:val="0"/>
          <w:caps w:val="0"/>
          <w:color w:val="000000"/>
          <w:spacing w:val="0"/>
          <w:sz w:val="21"/>
          <w:szCs w:val="24"/>
          <w:highlight w:val="none"/>
          <w:shd w:val="clear" w:color="auto" w:fill="auto"/>
          <w:lang w:val="en-US" w:eastAsia="zh-CN" w:bidi="ar"/>
        </w:rPr>
        <w:t>要求执行</w:t>
      </w:r>
      <w:r>
        <w:rPr>
          <w:rFonts w:hint="eastAsia"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w:t>
      </w:r>
    </w:p>
    <w:p w14:paraId="10799D96">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A.3.4.3植被碳密度</w:t>
      </w:r>
    </w:p>
    <w:p w14:paraId="77D71E46">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default"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单位面积植被中的碳素存留量</w:t>
      </w:r>
      <w:r>
        <w:rPr>
          <w:rFonts w:hint="eastAsia"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w:t>
      </w:r>
      <w:r>
        <w:rPr>
          <w:rFonts w:hint="default"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采用现场调查</w:t>
      </w:r>
      <w:r>
        <w:rPr>
          <w:rFonts w:hint="eastAsia"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w:t>
      </w:r>
      <w:r>
        <w:rPr>
          <w:rFonts w:hint="eastAsia" w:ascii="Times New Roman" w:cs="Times New Roman"/>
          <w:i w:val="0"/>
          <w:iCs w:val="0"/>
          <w:caps w:val="0"/>
          <w:color w:val="000000"/>
          <w:spacing w:val="0"/>
          <w:kern w:val="0"/>
          <w:sz w:val="21"/>
          <w:szCs w:val="24"/>
          <w:highlight w:val="none"/>
          <w:shd w:val="clear" w:color="auto" w:fill="auto"/>
          <w:lang w:val="en-US" w:eastAsia="zh-CN" w:bidi="ar"/>
        </w:rPr>
        <w:t>按照</w:t>
      </w:r>
      <w:r>
        <w:rPr>
          <w:rFonts w:hint="default"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GB/T33027</w:t>
      </w:r>
      <w:r>
        <w:rPr>
          <w:rFonts w:hint="eastAsia"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w:t>
      </w:r>
      <w:r>
        <w:rPr>
          <w:rFonts w:hint="default"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或遥感调查方法获取</w:t>
      </w:r>
      <w:r>
        <w:rPr>
          <w:rFonts w:hint="eastAsia" w:ascii="Times New Roman" w:hAnsi="Times New Roman" w:eastAsia="宋体" w:cs="Times New Roman"/>
          <w:i w:val="0"/>
          <w:iCs w:val="0"/>
          <w:caps w:val="0"/>
          <w:color w:val="000000"/>
          <w:spacing w:val="0"/>
          <w:kern w:val="0"/>
          <w:sz w:val="21"/>
          <w:szCs w:val="24"/>
          <w:highlight w:val="none"/>
          <w:shd w:val="clear" w:color="auto" w:fill="auto"/>
          <w:lang w:val="en-US" w:eastAsia="zh-CN" w:bidi="ar"/>
        </w:rPr>
        <w:t>，计算方法</w:t>
      </w:r>
      <w:r>
        <w:rPr>
          <w:rFonts w:hint="eastAsia" w:ascii="Times New Roman" w:cs="Times New Roman"/>
          <w:i w:val="0"/>
          <w:iCs w:val="0"/>
          <w:caps w:val="0"/>
          <w:color w:val="000000"/>
          <w:spacing w:val="0"/>
          <w:kern w:val="0"/>
          <w:sz w:val="21"/>
          <w:szCs w:val="24"/>
          <w:highlight w:val="none"/>
          <w:shd w:val="clear" w:color="auto" w:fill="auto"/>
          <w:lang w:val="en-US" w:eastAsia="zh-CN" w:bidi="ar"/>
        </w:rPr>
        <w:t>按照</w:t>
      </w:r>
      <w:r>
        <w:rPr>
          <w:rFonts w:hint="eastAsia" w:ascii="Times New Roman" w:cs="Times New Roman"/>
          <w:i w:val="0"/>
          <w:iCs w:val="0"/>
          <w:caps w:val="0"/>
          <w:color w:val="000000"/>
          <w:spacing w:val="0"/>
          <w:sz w:val="21"/>
          <w:szCs w:val="24"/>
          <w:highlight w:val="none"/>
          <w:shd w:val="clear" w:color="auto" w:fill="auto"/>
          <w:lang w:val="en-US" w:eastAsia="zh-CN" w:bidi="ar"/>
        </w:rPr>
        <w:t>GB/T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43681，D.1.6</w:t>
      </w:r>
      <w:r>
        <w:rPr>
          <w:rFonts w:hint="eastAsia" w:ascii="Times New Roman" w:cs="Times New Roman"/>
          <w:i w:val="0"/>
          <w:iCs w:val="0"/>
          <w:caps w:val="0"/>
          <w:color w:val="000000"/>
          <w:spacing w:val="0"/>
          <w:sz w:val="21"/>
          <w:szCs w:val="24"/>
          <w:highlight w:val="none"/>
          <w:shd w:val="clear" w:color="auto" w:fill="auto"/>
          <w:lang w:val="en-US" w:eastAsia="zh-CN" w:bidi="ar"/>
        </w:rPr>
        <w:t>要求执行</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p>
    <w:p w14:paraId="018A0673">
      <w:pPr>
        <w:pStyle w:val="61"/>
        <w:keepNext w:val="0"/>
        <w:keepLines w:val="0"/>
        <w:pageBreakBefore w:val="0"/>
        <w:widowControl/>
        <w:numPr>
          <w:ilvl w:val="2"/>
          <w:numId w:val="0"/>
        </w:numPr>
        <w:kinsoku/>
        <w:wordWrap/>
        <w:overflowPunct/>
        <w:topLinePunct w:val="0"/>
        <w:bidi w:val="0"/>
        <w:adjustRightInd/>
        <w:snapToGrid/>
        <w:spacing w:before="156" w:after="156"/>
        <w:textAlignment w:val="auto"/>
        <w:outlineLvl w:val="9"/>
        <w:rPr>
          <w:rFonts w:hint="eastAsia" w:cs="Times New Roman"/>
          <w:szCs w:val="21"/>
          <w:highlight w:val="none"/>
          <w:vertAlign w:val="baseline"/>
          <w:lang w:val="en-US" w:eastAsia="zh-CN"/>
        </w:rPr>
      </w:pPr>
      <w:r>
        <w:rPr>
          <w:rFonts w:hint="eastAsia" w:cs="Times New Roman"/>
          <w:szCs w:val="21"/>
          <w:highlight w:val="none"/>
          <w:vertAlign w:val="baseline"/>
          <w:lang w:val="en-US" w:eastAsia="zh-CN"/>
        </w:rPr>
        <w:t>A.3.5污染净化能力</w:t>
      </w:r>
    </w:p>
    <w:p w14:paraId="29AB0FD9">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cs="Times New Roman"/>
          <w:highlight w:val="none"/>
          <w:lang w:val="en-US" w:eastAsia="zh-CN"/>
        </w:rPr>
      </w:pPr>
      <w:r>
        <w:rPr>
          <w:rFonts w:hint="eastAsia" w:hAnsi="Times New Roman" w:cs="Times New Roman"/>
          <w:highlight w:val="none"/>
          <w:lang w:val="en-US" w:eastAsia="zh-CN"/>
        </w:rPr>
        <w:t>A.3.</w:t>
      </w:r>
      <w:r>
        <w:rPr>
          <w:rFonts w:hint="eastAsia" w:cs="Times New Roman"/>
          <w:highlight w:val="none"/>
          <w:lang w:val="en-US" w:eastAsia="zh-CN"/>
        </w:rPr>
        <w:t>5</w:t>
      </w:r>
      <w:r>
        <w:rPr>
          <w:rFonts w:hint="eastAsia" w:hAnsi="Times New Roman" w:cs="Times New Roman"/>
          <w:highlight w:val="none"/>
          <w:lang w:val="en-US" w:eastAsia="zh-CN"/>
        </w:rPr>
        <w:t>.</w:t>
      </w:r>
      <w:r>
        <w:rPr>
          <w:rFonts w:hint="eastAsia" w:cs="Times New Roman"/>
          <w:highlight w:val="none"/>
          <w:lang w:val="en-US" w:eastAsia="zh-CN"/>
        </w:rPr>
        <w:t>1 空气净化量</w:t>
      </w:r>
    </w:p>
    <w:p w14:paraId="0E542A00">
      <w:pPr>
        <w:pStyle w:val="25"/>
        <w:outlineLvl w:val="9"/>
        <w:rPr>
          <w:rFonts w:hint="default" w:ascii="Times New Roman"/>
          <w:color w:val="000000"/>
          <w:szCs w:val="24"/>
          <w:highlight w:val="none"/>
          <w:shd w:val="clear" w:color="auto" w:fill="auto"/>
          <w:lang w:val="en-US" w:eastAsia="zh-CN" w:bidi="ar"/>
        </w:rPr>
      </w:pPr>
      <w:r>
        <w:rPr>
          <w:rFonts w:hint="default" w:ascii="Times New Roman"/>
          <w:color w:val="000000"/>
          <w:szCs w:val="24"/>
          <w:highlight w:val="none"/>
          <w:shd w:val="clear" w:color="auto" w:fill="auto"/>
          <w:lang w:val="en-US" w:eastAsia="zh-CN" w:bidi="ar"/>
        </w:rPr>
        <w:t>指生态系统吸收、阻滤大气中的污染物</w:t>
      </w:r>
      <w:r>
        <w:rPr>
          <w:rFonts w:hint="eastAsia" w:ascii="Times New Roman"/>
          <w:color w:val="000000"/>
          <w:szCs w:val="24"/>
          <w:highlight w:val="none"/>
          <w:shd w:val="clear" w:color="auto" w:fill="auto"/>
          <w:lang w:val="en-US" w:eastAsia="zh-CN" w:bidi="ar"/>
        </w:rPr>
        <w:t>，</w:t>
      </w:r>
      <w:r>
        <w:rPr>
          <w:rFonts w:hint="default" w:ascii="Times New Roman"/>
          <w:color w:val="000000"/>
          <w:szCs w:val="24"/>
          <w:highlight w:val="none"/>
          <w:shd w:val="clear" w:color="auto" w:fill="auto"/>
          <w:lang w:val="en-US" w:eastAsia="zh-CN" w:bidi="ar"/>
        </w:rPr>
        <w:t>如 SO</w:t>
      </w:r>
      <w:r>
        <w:rPr>
          <w:rFonts w:hint="eastAsia" w:ascii="Times New Roman"/>
          <w:color w:val="000000"/>
          <w:szCs w:val="24"/>
          <w:highlight w:val="none"/>
          <w:shd w:val="clear" w:color="auto" w:fill="auto"/>
          <w:vertAlign w:val="subscript"/>
          <w:lang w:val="en-US" w:eastAsia="zh-CN" w:bidi="ar"/>
        </w:rPr>
        <w:t>2</w:t>
      </w:r>
      <w:r>
        <w:rPr>
          <w:rFonts w:hint="default" w:ascii="Times New Roman"/>
          <w:color w:val="000000"/>
          <w:szCs w:val="24"/>
          <w:highlight w:val="none"/>
          <w:shd w:val="clear" w:color="auto" w:fill="auto"/>
          <w:lang w:val="en-US" w:eastAsia="zh-CN" w:bidi="ar"/>
        </w:rPr>
        <w:t>、NO</w:t>
      </w:r>
      <w:r>
        <w:rPr>
          <w:rFonts w:hint="eastAsia" w:ascii="Times New Roman"/>
          <w:i/>
          <w:iCs/>
          <w:color w:val="000000"/>
          <w:szCs w:val="24"/>
          <w:highlight w:val="none"/>
          <w:shd w:val="clear" w:color="auto" w:fill="auto"/>
          <w:vertAlign w:val="subscript"/>
          <w:lang w:val="en-US" w:eastAsia="zh-CN" w:bidi="ar"/>
        </w:rPr>
        <w:t>x</w:t>
      </w:r>
      <w:r>
        <w:rPr>
          <w:rFonts w:hint="default" w:ascii="Times New Roman"/>
          <w:color w:val="000000"/>
          <w:szCs w:val="24"/>
          <w:highlight w:val="none"/>
          <w:shd w:val="clear" w:color="auto" w:fill="auto"/>
          <w:lang w:val="en-US" w:eastAsia="zh-CN" w:bidi="ar"/>
        </w:rPr>
        <w:t>、粉尘等,降低空气污染物浓度</w:t>
      </w:r>
      <w:r>
        <w:rPr>
          <w:rFonts w:hint="eastAsia" w:ascii="Times New Roman"/>
          <w:color w:val="000000"/>
          <w:szCs w:val="24"/>
          <w:highlight w:val="none"/>
          <w:shd w:val="clear" w:color="auto" w:fill="auto"/>
          <w:lang w:val="en-US" w:eastAsia="zh-CN" w:bidi="ar"/>
        </w:rPr>
        <w:t>，</w:t>
      </w:r>
      <w:r>
        <w:rPr>
          <w:rFonts w:hint="default" w:ascii="Times New Roman"/>
          <w:color w:val="000000"/>
          <w:szCs w:val="24"/>
          <w:highlight w:val="none"/>
          <w:shd w:val="clear" w:color="auto" w:fill="auto"/>
          <w:lang w:val="en-US" w:eastAsia="zh-CN" w:bidi="ar"/>
        </w:rPr>
        <w:t>改善空气环境的功能</w:t>
      </w:r>
      <w:r>
        <w:rPr>
          <w:rFonts w:hint="eastAsia" w:ascii="Times New Roman"/>
          <w:color w:val="000000"/>
          <w:szCs w:val="24"/>
          <w:highlight w:val="none"/>
          <w:shd w:val="clear" w:color="auto" w:fill="auto"/>
          <w:lang w:val="en-US" w:eastAsia="zh-CN" w:bidi="ar"/>
        </w:rPr>
        <w:t>。计算方案按照</w:t>
      </w:r>
      <w:r>
        <w:rPr>
          <w:rFonts w:hint="eastAsia"/>
          <w:lang w:eastAsia="zh-CN"/>
        </w:rPr>
        <w:t>GB/T</w:t>
      </w:r>
      <w:r>
        <w:t>43678</w:t>
      </w:r>
      <w:r>
        <w:rPr>
          <w:rFonts w:hint="eastAsia"/>
          <w:lang w:eastAsia="zh-CN"/>
        </w:rPr>
        <w:t>，</w:t>
      </w:r>
      <w:r>
        <w:rPr>
          <w:rFonts w:hint="eastAsia"/>
          <w:lang w:val="en-US" w:eastAsia="zh-CN"/>
        </w:rPr>
        <w:t>A.7.2执行。</w:t>
      </w:r>
    </w:p>
    <w:p w14:paraId="7AD1455D">
      <w:pPr>
        <w:pStyle w:val="61"/>
        <w:numPr>
          <w:ilvl w:val="2"/>
          <w:numId w:val="0"/>
        </w:numPr>
        <w:spacing w:before="156" w:after="156"/>
        <w:outlineLvl w:val="9"/>
        <w:rPr>
          <w:rFonts w:hint="eastAsia"/>
          <w:highlight w:val="none"/>
          <w:lang w:val="en-US" w:eastAsia="zh-CN"/>
        </w:rPr>
      </w:pPr>
      <w:r>
        <w:rPr>
          <w:rFonts w:hint="eastAsia" w:cs="Times New Roman"/>
          <w:highlight w:val="none"/>
          <w:lang w:val="en-US" w:eastAsia="zh-CN"/>
        </w:rPr>
        <w:t>A 3.5.2 水质净化量</w:t>
      </w:r>
    </w:p>
    <w:p w14:paraId="2D4141EA">
      <w:pPr>
        <w:pStyle w:val="25"/>
        <w:keepNext w:val="0"/>
        <w:keepLines w:val="0"/>
        <w:pageBreakBefore w:val="0"/>
        <w:widowControl/>
        <w:kinsoku/>
        <w:wordWrap/>
        <w:overflowPunct/>
        <w:topLinePunct w:val="0"/>
        <w:bidi w:val="0"/>
        <w:adjustRightInd/>
        <w:snapToGrid/>
        <w:textAlignment w:val="auto"/>
        <w:outlineLvl w:val="9"/>
        <w:rPr>
          <w:rFonts w:hint="eastAsia" w:ascii="宋体" w:hAnsi="Times New Roman" w:eastAsia="宋体" w:cs="Times New Roman"/>
          <w:i w:val="0"/>
          <w:iCs w:val="0"/>
          <w:caps w:val="0"/>
          <w:color w:val="auto"/>
          <w:spacing w:val="0"/>
          <w:sz w:val="21"/>
          <w:szCs w:val="20"/>
          <w:highlight w:val="none"/>
          <w:shd w:val="clear" w:color="auto" w:fill="auto"/>
          <w:lang w:val="en-US" w:eastAsia="zh-CN" w:bidi="ar"/>
        </w:rPr>
      </w:pPr>
      <w:r>
        <w:rPr>
          <w:rFonts w:hint="eastAsia" w:cs="Times New Roman"/>
          <w:i w:val="0"/>
          <w:iCs w:val="0"/>
          <w:caps w:val="0"/>
          <w:spacing w:val="0"/>
          <w:sz w:val="21"/>
          <w:szCs w:val="20"/>
          <w:shd w:val="clear"/>
          <w:lang w:val="en-US" w:eastAsia="zh-CN" w:bidi="ar"/>
        </w:rPr>
        <w:t>指</w:t>
      </w:r>
      <w:r>
        <w:rPr>
          <w:rFonts w:hint="eastAsia" w:ascii="宋体" w:hAnsi="Times New Roman" w:eastAsia="宋体" w:cs="Times New Roman"/>
          <w:i w:val="0"/>
          <w:iCs w:val="0"/>
          <w:caps w:val="0"/>
          <w:spacing w:val="0"/>
          <w:sz w:val="21"/>
          <w:szCs w:val="20"/>
          <w:shd w:val="clear"/>
          <w:lang w:val="en-US" w:eastAsia="zh-CN" w:bidi="ar"/>
        </w:rPr>
        <w:t>生态系统通过物理和生化过程对水体污染物吸附、降解以及生物吸收等方式</w:t>
      </w:r>
      <w:r>
        <w:rPr>
          <w:rFonts w:hint="eastAsia" w:cs="Times New Roman"/>
          <w:i w:val="0"/>
          <w:iCs w:val="0"/>
          <w:caps w:val="0"/>
          <w:spacing w:val="0"/>
          <w:sz w:val="21"/>
          <w:szCs w:val="20"/>
          <w:shd w:val="clear"/>
          <w:lang w:val="en-US" w:eastAsia="zh-CN" w:bidi="ar"/>
        </w:rPr>
        <w:t>，</w:t>
      </w:r>
      <w:r>
        <w:rPr>
          <w:rFonts w:hint="eastAsia" w:ascii="宋体" w:hAnsi="Times New Roman" w:eastAsia="宋体" w:cs="Times New Roman"/>
          <w:i w:val="0"/>
          <w:iCs w:val="0"/>
          <w:caps w:val="0"/>
          <w:spacing w:val="0"/>
          <w:sz w:val="21"/>
          <w:szCs w:val="20"/>
          <w:shd w:val="clear"/>
          <w:lang w:val="en-US" w:eastAsia="zh-CN" w:bidi="ar"/>
        </w:rPr>
        <w:t>降低水体污染物浓度</w:t>
      </w:r>
      <w:r>
        <w:rPr>
          <w:rFonts w:hint="eastAsia" w:cs="Times New Roman"/>
          <w:i w:val="0"/>
          <w:iCs w:val="0"/>
          <w:caps w:val="0"/>
          <w:spacing w:val="0"/>
          <w:sz w:val="21"/>
          <w:szCs w:val="20"/>
          <w:shd w:val="clear"/>
          <w:lang w:val="en-US" w:eastAsia="zh-CN" w:bidi="ar"/>
        </w:rPr>
        <w:t>，</w:t>
      </w:r>
      <w:r>
        <w:rPr>
          <w:rFonts w:hint="eastAsia" w:ascii="宋体" w:hAnsi="Times New Roman" w:eastAsia="宋体" w:cs="Times New Roman"/>
          <w:i w:val="0"/>
          <w:iCs w:val="0"/>
          <w:caps w:val="0"/>
          <w:spacing w:val="0"/>
          <w:sz w:val="21"/>
          <w:szCs w:val="20"/>
          <w:shd w:val="clear"/>
          <w:lang w:val="en-US" w:eastAsia="zh-CN" w:bidi="ar"/>
        </w:rPr>
        <w:t>净化水环境的功能</w:t>
      </w:r>
      <w:r>
        <w:rPr>
          <w:rFonts w:hint="eastAsia" w:cs="Times New Roman"/>
          <w:i w:val="0"/>
          <w:iCs w:val="0"/>
          <w:caps w:val="0"/>
          <w:spacing w:val="0"/>
          <w:sz w:val="21"/>
          <w:szCs w:val="20"/>
          <w:shd w:val="clear"/>
          <w:lang w:val="en-US" w:eastAsia="zh-CN" w:bidi="ar"/>
        </w:rPr>
        <w:t>。</w:t>
      </w:r>
      <w:r>
        <w:rPr>
          <w:rFonts w:hint="eastAsia" w:ascii="Times New Roman"/>
          <w:color w:val="000000"/>
          <w:szCs w:val="24"/>
          <w:highlight w:val="none"/>
          <w:shd w:val="clear" w:color="auto" w:fill="auto"/>
          <w:lang w:val="en-US" w:eastAsia="zh-CN" w:bidi="ar"/>
        </w:rPr>
        <w:t>计算方案按照</w:t>
      </w:r>
      <w:r>
        <w:rPr>
          <w:rFonts w:hint="eastAsia"/>
          <w:lang w:eastAsia="zh-CN"/>
        </w:rPr>
        <w:t>GB/T</w:t>
      </w:r>
      <w:r>
        <w:t>43678</w:t>
      </w:r>
      <w:r>
        <w:rPr>
          <w:rFonts w:hint="eastAsia"/>
          <w:lang w:eastAsia="zh-CN"/>
        </w:rPr>
        <w:t>，</w:t>
      </w:r>
      <w:r>
        <w:rPr>
          <w:rFonts w:hint="eastAsia"/>
          <w:lang w:val="en-US" w:eastAsia="zh-CN"/>
        </w:rPr>
        <w:t>A.8.2执行。</w:t>
      </w:r>
    </w:p>
    <w:p w14:paraId="6558C9B2">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w:t>
      </w:r>
      <w:r>
        <w:rPr>
          <w:rFonts w:hint="eastAsia" w:cs="Times New Roman"/>
          <w:highlight w:val="none"/>
          <w:lang w:val="en-US" w:eastAsia="zh-CN"/>
        </w:rPr>
        <w:t>6</w:t>
      </w:r>
      <w:r>
        <w:rPr>
          <w:rFonts w:hint="eastAsia" w:hAnsi="Times New Roman" w:cs="Times New Roman"/>
          <w:highlight w:val="none"/>
          <w:lang w:val="en-US" w:eastAsia="zh-CN"/>
        </w:rPr>
        <w:t>生物多样性维护能力</w:t>
      </w:r>
    </w:p>
    <w:p w14:paraId="33538204">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w:t>
      </w:r>
      <w:r>
        <w:rPr>
          <w:rFonts w:hint="eastAsia" w:cs="Times New Roman"/>
          <w:highlight w:val="none"/>
          <w:lang w:val="en-US" w:eastAsia="zh-CN"/>
        </w:rPr>
        <w:t>6</w:t>
      </w:r>
      <w:r>
        <w:rPr>
          <w:rFonts w:hint="eastAsia" w:hAnsi="Times New Roman" w:cs="Times New Roman"/>
          <w:highlight w:val="none"/>
          <w:lang w:val="en-US" w:eastAsia="zh-CN"/>
        </w:rPr>
        <w:t>.</w:t>
      </w:r>
      <w:r>
        <w:rPr>
          <w:rFonts w:hint="eastAsia" w:cs="Times New Roman"/>
          <w:highlight w:val="none"/>
          <w:lang w:val="en-US" w:eastAsia="zh-CN"/>
        </w:rPr>
        <w:t>1</w:t>
      </w:r>
      <w:r>
        <w:rPr>
          <w:rFonts w:hint="eastAsia" w:hAnsi="Times New Roman" w:cs="Times New Roman"/>
          <w:highlight w:val="none"/>
          <w:lang w:val="en-US" w:eastAsia="zh-CN"/>
        </w:rPr>
        <w:t>本地物种数目</w:t>
      </w:r>
    </w:p>
    <w:p w14:paraId="26861E33">
      <w:pPr>
        <w:pStyle w:val="25"/>
        <w:keepNext w:val="0"/>
        <w:keepLines w:val="0"/>
        <w:pageBreakBefore w:val="0"/>
        <w:widowControl/>
        <w:kinsoku/>
        <w:wordWrap/>
        <w:overflowPunct/>
        <w:topLinePunct w:val="0"/>
        <w:bidi w:val="0"/>
        <w:adjustRightInd/>
        <w:snapToGrid/>
        <w:textAlignment w:val="auto"/>
        <w:outlineLvl w:val="9"/>
        <w:rPr>
          <w:rFonts w:hint="eastAsia"/>
          <w:highlight w:val="none"/>
          <w:lang w:val="en-US" w:eastAsia="zh-CN"/>
        </w:rPr>
      </w:pPr>
      <w:r>
        <w:rPr>
          <w:rFonts w:hint="eastAsia" w:cs="Times New Roman"/>
          <w:highlight w:val="none"/>
          <w:lang w:val="en-US" w:eastAsia="zh-CN"/>
        </w:rPr>
        <w:t>单元</w:t>
      </w:r>
      <w:r>
        <w:rPr>
          <w:rFonts w:hint="eastAsia" w:ascii="宋体" w:hAnsi="Times New Roman" w:eastAsia="宋体" w:cs="Times New Roman"/>
          <w:highlight w:val="none"/>
          <w:lang w:val="en-US" w:eastAsia="zh-CN"/>
        </w:rPr>
        <w:t>内本地物种数目，反映本地生态系统的保持情况。通过</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地面调查（采用样方调查方法统计生态系统群落中物种数目的多少）或林草等部门数据获取。</w:t>
      </w:r>
    </w:p>
    <w:p w14:paraId="1C7BE97E">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ascii="宋体" w:hAnsi="Times New Roman" w:eastAsia="宋体" w:cs="Times New Roman"/>
          <w:highlight w:val="none"/>
          <w:vertAlign w:val="baseline"/>
          <w:lang w:val="en-US" w:eastAsia="zh-CN"/>
        </w:rPr>
      </w:pPr>
      <w:r>
        <w:rPr>
          <w:rFonts w:hint="eastAsia" w:hAnsi="Times New Roman" w:cs="Times New Roman"/>
          <w:highlight w:val="none"/>
          <w:lang w:val="en-US" w:eastAsia="zh-CN"/>
        </w:rPr>
        <w:t>A.3.</w:t>
      </w:r>
      <w:r>
        <w:rPr>
          <w:rFonts w:hint="eastAsia" w:cs="Times New Roman"/>
          <w:highlight w:val="none"/>
          <w:lang w:val="en-US" w:eastAsia="zh-CN"/>
        </w:rPr>
        <w:t>6</w:t>
      </w:r>
      <w:r>
        <w:rPr>
          <w:rFonts w:hint="eastAsia" w:hAnsi="Times New Roman" w:cs="Times New Roman"/>
          <w:highlight w:val="none"/>
          <w:lang w:val="en-US" w:eastAsia="zh-CN"/>
        </w:rPr>
        <w:t>.</w:t>
      </w:r>
      <w:r>
        <w:rPr>
          <w:rFonts w:hint="eastAsia" w:cs="Times New Roman"/>
          <w:highlight w:val="none"/>
          <w:lang w:val="en-US" w:eastAsia="zh-CN"/>
        </w:rPr>
        <w:t>2</w:t>
      </w:r>
      <w:r>
        <w:rPr>
          <w:rFonts w:hint="eastAsia" w:hAnsi="Times New Roman" w:cs="Times New Roman"/>
          <w:highlight w:val="none"/>
          <w:lang w:val="en-US" w:eastAsia="zh-CN"/>
        </w:rPr>
        <w:t xml:space="preserve"> 动物物种数</w:t>
      </w:r>
      <w:r>
        <w:rPr>
          <w:rFonts w:hint="eastAsia" w:ascii="宋体" w:hAnsi="Times New Roman" w:eastAsia="宋体" w:cs="Times New Roman"/>
          <w:highlight w:val="none"/>
          <w:vertAlign w:val="baseline"/>
          <w:lang w:val="en-US" w:eastAsia="zh-CN"/>
        </w:rPr>
        <w:t xml:space="preserve"> </w:t>
      </w:r>
    </w:p>
    <w:p w14:paraId="04B1956E">
      <w:pPr>
        <w:keepNext w:val="0"/>
        <w:keepLines w:val="0"/>
        <w:widowControl/>
        <w:suppressLineNumbers w:val="0"/>
        <w:ind w:firstLine="420" w:firstLineChars="200"/>
        <w:jc w:val="left"/>
        <w:rPr>
          <w:rFonts w:hint="eastAsia"/>
          <w:highlight w:val="none"/>
          <w:lang w:val="en-US" w:eastAsia="zh-CN"/>
        </w:rPr>
      </w:pPr>
      <w:r>
        <w:rPr>
          <w:rFonts w:hint="eastAsia" w:ascii="宋体" w:cs="Times New Roman"/>
          <w:kern w:val="0"/>
          <w:sz w:val="21"/>
          <w:szCs w:val="20"/>
          <w:highlight w:val="none"/>
          <w:lang w:val="en-US" w:eastAsia="zh-CN" w:bidi="ar-SA"/>
        </w:rPr>
        <w:t>单元</w:t>
      </w:r>
      <w:r>
        <w:rPr>
          <w:rFonts w:hint="eastAsia" w:ascii="宋体" w:hAnsi="Times New Roman" w:eastAsia="宋体" w:cs="Times New Roman"/>
          <w:kern w:val="0"/>
          <w:sz w:val="21"/>
          <w:szCs w:val="20"/>
          <w:highlight w:val="none"/>
          <w:lang w:val="en-US" w:eastAsia="zh-CN" w:bidi="ar-SA"/>
        </w:rPr>
        <w:t>内哺乳动物、爬行动物等的物种数量。</w:t>
      </w:r>
      <w:r>
        <w:rPr>
          <w:rFonts w:hint="eastAsia" w:ascii="宋体" w:hAnsi="Times New Roman" w:eastAsia="宋体" w:cs="Times New Roman"/>
          <w:highlight w:val="none"/>
          <w:lang w:val="en-US" w:eastAsia="zh-CN"/>
        </w:rPr>
        <w:t>采用现场调查或资料收集方法获取。</w:t>
      </w:r>
    </w:p>
    <w:p w14:paraId="2B2E21AB">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w:t>
      </w:r>
      <w:r>
        <w:rPr>
          <w:rFonts w:hint="eastAsia" w:cs="Times New Roman"/>
          <w:highlight w:val="none"/>
          <w:lang w:val="en-US" w:eastAsia="zh-CN"/>
        </w:rPr>
        <w:t>6</w:t>
      </w:r>
      <w:r>
        <w:rPr>
          <w:rFonts w:hint="eastAsia" w:hAnsi="Times New Roman" w:cs="Times New Roman"/>
          <w:highlight w:val="none"/>
          <w:lang w:val="en-US" w:eastAsia="zh-CN"/>
        </w:rPr>
        <w:t>.</w:t>
      </w:r>
      <w:r>
        <w:rPr>
          <w:rFonts w:hint="eastAsia" w:cs="Times New Roman"/>
          <w:highlight w:val="none"/>
          <w:lang w:val="en-US" w:eastAsia="zh-CN"/>
        </w:rPr>
        <w:t>3</w:t>
      </w:r>
      <w:r>
        <w:rPr>
          <w:rFonts w:hint="eastAsia" w:hAnsi="Times New Roman" w:cs="Times New Roman"/>
          <w:highlight w:val="none"/>
          <w:lang w:val="en-US" w:eastAsia="zh-CN"/>
        </w:rPr>
        <w:t>优势植物</w:t>
      </w:r>
      <w:r>
        <w:rPr>
          <w:rFonts w:hint="eastAsia" w:cs="Times New Roman"/>
          <w:highlight w:val="none"/>
          <w:lang w:val="en-US" w:eastAsia="zh-CN"/>
        </w:rPr>
        <w:t>物</w:t>
      </w:r>
      <w:r>
        <w:rPr>
          <w:rFonts w:hint="eastAsia" w:hAnsi="Times New Roman" w:cs="Times New Roman"/>
          <w:highlight w:val="none"/>
          <w:lang w:val="en-US" w:eastAsia="zh-CN"/>
        </w:rPr>
        <w:t>种构成</w:t>
      </w:r>
    </w:p>
    <w:p w14:paraId="41FB580B">
      <w:pPr>
        <w:pStyle w:val="25"/>
        <w:keepNext w:val="0"/>
        <w:keepLines w:val="0"/>
        <w:pageBreakBefore w:val="0"/>
        <w:widowControl/>
        <w:kinsoku/>
        <w:wordWrap/>
        <w:overflowPunct/>
        <w:topLinePunct w:val="0"/>
        <w:bidi w:val="0"/>
        <w:adjustRightInd/>
        <w:snapToGrid/>
        <w:textAlignment w:val="auto"/>
        <w:outlineLvl w:val="9"/>
        <w:rPr>
          <w:rFonts w:hint="eastAsia" w:ascii="宋体" w:hAnsi="Times New Roman" w:eastAsia="宋体" w:cs="Times New Roman"/>
          <w:highlight w:val="none"/>
          <w:lang w:val="en-US" w:eastAsia="zh-CN"/>
        </w:rPr>
      </w:pPr>
      <w:r>
        <w:rPr>
          <w:rFonts w:hint="eastAsia" w:ascii="宋体" w:hAnsi="Times New Roman" w:eastAsia="宋体" w:cs="Times New Roman"/>
          <w:highlight w:val="none"/>
          <w:lang w:val="en-US" w:eastAsia="zh-CN"/>
        </w:rPr>
        <w:t>植物群落中，</w:t>
      </w:r>
      <w:r>
        <w:rPr>
          <w:rFonts w:hint="default" w:ascii="宋体" w:hAnsi="Times New Roman" w:eastAsia="宋体" w:cs="Times New Roman"/>
          <w:highlight w:val="none"/>
          <w:lang w:val="en-US" w:eastAsia="zh-CN"/>
        </w:rPr>
        <w:t>个体数量、生态作用均占优势</w:t>
      </w:r>
      <w:r>
        <w:rPr>
          <w:rFonts w:hint="eastAsia" w:ascii="宋体" w:hAnsi="Times New Roman" w:eastAsia="宋体" w:cs="Times New Roman"/>
          <w:highlight w:val="none"/>
          <w:lang w:val="en-US" w:eastAsia="zh-CN"/>
        </w:rPr>
        <w:t>，</w:t>
      </w:r>
      <w:r>
        <w:rPr>
          <w:rFonts w:hint="default" w:ascii="宋体" w:hAnsi="Times New Roman" w:eastAsia="宋体" w:cs="Times New Roman"/>
          <w:highlight w:val="none"/>
          <w:lang w:val="en-US" w:eastAsia="zh-CN"/>
        </w:rPr>
        <w:t>且在群落性质和生态过程方面起着决定作用的物种的组成情况</w:t>
      </w:r>
      <w:r>
        <w:rPr>
          <w:rFonts w:hint="eastAsia" w:ascii="宋体" w:hAnsi="Times New Roman" w:eastAsia="宋体" w:cs="Times New Roman"/>
          <w:highlight w:val="none"/>
          <w:lang w:val="en-US" w:eastAsia="zh-CN"/>
        </w:rPr>
        <w:t>。采用现场调查或资料收集方法获取,</w:t>
      </w:r>
      <w:r>
        <w:rPr>
          <w:rFonts w:hint="eastAsia" w:ascii="Times New Roman" w:cs="Times New Roman"/>
          <w:i w:val="0"/>
          <w:iCs w:val="0"/>
          <w:caps w:val="0"/>
          <w:color w:val="000000"/>
          <w:spacing w:val="0"/>
          <w:sz w:val="21"/>
          <w:szCs w:val="24"/>
          <w:highlight w:val="none"/>
          <w:shd w:val="clear" w:color="auto" w:fill="auto"/>
          <w:lang w:val="en-US" w:eastAsia="zh-CN" w:bidi="ar"/>
        </w:rPr>
        <w:t>按照GB/T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43681，C.3.2</w:t>
      </w:r>
      <w:r>
        <w:rPr>
          <w:rFonts w:hint="eastAsia" w:ascii="Times New Roman" w:cs="Times New Roman"/>
          <w:i w:val="0"/>
          <w:iCs w:val="0"/>
          <w:caps w:val="0"/>
          <w:color w:val="000000"/>
          <w:spacing w:val="0"/>
          <w:sz w:val="21"/>
          <w:szCs w:val="24"/>
          <w:highlight w:val="none"/>
          <w:shd w:val="clear" w:color="auto" w:fill="auto"/>
          <w:lang w:val="en-US" w:eastAsia="zh-CN" w:bidi="ar"/>
        </w:rPr>
        <w:t>要求执行</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p>
    <w:p w14:paraId="55BA089F">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w:t>
      </w:r>
      <w:r>
        <w:rPr>
          <w:rFonts w:hint="eastAsia" w:cs="Times New Roman"/>
          <w:highlight w:val="none"/>
          <w:lang w:val="en-US" w:eastAsia="zh-CN"/>
        </w:rPr>
        <w:t>6</w:t>
      </w:r>
      <w:r>
        <w:rPr>
          <w:rFonts w:hint="eastAsia" w:hAnsi="Times New Roman" w:cs="Times New Roman"/>
          <w:highlight w:val="none"/>
          <w:lang w:val="en-US" w:eastAsia="zh-CN"/>
        </w:rPr>
        <w:t>.4珍稀濒危物种数量</w:t>
      </w:r>
    </w:p>
    <w:p w14:paraId="6A16CBB6">
      <w:pPr>
        <w:keepNext w:val="0"/>
        <w:keepLines w:val="0"/>
        <w:widowControl/>
        <w:suppressLineNumbers w:val="0"/>
        <w:ind w:firstLine="420" w:firstLineChars="200"/>
        <w:jc w:val="left"/>
        <w:rPr>
          <w:rFonts w:hint="eastAsia" w:hAnsi="Times New Roman" w:cs="Times New Roman"/>
          <w:highlight w:val="none"/>
          <w:lang w:val="en-US" w:eastAsia="zh-CN"/>
        </w:rPr>
      </w:pPr>
      <w:r>
        <w:rPr>
          <w:rFonts w:hint="eastAsia" w:ascii="宋体" w:hAnsi="Times New Roman" w:eastAsia="宋体" w:cs="Times New Roman"/>
          <w:highlight w:val="none"/>
          <w:lang w:val="en-US" w:eastAsia="zh-CN"/>
        </w:rPr>
        <w:t>国家重点保护野生物种名录及世界自然保护联盟红色名录中的极危、濒危级别物种的数量。采用资料收集或实地调查统计的方法获取。</w:t>
      </w:r>
    </w:p>
    <w:p w14:paraId="5D8D215C">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A.3.</w:t>
      </w:r>
      <w:r>
        <w:rPr>
          <w:rFonts w:hint="eastAsia" w:cs="Times New Roman"/>
          <w:highlight w:val="none"/>
          <w:lang w:val="en-US" w:eastAsia="zh-CN"/>
        </w:rPr>
        <w:t>6</w:t>
      </w:r>
      <w:r>
        <w:rPr>
          <w:rFonts w:hint="eastAsia" w:hAnsi="Times New Roman" w:cs="Times New Roman"/>
          <w:highlight w:val="none"/>
          <w:lang w:val="en-US" w:eastAsia="zh-CN"/>
        </w:rPr>
        <w:t>.</w:t>
      </w:r>
      <w:r>
        <w:rPr>
          <w:rFonts w:hint="eastAsia" w:cs="Times New Roman"/>
          <w:highlight w:val="none"/>
          <w:lang w:val="en-US" w:eastAsia="zh-CN"/>
        </w:rPr>
        <w:t>5</w:t>
      </w:r>
      <w:r>
        <w:rPr>
          <w:rFonts w:hint="eastAsia" w:hAnsi="Times New Roman" w:cs="Times New Roman"/>
          <w:highlight w:val="none"/>
          <w:lang w:val="en-US" w:eastAsia="zh-CN"/>
        </w:rPr>
        <w:t>水生植物生态类型</w:t>
      </w:r>
    </w:p>
    <w:p w14:paraId="362E44B0">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根据植物对水分适应类型的不同进行分类,分为挺水植物、浮水植物、沉水植物。采用现场调查或资料收集方法获取，具体调查方法</w:t>
      </w:r>
      <w:r>
        <w:rPr>
          <w:rFonts w:hint="eastAsia" w:ascii="Times New Roman" w:cs="Times New Roman"/>
          <w:highlight w:val="none"/>
          <w:lang w:val="en-US" w:eastAsia="zh-CN"/>
        </w:rPr>
        <w:t>按照</w:t>
      </w:r>
      <w:r>
        <w:rPr>
          <w:rFonts w:hint="default" w:ascii="Times New Roman" w:hAnsi="Times New Roman" w:eastAsia="宋体" w:cs="Times New Roman"/>
          <w:highlight w:val="none"/>
          <w:lang w:val="en-US" w:eastAsia="zh-CN"/>
        </w:rPr>
        <w:t xml:space="preserve"> HJ710.1和 HJ710.12</w:t>
      </w:r>
      <w:r>
        <w:rPr>
          <w:rFonts w:hint="eastAsia" w:ascii="Times New Roman" w:cs="Times New Roman"/>
          <w:highlight w:val="none"/>
          <w:lang w:val="en-US" w:eastAsia="zh-CN"/>
        </w:rPr>
        <w:t>相关要求执行</w:t>
      </w:r>
      <w:r>
        <w:rPr>
          <w:rFonts w:hint="default" w:ascii="Times New Roman" w:hAnsi="Times New Roman" w:eastAsia="宋体" w:cs="Times New Roman"/>
          <w:highlight w:val="none"/>
          <w:lang w:val="en-US" w:eastAsia="zh-CN"/>
        </w:rPr>
        <w:t>。</w:t>
      </w:r>
    </w:p>
    <w:p w14:paraId="091FBE00">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w:t>
      </w:r>
      <w:r>
        <w:rPr>
          <w:rFonts w:hint="eastAsia" w:cs="Times New Roman"/>
          <w:highlight w:val="none"/>
          <w:lang w:val="en-US" w:eastAsia="zh-CN"/>
        </w:rPr>
        <w:t>3</w:t>
      </w:r>
      <w:r>
        <w:rPr>
          <w:rFonts w:hint="eastAsia" w:hAnsi="Times New Roman" w:cs="Times New Roman"/>
          <w:highlight w:val="none"/>
          <w:lang w:val="en-US" w:eastAsia="zh-CN"/>
        </w:rPr>
        <w:t>.</w:t>
      </w:r>
      <w:r>
        <w:rPr>
          <w:rFonts w:hint="eastAsia" w:cs="Times New Roman"/>
          <w:highlight w:val="none"/>
          <w:lang w:val="en-US" w:eastAsia="zh-CN"/>
        </w:rPr>
        <w:t>7供给服务能力</w:t>
      </w:r>
    </w:p>
    <w:p w14:paraId="1C33E946">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w:t>
      </w:r>
      <w:r>
        <w:rPr>
          <w:rFonts w:hint="eastAsia" w:cs="Times New Roman"/>
          <w:color w:val="000000"/>
          <w:highlight w:val="none"/>
          <w:lang w:val="en-US" w:eastAsia="zh-CN"/>
        </w:rPr>
        <w:t>3</w:t>
      </w:r>
      <w:r>
        <w:rPr>
          <w:rFonts w:hint="eastAsia" w:hAnsi="Times New Roman" w:cs="Times New Roman"/>
          <w:color w:val="000000"/>
          <w:highlight w:val="none"/>
          <w:lang w:val="en-US" w:eastAsia="zh-CN"/>
        </w:rPr>
        <w:t>.</w:t>
      </w:r>
      <w:r>
        <w:rPr>
          <w:rFonts w:hint="eastAsia" w:cs="Times New Roman"/>
          <w:color w:val="000000"/>
          <w:highlight w:val="none"/>
          <w:lang w:val="en-US" w:eastAsia="zh-CN"/>
        </w:rPr>
        <w:t>7</w:t>
      </w:r>
      <w:r>
        <w:rPr>
          <w:rFonts w:hint="eastAsia" w:hAnsi="Times New Roman" w:cs="Times New Roman"/>
          <w:color w:val="000000"/>
          <w:highlight w:val="none"/>
          <w:lang w:val="en-US" w:eastAsia="zh-CN"/>
        </w:rPr>
        <w:t>.1水资源利用量</w:t>
      </w:r>
    </w:p>
    <w:p w14:paraId="3AD51A36">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highlight w:val="none"/>
          <w:lang w:val="en-US" w:eastAsia="zh-CN"/>
        </w:rPr>
      </w:pPr>
      <w:r>
        <w:rPr>
          <w:rFonts w:hint="default" w:ascii="Times New Roman" w:cs="Times New Roman"/>
          <w:highlight w:val="none"/>
          <w:lang w:val="en-US" w:eastAsia="zh-CN"/>
        </w:rPr>
        <w:t>单元</w:t>
      </w:r>
      <w:r>
        <w:rPr>
          <w:rFonts w:hint="eastAsia" w:ascii="Times New Roman" w:hAnsi="Times New Roman" w:eastAsia="宋体" w:cs="Times New Roman"/>
          <w:highlight w:val="none"/>
          <w:lang w:val="en-US" w:eastAsia="zh-CN"/>
        </w:rPr>
        <w:t>内每年的用水总量</w:t>
      </w:r>
      <w:r>
        <w:rPr>
          <w:rFonts w:hint="eastAsia" w:ascii="Times New Roman" w:cs="Times New Roman"/>
          <w:highlight w:val="none"/>
          <w:lang w:val="en-US" w:eastAsia="zh-CN"/>
        </w:rPr>
        <w:t>。基于生态单元所属行政区域区域水资源公报的材料获取相应数值，再结合面积、人口分布等参数按比例对生态单元对应数值的测算。</w:t>
      </w:r>
    </w:p>
    <w:p w14:paraId="1FCA41B5">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w:t>
      </w:r>
      <w:r>
        <w:rPr>
          <w:rFonts w:hint="eastAsia" w:cs="Times New Roman"/>
          <w:color w:val="000000"/>
          <w:highlight w:val="none"/>
          <w:lang w:val="en-US" w:eastAsia="zh-CN"/>
        </w:rPr>
        <w:t>3</w:t>
      </w:r>
      <w:r>
        <w:rPr>
          <w:rFonts w:hint="eastAsia" w:hAnsi="Times New Roman" w:cs="Times New Roman"/>
          <w:color w:val="000000"/>
          <w:highlight w:val="none"/>
          <w:lang w:val="en-US" w:eastAsia="zh-CN"/>
        </w:rPr>
        <w:t>.</w:t>
      </w:r>
      <w:r>
        <w:rPr>
          <w:rFonts w:hint="eastAsia" w:cs="Times New Roman"/>
          <w:color w:val="000000"/>
          <w:highlight w:val="none"/>
          <w:lang w:val="en-US" w:eastAsia="zh-CN"/>
        </w:rPr>
        <w:t>7</w:t>
      </w:r>
      <w:r>
        <w:rPr>
          <w:rFonts w:hint="eastAsia" w:hAnsi="Times New Roman" w:cs="Times New Roman"/>
          <w:color w:val="000000"/>
          <w:highlight w:val="none"/>
          <w:lang w:val="en-US" w:eastAsia="zh-CN"/>
        </w:rPr>
        <w:t>.2草地载畜压力</w:t>
      </w:r>
    </w:p>
    <w:p w14:paraId="2634B995">
      <w:pPr>
        <w:keepNext w:val="0"/>
        <w:keepLines w:val="0"/>
        <w:widowControl/>
        <w:suppressLineNumbers w:val="0"/>
        <w:ind w:firstLine="420" w:firstLineChars="200"/>
        <w:jc w:val="left"/>
        <w:rPr>
          <w:rFonts w:hint="eastAsia"/>
          <w:highlight w:val="none"/>
          <w:lang w:val="en-US" w:eastAsia="zh-CN"/>
        </w:rPr>
      </w:pPr>
      <w:r>
        <w:rPr>
          <w:rFonts w:hint="eastAsia" w:ascii="Times New Roman" w:hAnsi="Times New Roman" w:eastAsia="宋体" w:cs="Times New Roman"/>
          <w:kern w:val="0"/>
          <w:sz w:val="21"/>
          <w:szCs w:val="20"/>
          <w:highlight w:val="none"/>
          <w:lang w:val="en-US" w:eastAsia="zh-CN" w:bidi="ar-SA"/>
        </w:rPr>
        <w:t>指</w:t>
      </w:r>
      <w:r>
        <w:rPr>
          <w:rFonts w:hint="eastAsia" w:cs="Times New Roman"/>
          <w:kern w:val="0"/>
          <w:sz w:val="21"/>
          <w:szCs w:val="20"/>
          <w:highlight w:val="none"/>
          <w:lang w:val="en-US" w:eastAsia="zh-CN" w:bidi="ar-SA"/>
        </w:rPr>
        <w:t>单元</w:t>
      </w:r>
      <w:r>
        <w:rPr>
          <w:rFonts w:hint="eastAsia" w:ascii="Times New Roman" w:hAnsi="Times New Roman" w:eastAsia="宋体" w:cs="Times New Roman"/>
          <w:kern w:val="0"/>
          <w:sz w:val="21"/>
          <w:szCs w:val="20"/>
          <w:highlight w:val="none"/>
          <w:lang w:val="en-US" w:eastAsia="zh-CN" w:bidi="ar-SA"/>
        </w:rPr>
        <w:t>内实际载畜量与理论载畜量的比值。其中，实际载畜量指一定面积的草地，在一定的利用时间段内，实际承养的家畜数量。理论载畜量指一定的草地面积，在某一利用时段内，在适度放牧（或割草）利用并维持草地可持续生产的前提下，满足家畜正常生长、繁殖、生产的需要，所能承载的最多家畜数量。主要以资料调查和实地调查的方式获取。</w:t>
      </w:r>
    </w:p>
    <w:p w14:paraId="14CA044F">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w:t>
      </w:r>
      <w:r>
        <w:rPr>
          <w:rFonts w:hint="eastAsia" w:cs="Times New Roman"/>
          <w:color w:val="000000"/>
          <w:highlight w:val="none"/>
          <w:lang w:val="en-US" w:eastAsia="zh-CN"/>
        </w:rPr>
        <w:t>3</w:t>
      </w:r>
      <w:r>
        <w:rPr>
          <w:rFonts w:hint="eastAsia" w:hAnsi="Times New Roman" w:cs="Times New Roman"/>
          <w:color w:val="000000"/>
          <w:highlight w:val="none"/>
          <w:lang w:val="en-US" w:eastAsia="zh-CN"/>
        </w:rPr>
        <w:t>.</w:t>
      </w:r>
      <w:r>
        <w:rPr>
          <w:rFonts w:hint="eastAsia" w:cs="Times New Roman"/>
          <w:color w:val="000000"/>
          <w:highlight w:val="none"/>
          <w:lang w:val="en-US" w:eastAsia="zh-CN"/>
        </w:rPr>
        <w:t>7</w:t>
      </w:r>
      <w:r>
        <w:rPr>
          <w:rFonts w:hint="eastAsia" w:hAnsi="Times New Roman" w:cs="Times New Roman"/>
          <w:color w:val="000000"/>
          <w:highlight w:val="none"/>
          <w:lang w:val="en-US" w:eastAsia="zh-CN"/>
        </w:rPr>
        <w:t>.3水产捕捞量</w:t>
      </w:r>
    </w:p>
    <w:p w14:paraId="230CBE70">
      <w:pPr>
        <w:keepNext w:val="0"/>
        <w:keepLines w:val="0"/>
        <w:widowControl/>
        <w:suppressLineNumbers w:val="0"/>
        <w:ind w:firstLine="420" w:firstLineChars="200"/>
        <w:jc w:val="left"/>
        <w:rPr>
          <w:rFonts w:hint="eastAsia" w:ascii="Times New Roman" w:hAnsi="Times New Roman" w:eastAsia="宋体" w:cs="Times New Roman"/>
          <w:kern w:val="0"/>
          <w:sz w:val="21"/>
          <w:szCs w:val="20"/>
          <w:highlight w:val="none"/>
          <w:lang w:val="en-US" w:eastAsia="zh-CN" w:bidi="ar-SA"/>
        </w:rPr>
      </w:pPr>
      <w:r>
        <w:rPr>
          <w:rFonts w:hint="eastAsia" w:ascii="Times New Roman" w:hAnsi="Times New Roman" w:eastAsia="宋体" w:cs="Times New Roman"/>
          <w:kern w:val="0"/>
          <w:sz w:val="21"/>
          <w:szCs w:val="20"/>
          <w:highlight w:val="none"/>
          <w:lang w:val="en-US" w:eastAsia="zh-CN" w:bidi="ar-SA"/>
        </w:rPr>
        <w:t>天然水域内每年捕捞的鱼等水产重量。主要以资料调查和实地调查的方式获取。</w:t>
      </w:r>
    </w:p>
    <w:p w14:paraId="35218CAC">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w:t>
      </w:r>
      <w:r>
        <w:rPr>
          <w:rFonts w:hint="eastAsia" w:cs="Times New Roman"/>
          <w:color w:val="000000"/>
          <w:highlight w:val="none"/>
          <w:lang w:val="en-US" w:eastAsia="zh-CN"/>
        </w:rPr>
        <w:t>3</w:t>
      </w:r>
      <w:r>
        <w:rPr>
          <w:rFonts w:hint="eastAsia" w:hAnsi="Times New Roman" w:cs="Times New Roman"/>
          <w:color w:val="000000"/>
          <w:highlight w:val="none"/>
          <w:lang w:val="en-US" w:eastAsia="zh-CN"/>
        </w:rPr>
        <w:t>.</w:t>
      </w:r>
      <w:r>
        <w:rPr>
          <w:rFonts w:hint="eastAsia" w:cs="Times New Roman"/>
          <w:color w:val="000000"/>
          <w:highlight w:val="none"/>
          <w:lang w:val="en-US" w:eastAsia="zh-CN"/>
        </w:rPr>
        <w:t>7</w:t>
      </w:r>
      <w:r>
        <w:rPr>
          <w:rFonts w:hint="eastAsia" w:hAnsi="Times New Roman" w:cs="Times New Roman"/>
          <w:color w:val="000000"/>
          <w:highlight w:val="none"/>
          <w:lang w:val="en-US" w:eastAsia="zh-CN"/>
        </w:rPr>
        <w:t>.4木材砍伐量</w:t>
      </w:r>
    </w:p>
    <w:p w14:paraId="7C6BFAAC">
      <w:pPr>
        <w:keepNext w:val="0"/>
        <w:keepLines w:val="0"/>
        <w:widowControl/>
        <w:suppressLineNumbers w:val="0"/>
        <w:ind w:firstLine="420" w:firstLineChars="200"/>
        <w:jc w:val="left"/>
        <w:rPr>
          <w:rFonts w:hint="eastAsia" w:ascii="Times New Roman" w:hAnsi="Times New Roman" w:eastAsia="宋体" w:cs="Times New Roman"/>
          <w:kern w:val="0"/>
          <w:sz w:val="21"/>
          <w:szCs w:val="20"/>
          <w:highlight w:val="none"/>
          <w:lang w:val="en-US" w:eastAsia="zh-CN" w:bidi="ar-SA"/>
        </w:rPr>
      </w:pPr>
      <w:r>
        <w:rPr>
          <w:rFonts w:hint="eastAsia" w:cs="Times New Roman"/>
          <w:kern w:val="0"/>
          <w:sz w:val="21"/>
          <w:szCs w:val="20"/>
          <w:highlight w:val="none"/>
          <w:lang w:val="en-US" w:eastAsia="zh-CN" w:bidi="ar-SA"/>
        </w:rPr>
        <w:t>单元</w:t>
      </w:r>
      <w:r>
        <w:rPr>
          <w:rFonts w:hint="eastAsia" w:ascii="Times New Roman" w:hAnsi="Times New Roman" w:eastAsia="宋体" w:cs="Times New Roman"/>
          <w:kern w:val="0"/>
          <w:sz w:val="21"/>
          <w:szCs w:val="20"/>
          <w:highlight w:val="none"/>
          <w:lang w:val="en-US" w:eastAsia="zh-CN" w:bidi="ar-SA"/>
        </w:rPr>
        <w:t>内每年砍伐的木材的体积。主要以资料调查和实地调查的方式获取。</w:t>
      </w:r>
    </w:p>
    <w:p w14:paraId="3CB630BF">
      <w:pPr>
        <w:pStyle w:val="61"/>
        <w:numPr>
          <w:ilvl w:val="2"/>
          <w:numId w:val="0"/>
        </w:numPr>
        <w:bidi w:val="0"/>
        <w:spacing w:before="156" w:after="156"/>
        <w:ind w:left="0" w:leftChars="0" w:firstLine="0" w:firstLineChars="0"/>
        <w:outlineLvl w:val="9"/>
        <w:rPr>
          <w:rFonts w:hint="eastAsia"/>
          <w:highlight w:val="none"/>
          <w:lang w:val="en-US" w:eastAsia="zh-CN"/>
        </w:rPr>
      </w:pPr>
      <w:r>
        <w:rPr>
          <w:rFonts w:hint="eastAsia"/>
          <w:highlight w:val="none"/>
          <w:lang w:val="en-US" w:eastAsia="zh-CN"/>
        </w:rPr>
        <w:t>A.3.8文化服务能力</w:t>
      </w:r>
    </w:p>
    <w:p w14:paraId="77238BFD">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default" w:cs="Times New Roman"/>
          <w:color w:val="000000"/>
          <w:highlight w:val="none"/>
          <w:lang w:val="en-US" w:eastAsia="zh-CN"/>
        </w:rPr>
      </w:pPr>
      <w:r>
        <w:rPr>
          <w:rFonts w:hint="eastAsia" w:cs="Times New Roman"/>
          <w:color w:val="000000"/>
          <w:highlight w:val="none"/>
          <w:lang w:val="en-US" w:eastAsia="zh-CN"/>
        </w:rPr>
        <w:t>A.3.8.1景观受益面积</w:t>
      </w:r>
    </w:p>
    <w:p w14:paraId="466FFC35">
      <w:pPr>
        <w:ind w:firstLine="420" w:firstLineChars="200"/>
        <w:jc w:val="left"/>
        <w:rPr>
          <w:rFonts w:hint="eastAsia"/>
          <w:kern w:val="0"/>
          <w:szCs w:val="20"/>
          <w:highlight w:val="none"/>
          <w:lang w:val="en-US" w:eastAsia="zh-CN"/>
        </w:rPr>
      </w:pPr>
      <w:r>
        <w:rPr>
          <w:rFonts w:hint="eastAsia"/>
          <w:kern w:val="0"/>
          <w:szCs w:val="20"/>
          <w:highlight w:val="none"/>
          <w:lang w:val="en-US" w:eastAsia="zh-CN"/>
        </w:rPr>
        <w:t>生态系统为人类提供美学体验、精神愉悦，从而提高周边土地、房产价值的功能。调查统计受生态系统自然景观影响、产生溢价的土地与房产面积。</w:t>
      </w:r>
    </w:p>
    <w:p w14:paraId="337D2E2B">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w:t>
      </w:r>
      <w:r>
        <w:rPr>
          <w:rFonts w:hint="eastAsia" w:cs="Times New Roman"/>
          <w:color w:val="000000"/>
          <w:highlight w:val="none"/>
          <w:lang w:val="en-US" w:eastAsia="zh-CN"/>
        </w:rPr>
        <w:t>3</w:t>
      </w:r>
      <w:r>
        <w:rPr>
          <w:rFonts w:hint="eastAsia" w:hAnsi="Times New Roman" w:cs="Times New Roman"/>
          <w:color w:val="000000"/>
          <w:highlight w:val="none"/>
          <w:lang w:val="en-US" w:eastAsia="zh-CN"/>
        </w:rPr>
        <w:t>.</w:t>
      </w:r>
      <w:r>
        <w:rPr>
          <w:rFonts w:hint="eastAsia" w:cs="Times New Roman"/>
          <w:color w:val="000000"/>
          <w:highlight w:val="none"/>
          <w:lang w:val="en-US" w:eastAsia="zh-CN"/>
        </w:rPr>
        <w:t>8</w:t>
      </w:r>
      <w:r>
        <w:rPr>
          <w:rFonts w:hint="eastAsia" w:hAnsi="Times New Roman" w:cs="Times New Roman"/>
          <w:color w:val="000000"/>
          <w:highlight w:val="none"/>
          <w:lang w:val="en-US" w:eastAsia="zh-CN"/>
        </w:rPr>
        <w:t>.</w:t>
      </w:r>
      <w:r>
        <w:rPr>
          <w:rFonts w:hint="eastAsia" w:cs="Times New Roman"/>
          <w:color w:val="000000"/>
          <w:highlight w:val="none"/>
          <w:lang w:val="en-US" w:eastAsia="zh-CN"/>
        </w:rPr>
        <w:t>2</w:t>
      </w:r>
      <w:r>
        <w:rPr>
          <w:rFonts w:hint="eastAsia" w:hAnsi="Times New Roman" w:cs="Times New Roman"/>
          <w:color w:val="000000"/>
          <w:highlight w:val="none"/>
          <w:lang w:val="en-US" w:eastAsia="zh-CN"/>
        </w:rPr>
        <w:t>年游憩人次</w:t>
      </w:r>
    </w:p>
    <w:p w14:paraId="3AA23EFE">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highlight w:val="none"/>
          <w:lang w:val="en-US" w:eastAsia="zh-CN"/>
        </w:rPr>
      </w:pPr>
      <w:r>
        <w:rPr>
          <w:rFonts w:hint="eastAsia" w:ascii="Times New Roman" w:cs="Times New Roman"/>
          <w:highlight w:val="none"/>
          <w:lang w:val="en-US" w:eastAsia="zh-CN"/>
        </w:rPr>
        <w:t>单元</w:t>
      </w:r>
      <w:r>
        <w:rPr>
          <w:rFonts w:hint="eastAsia" w:ascii="Times New Roman" w:hAnsi="Times New Roman" w:eastAsia="宋体" w:cs="Times New Roman"/>
          <w:highlight w:val="none"/>
          <w:lang w:val="en-US" w:eastAsia="zh-CN"/>
        </w:rPr>
        <w:t>内生态系统美学景观及与其共生的人文景观每年的游憩人次，主要以资料调查的方式获取。</w:t>
      </w:r>
    </w:p>
    <w:p w14:paraId="5567BBB3">
      <w:pPr>
        <w:pStyle w:val="70"/>
        <w:spacing w:before="312" w:after="312"/>
        <w:rPr>
          <w:rFonts w:hint="default" w:hAnsi="Times New Roman" w:cs="Times New Roman"/>
          <w:color w:val="000000"/>
          <w:highlight w:val="none"/>
          <w:lang w:val="en-US" w:eastAsia="zh-CN"/>
        </w:rPr>
      </w:pPr>
      <w:bookmarkStart w:id="404" w:name="_Toc20918"/>
      <w:bookmarkStart w:id="405" w:name="_Toc22093"/>
      <w:bookmarkStart w:id="406" w:name="_Toc20900"/>
      <w:bookmarkStart w:id="407" w:name="_Toc30348"/>
      <w:bookmarkStart w:id="408" w:name="_Toc8554"/>
      <w:bookmarkStart w:id="409" w:name="_Toc15889"/>
      <w:bookmarkStart w:id="410" w:name="_Toc6044"/>
      <w:bookmarkStart w:id="411" w:name="_Toc13822"/>
      <w:r>
        <w:rPr>
          <w:rFonts w:hint="eastAsia" w:hAnsi="Times New Roman" w:cs="Times New Roman"/>
          <w:color w:val="000000"/>
          <w:highlight w:val="none"/>
          <w:lang w:val="en-US" w:eastAsia="zh-CN"/>
        </w:rPr>
        <w:t>生态胁迫</w:t>
      </w:r>
      <w:bookmarkEnd w:id="404"/>
      <w:bookmarkEnd w:id="405"/>
      <w:bookmarkEnd w:id="406"/>
      <w:bookmarkEnd w:id="407"/>
      <w:bookmarkEnd w:id="408"/>
      <w:bookmarkEnd w:id="409"/>
      <w:bookmarkEnd w:id="410"/>
      <w:bookmarkEnd w:id="411"/>
    </w:p>
    <w:p w14:paraId="61543F18">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A.4.1地质</w:t>
      </w:r>
      <w:r>
        <w:rPr>
          <w:rFonts w:hint="eastAsia" w:cs="Times New Roman"/>
          <w:color w:val="000000"/>
          <w:highlight w:val="none"/>
          <w:lang w:val="en-US" w:eastAsia="zh-CN"/>
        </w:rPr>
        <w:t>灾害易发性</w:t>
      </w:r>
    </w:p>
    <w:p w14:paraId="56994D2A">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A.4.1.1</w:t>
      </w:r>
      <w:r>
        <w:rPr>
          <w:rFonts w:hint="eastAsia" w:cs="Times New Roman"/>
          <w:color w:val="000000"/>
          <w:highlight w:val="none"/>
          <w:lang w:val="en-US" w:eastAsia="zh-CN"/>
        </w:rPr>
        <w:t>地质安全隐患点数量</w:t>
      </w:r>
    </w:p>
    <w:p w14:paraId="579E45F7">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pPr>
      <w:r>
        <w:rPr>
          <w:rFonts w:hint="eastAsia" w:cs="Times New Roman"/>
          <w:highlight w:val="none"/>
          <w:lang w:val="en-US" w:eastAsia="zh-CN"/>
        </w:rPr>
        <w:t>单元</w:t>
      </w:r>
      <w:r>
        <w:rPr>
          <w:rFonts w:hint="eastAsia" w:ascii="宋体" w:hAnsi="Times New Roman" w:eastAsia="宋体" w:cs="Times New Roman"/>
          <w:highlight w:val="none"/>
          <w:lang w:val="en-US" w:eastAsia="zh-CN"/>
        </w:rPr>
        <w:t>内调查的崩塌、</w:t>
      </w:r>
      <w:r>
        <w:rPr>
          <w:rFonts w:hint="eastAsia" w:cs="Times New Roman"/>
          <w:highlight w:val="none"/>
          <w:lang w:val="en-US" w:eastAsia="zh-CN"/>
        </w:rPr>
        <w:t>滑坡、</w:t>
      </w:r>
      <w:r>
        <w:rPr>
          <w:rFonts w:hint="eastAsia" w:ascii="宋体" w:hAnsi="Times New Roman" w:eastAsia="宋体" w:cs="Times New Roman"/>
          <w:highlight w:val="none"/>
          <w:lang w:val="en-US" w:eastAsia="zh-CN"/>
        </w:rPr>
        <w:t>泥石流等</w:t>
      </w:r>
      <w:r>
        <w:rPr>
          <w:rFonts w:hint="eastAsia" w:cs="Times New Roman"/>
          <w:highlight w:val="none"/>
          <w:lang w:val="en-US" w:eastAsia="zh-CN"/>
        </w:rPr>
        <w:t>地质安全隐患点数量</w:t>
      </w:r>
      <w:r>
        <w:rPr>
          <w:rFonts w:hint="eastAsia" w:ascii="宋体" w:hAnsi="Times New Roman" w:eastAsia="宋体" w:cs="Times New Roman"/>
          <w:highlight w:val="none"/>
          <w:lang w:val="en-US" w:eastAsia="zh-CN"/>
        </w:rPr>
        <w:t>。通过</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遥感调查或现场调查获取，</w:t>
      </w:r>
      <w:r>
        <w:rPr>
          <w:rFonts w:hint="eastAsia" w:ascii="Times New Roman" w:cs="Times New Roman"/>
          <w:i w:val="0"/>
          <w:iCs w:val="0"/>
          <w:caps w:val="0"/>
          <w:color w:val="000000"/>
          <w:spacing w:val="0"/>
          <w:sz w:val="21"/>
          <w:szCs w:val="24"/>
          <w:highlight w:val="none"/>
          <w:shd w:val="clear" w:color="auto" w:fill="auto"/>
          <w:lang w:val="en-US" w:eastAsia="zh-CN" w:bidi="ar"/>
        </w:rPr>
        <w:t xml:space="preserve">按照GB/T </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40112</w:t>
      </w:r>
      <w:r>
        <w:rPr>
          <w:rFonts w:hint="eastAsia" w:ascii="Times New Roman" w:cs="Times New Roman"/>
          <w:i w:val="0"/>
          <w:iCs w:val="0"/>
          <w:caps w:val="0"/>
          <w:color w:val="000000"/>
          <w:spacing w:val="0"/>
          <w:sz w:val="21"/>
          <w:szCs w:val="24"/>
          <w:highlight w:val="none"/>
          <w:shd w:val="clear" w:color="auto" w:fill="auto"/>
          <w:lang w:val="en-US" w:eastAsia="zh-CN" w:bidi="ar"/>
        </w:rPr>
        <w:t>相关要求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p>
    <w:p w14:paraId="06AFD4A2">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A.4.1.</w:t>
      </w:r>
      <w:r>
        <w:rPr>
          <w:rFonts w:hint="eastAsia" w:cs="Times New Roman"/>
          <w:color w:val="000000"/>
          <w:highlight w:val="none"/>
          <w:lang w:val="en-US" w:eastAsia="zh-CN"/>
        </w:rPr>
        <w:t>2</w:t>
      </w:r>
      <w:r>
        <w:rPr>
          <w:rFonts w:hint="eastAsia" w:hAnsi="Times New Roman" w:cs="Times New Roman"/>
          <w:color w:val="000000"/>
          <w:highlight w:val="none"/>
          <w:lang w:val="en-US" w:eastAsia="zh-CN"/>
        </w:rPr>
        <w:t>地质</w:t>
      </w:r>
      <w:r>
        <w:rPr>
          <w:rFonts w:hint="eastAsia" w:cs="Times New Roman"/>
          <w:color w:val="000000"/>
          <w:highlight w:val="none"/>
          <w:lang w:val="en-US" w:eastAsia="zh-CN"/>
        </w:rPr>
        <w:t>灾害易发区占比</w:t>
      </w:r>
    </w:p>
    <w:p w14:paraId="457206C9">
      <w:pPr>
        <w:pStyle w:val="25"/>
        <w:keepNext w:val="0"/>
        <w:keepLines w:val="0"/>
        <w:pageBreakBefore w:val="0"/>
        <w:widowControl/>
        <w:kinsoku/>
        <w:wordWrap/>
        <w:overflowPunct/>
        <w:topLinePunct w:val="0"/>
        <w:bidi w:val="0"/>
        <w:adjustRightInd/>
        <w:snapToGrid/>
        <w:ind w:firstLine="420" w:firstLineChars="200"/>
        <w:textAlignment w:val="auto"/>
        <w:outlineLvl w:val="9"/>
        <w:rPr>
          <w:rFonts w:hint="eastAsia" w:ascii="宋体" w:hAnsi="Times New Roman" w:eastAsia="宋体" w:cs="Times New Roman"/>
          <w:i w:val="0"/>
          <w:iCs w:val="0"/>
          <w:caps w:val="0"/>
          <w:color w:val="auto"/>
          <w:spacing w:val="0"/>
          <w:sz w:val="21"/>
          <w:szCs w:val="20"/>
          <w:highlight w:val="none"/>
          <w:shd w:val="clear" w:color="auto" w:fill="auto"/>
          <w:lang w:val="en-US" w:eastAsia="zh-CN" w:bidi="ar"/>
        </w:rPr>
      </w:pPr>
      <w:r>
        <w:rPr>
          <w:rFonts w:hint="eastAsia" w:eastAsia="宋体" w:cs="Times New Roman"/>
          <w:color w:val="auto"/>
          <w:sz w:val="21"/>
          <w:szCs w:val="20"/>
          <w:highlight w:val="none"/>
          <w:lang w:eastAsia="zh-CN"/>
        </w:rPr>
        <w:t>调查单元内地质灾害易发区面积所占单元总面积的比例。通过收集资料或遥感调查结合现场调查获取。</w:t>
      </w:r>
      <w:r>
        <w:rPr>
          <w:rFonts w:hint="eastAsia" w:cs="Times New Roman"/>
          <w:i w:val="0"/>
          <w:iCs w:val="0"/>
          <w:caps w:val="0"/>
          <w:color w:val="auto"/>
          <w:spacing w:val="0"/>
          <w:sz w:val="21"/>
          <w:szCs w:val="20"/>
          <w:highlight w:val="none"/>
          <w:shd w:val="clear" w:color="auto" w:fill="auto"/>
          <w:lang w:val="en-US" w:eastAsia="zh-CN" w:bidi="ar"/>
        </w:rPr>
        <w:t>地质灾害易发区指</w:t>
      </w:r>
      <w:r>
        <w:rPr>
          <w:rFonts w:hint="eastAsia" w:ascii="宋体" w:hAnsi="Times New Roman" w:eastAsia="宋体" w:cs="Times New Roman"/>
          <w:i w:val="0"/>
          <w:iCs w:val="0"/>
          <w:caps w:val="0"/>
          <w:spacing w:val="0"/>
          <w:sz w:val="21"/>
          <w:szCs w:val="20"/>
          <w:highlight w:val="none"/>
          <w:shd w:val="clear" w:fill="auto"/>
          <w:lang w:eastAsia="zh-CN"/>
        </w:rPr>
        <w:t>单元内</w:t>
      </w:r>
      <w:r>
        <w:rPr>
          <w:rFonts w:hint="eastAsia" w:ascii="宋体" w:hAnsi="Times New Roman" w:eastAsia="宋体" w:cs="Times New Roman"/>
          <w:i w:val="0"/>
          <w:iCs w:val="0"/>
          <w:caps w:val="0"/>
          <w:spacing w:val="0"/>
          <w:sz w:val="21"/>
          <w:szCs w:val="20"/>
          <w:highlight w:val="none"/>
          <w:shd w:val="clear" w:fill="auto"/>
        </w:rPr>
        <w:t>具备发生地质灾害的地质环境条件，在诱发因素的作用下可能发生地质灾害的区域。</w:t>
      </w:r>
    </w:p>
    <w:p w14:paraId="1A48EA50">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A.4.2水土流失程度</w:t>
      </w:r>
    </w:p>
    <w:p w14:paraId="11CAC0FB">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A.4.2.1土壤可蚀性因子</w:t>
      </w:r>
    </w:p>
    <w:p w14:paraId="5D977266">
      <w:pPr>
        <w:pStyle w:val="25"/>
        <w:keepNext w:val="0"/>
        <w:keepLines w:val="0"/>
        <w:pageBreakBefore w:val="0"/>
        <w:widowControl/>
        <w:kinsoku/>
        <w:wordWrap/>
        <w:overflowPunct/>
        <w:topLinePunct w:val="0"/>
        <w:bidi w:val="0"/>
        <w:adjustRightInd/>
        <w:snapToGrid/>
        <w:textAlignment w:val="auto"/>
        <w:outlineLvl w:val="9"/>
        <w:rPr>
          <w:rFonts w:hint="eastAsia" w:hAnsi="Times New Roman" w:cs="Times New Roman"/>
          <w:color w:val="FF0000"/>
          <w:highlight w:val="none"/>
          <w:lang w:val="en-US" w:eastAsia="zh-CN"/>
        </w:rPr>
      </w:pPr>
      <w:r>
        <w:rPr>
          <w:rFonts w:hint="eastAsia" w:cs="Times New Roman"/>
          <w:highlight w:val="none"/>
          <w:lang w:val="en-US" w:eastAsia="zh-CN"/>
        </w:rPr>
        <w:t>调查评价</w:t>
      </w:r>
      <w:r>
        <w:rPr>
          <w:rFonts w:hint="eastAsia" w:ascii="宋体" w:hAnsi="Times New Roman" w:eastAsia="宋体" w:cs="Times New Roman"/>
          <w:highlight w:val="none"/>
          <w:lang w:val="en-US" w:eastAsia="zh-CN"/>
        </w:rPr>
        <w:t>土壤对侵蚀的敏感程度。计算及调查方法</w:t>
      </w:r>
      <w:r>
        <w:rPr>
          <w:rFonts w:hint="eastAsia" w:cs="Times New Roman"/>
          <w:highlight w:val="none"/>
          <w:lang w:val="en-US" w:eastAsia="zh-CN"/>
        </w:rPr>
        <w:t>按照</w:t>
      </w:r>
      <w:r>
        <w:rPr>
          <w:rFonts w:hint="eastAsia" w:ascii="Times New Roman" w:cs="Times New Roman"/>
          <w:i w:val="0"/>
          <w:iCs w:val="0"/>
          <w:caps w:val="0"/>
          <w:color w:val="000000"/>
          <w:spacing w:val="0"/>
          <w:sz w:val="21"/>
          <w:szCs w:val="24"/>
          <w:highlight w:val="none"/>
          <w:shd w:val="clear" w:color="auto" w:fill="auto"/>
          <w:lang w:val="en-US" w:eastAsia="zh-CN" w:bidi="ar"/>
        </w:rPr>
        <w:t>GB/T</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43681，B.4.3</w:t>
      </w:r>
      <w:r>
        <w:rPr>
          <w:rFonts w:hint="eastAsia" w:ascii="Times New Roman" w:cs="Times New Roman"/>
          <w:i w:val="0"/>
          <w:iCs w:val="0"/>
          <w:caps w:val="0"/>
          <w:color w:val="000000"/>
          <w:spacing w:val="0"/>
          <w:sz w:val="21"/>
          <w:szCs w:val="24"/>
          <w:highlight w:val="none"/>
          <w:shd w:val="clear" w:color="auto" w:fill="auto"/>
          <w:lang w:val="en-US" w:eastAsia="zh-CN" w:bidi="ar"/>
        </w:rPr>
        <w:t>要求执行</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w:t>
      </w:r>
    </w:p>
    <w:p w14:paraId="71477C65">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A.4.2.2沙化土地面积</w:t>
      </w:r>
    </w:p>
    <w:p w14:paraId="4AA26D02">
      <w:pPr>
        <w:pStyle w:val="25"/>
        <w:keepNext w:val="0"/>
        <w:keepLines w:val="0"/>
        <w:pageBreakBefore w:val="0"/>
        <w:widowControl/>
        <w:kinsoku/>
        <w:wordWrap/>
        <w:overflowPunct/>
        <w:topLinePunct w:val="0"/>
        <w:bidi w:val="0"/>
        <w:adjustRightInd/>
        <w:snapToGrid/>
        <w:textAlignment w:val="auto"/>
        <w:outlineLvl w:val="9"/>
        <w:rPr>
          <w:rFonts w:hint="default"/>
          <w:highlight w:val="none"/>
          <w:lang w:val="en-US" w:eastAsia="zh-CN"/>
        </w:rPr>
      </w:pPr>
      <w:r>
        <w:rPr>
          <w:rFonts w:hint="eastAsia"/>
          <w:highlight w:val="none"/>
          <w:lang w:val="en-US" w:eastAsia="zh-CN"/>
        </w:rPr>
        <w:t>具有明显退化特征的沙化土地面积。通过</w:t>
      </w:r>
      <w:r>
        <w:rPr>
          <w:rFonts w:hint="eastAsia" w:ascii="宋体" w:hAnsi="Times New Roman" w:eastAsia="宋体" w:cs="Times New Roman"/>
          <w:i w:val="0"/>
          <w:iCs w:val="0"/>
          <w:caps w:val="0"/>
          <w:color w:val="auto"/>
          <w:spacing w:val="0"/>
          <w:sz w:val="21"/>
          <w:szCs w:val="20"/>
          <w:highlight w:val="none"/>
          <w:shd w:val="clear" w:color="auto" w:fill="auto"/>
          <w:lang w:val="en-US" w:eastAsia="zh-CN" w:bidi="ar"/>
        </w:rPr>
        <w:t>遥感调查或现场调查</w:t>
      </w:r>
      <w:r>
        <w:rPr>
          <w:rFonts w:hint="default" w:ascii="Times New Roman" w:hAnsi="Times New Roman" w:eastAsia="宋体" w:cs="Times New Roman"/>
          <w:i w:val="0"/>
          <w:iCs w:val="0"/>
          <w:caps w:val="0"/>
          <w:color w:val="auto"/>
          <w:spacing w:val="0"/>
          <w:sz w:val="21"/>
          <w:szCs w:val="20"/>
          <w:highlight w:val="none"/>
          <w:shd w:val="clear" w:color="auto" w:fill="auto"/>
          <w:lang w:val="en-US" w:eastAsia="zh-CN" w:bidi="ar"/>
        </w:rPr>
        <w:t>获取，</w:t>
      </w:r>
      <w:r>
        <w:rPr>
          <w:rFonts w:hint="default" w:ascii="Times New Roman" w:cs="Times New Roman"/>
          <w:i w:val="0"/>
          <w:iCs w:val="0"/>
          <w:caps w:val="0"/>
          <w:color w:val="auto"/>
          <w:spacing w:val="0"/>
          <w:sz w:val="21"/>
          <w:szCs w:val="20"/>
          <w:highlight w:val="none"/>
          <w:shd w:val="clear" w:color="auto" w:fill="auto"/>
          <w:lang w:val="en-US" w:eastAsia="zh-CN" w:bidi="ar"/>
        </w:rPr>
        <w:t>按照</w:t>
      </w:r>
      <w:r>
        <w:rPr>
          <w:rFonts w:hint="default" w:ascii="Times New Roman" w:hAnsi="Times New Roman" w:eastAsia="宋体" w:cs="Times New Roman"/>
          <w:color w:val="auto"/>
          <w:kern w:val="0"/>
          <w:sz w:val="21"/>
          <w:szCs w:val="20"/>
          <w:highlight w:val="none"/>
        </w:rPr>
        <w:t>GB/T24255</w:t>
      </w:r>
      <w:r>
        <w:rPr>
          <w:rFonts w:hint="default" w:ascii="Times New Roman" w:cs="Times New Roman"/>
          <w:i w:val="0"/>
          <w:iCs w:val="0"/>
          <w:caps w:val="0"/>
          <w:color w:val="auto"/>
          <w:spacing w:val="0"/>
          <w:sz w:val="21"/>
          <w:szCs w:val="20"/>
          <w:highlight w:val="none"/>
          <w:shd w:val="clear" w:color="auto" w:fill="auto"/>
          <w:lang w:val="en-US" w:eastAsia="zh-CN" w:bidi="ar"/>
        </w:rPr>
        <w:t>相关要求</w:t>
      </w:r>
      <w:r>
        <w:rPr>
          <w:rFonts w:hint="eastAsia" w:ascii="宋体" w:hAnsi="Times New Roman" w:eastAsia="宋体" w:cs="Times New Roman"/>
          <w:i w:val="0"/>
          <w:iCs w:val="0"/>
          <w:caps w:val="0"/>
          <w:color w:val="auto"/>
          <w:spacing w:val="0"/>
          <w:sz w:val="21"/>
          <w:szCs w:val="20"/>
          <w:highlight w:val="none"/>
          <w:shd w:val="clear" w:color="auto" w:fill="auto"/>
          <w:lang w:val="en-US" w:eastAsia="zh-CN" w:bidi="ar"/>
        </w:rPr>
        <w:t>执行。</w:t>
      </w:r>
    </w:p>
    <w:p w14:paraId="1EF3ADDA">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A.4.2.3盐渍化土地面积</w:t>
      </w:r>
    </w:p>
    <w:p w14:paraId="2FB6636B">
      <w:pPr>
        <w:pStyle w:val="25"/>
        <w:keepNext w:val="0"/>
        <w:keepLines w:val="0"/>
        <w:pageBreakBefore w:val="0"/>
        <w:widowControl/>
        <w:kinsoku/>
        <w:wordWrap/>
        <w:overflowPunct/>
        <w:topLinePunct w:val="0"/>
        <w:bidi w:val="0"/>
        <w:adjustRightInd/>
        <w:snapToGrid/>
        <w:textAlignment w:val="auto"/>
        <w:outlineLvl w:val="9"/>
        <w:rPr>
          <w:rFonts w:hint="eastAsia"/>
          <w:highlight w:val="none"/>
          <w:lang w:val="en-US" w:eastAsia="zh-CN"/>
        </w:rPr>
      </w:pPr>
      <w:r>
        <w:rPr>
          <w:rFonts w:hint="eastAsia"/>
          <w:highlight w:val="none"/>
          <w:lang w:val="en-US" w:eastAsia="zh-CN"/>
        </w:rPr>
        <w:t>岩土易含溶盐含量大于0.3%并且具有溶陷、盐胀、腐蚀等工程特性的土地面积。</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通过遥感调查或现场调查获取，</w:t>
      </w:r>
      <w:r>
        <w:rPr>
          <w:rFonts w:hint="eastAsia" w:ascii="Times New Roman" w:cs="Times New Roman"/>
          <w:i w:val="0"/>
          <w:iCs w:val="0"/>
          <w:caps w:val="0"/>
          <w:color w:val="000000"/>
          <w:spacing w:val="0"/>
          <w:sz w:val="21"/>
          <w:szCs w:val="24"/>
          <w:highlight w:val="none"/>
          <w:shd w:val="clear" w:color="auto" w:fill="auto"/>
          <w:lang w:val="en-US" w:eastAsia="zh-CN" w:bidi="ar"/>
        </w:rPr>
        <w:t>按照</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GB50021</w:t>
      </w:r>
      <w:r>
        <w:rPr>
          <w:rFonts w:hint="eastAsia" w:ascii="Times New Roman" w:cs="Times New Roman"/>
          <w:i w:val="0"/>
          <w:iCs w:val="0"/>
          <w:caps w:val="0"/>
          <w:color w:val="000000"/>
          <w:spacing w:val="0"/>
          <w:sz w:val="21"/>
          <w:szCs w:val="24"/>
          <w:highlight w:val="none"/>
          <w:shd w:val="clear" w:color="auto" w:fill="auto"/>
          <w:lang w:val="en-US" w:eastAsia="zh-CN" w:bidi="ar"/>
        </w:rPr>
        <w:t>相关要求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p>
    <w:p w14:paraId="1255734C">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A.4.3生物灾害</w:t>
      </w:r>
    </w:p>
    <w:p w14:paraId="68725013">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A.4.3.1外来入侵物种种类与数目</w:t>
      </w:r>
    </w:p>
    <w:p w14:paraId="7E6F5510">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highlight w:val="none"/>
          <w:lang w:val="en-US" w:eastAsia="zh-CN"/>
        </w:rPr>
      </w:pPr>
      <w:r>
        <w:rPr>
          <w:rFonts w:hint="eastAsia" w:ascii="Times New Roman" w:cs="Times New Roman"/>
          <w:highlight w:val="none"/>
          <w:lang w:val="en-US" w:eastAsia="zh-CN"/>
        </w:rPr>
        <w:t>单元</w:t>
      </w:r>
      <w:r>
        <w:rPr>
          <w:rFonts w:hint="default" w:ascii="Times New Roman" w:hAnsi="Times New Roman" w:eastAsia="宋体" w:cs="Times New Roman"/>
          <w:highlight w:val="none"/>
          <w:lang w:val="en-US" w:eastAsia="zh-CN"/>
        </w:rPr>
        <w:t>内外来入侵物种的种类数目</w:t>
      </w:r>
      <w:r>
        <w:rPr>
          <w:rFonts w:hint="eastAsia" w:ascii="Times New Roman" w:hAnsi="Times New Roman" w:eastAsia="宋体" w:cs="Times New Roman"/>
          <w:highlight w:val="none"/>
          <w:lang w:val="en-US" w:eastAsia="zh-CN"/>
        </w:rPr>
        <w:t>，</w:t>
      </w:r>
      <w:r>
        <w:rPr>
          <w:rFonts w:hint="default" w:ascii="Times New Roman" w:hAnsi="Times New Roman" w:eastAsia="宋体" w:cs="Times New Roman"/>
          <w:highlight w:val="none"/>
          <w:lang w:val="en-US" w:eastAsia="zh-CN"/>
        </w:rPr>
        <w:t>主要以实地调查的方式获取。</w:t>
      </w:r>
    </w:p>
    <w:p w14:paraId="6FF18427">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A.4.3.2 病虫害发生的频次</w:t>
      </w:r>
    </w:p>
    <w:p w14:paraId="3CAE690A">
      <w:pPr>
        <w:pStyle w:val="25"/>
        <w:keepNext w:val="0"/>
        <w:keepLines w:val="0"/>
        <w:pageBreakBefore w:val="0"/>
        <w:widowControl/>
        <w:kinsoku/>
        <w:wordWrap/>
        <w:overflowPunct/>
        <w:topLinePunct w:val="0"/>
        <w:bidi w:val="0"/>
        <w:adjustRightInd/>
        <w:snapToGrid/>
        <w:textAlignment w:val="auto"/>
        <w:outlineLvl w:val="9"/>
        <w:rPr>
          <w:rFonts w:hint="eastAsia" w:hAnsi="Times New Roman" w:cs="Times New Roman"/>
          <w:highlight w:val="none"/>
          <w:lang w:val="en-US" w:eastAsia="zh-CN"/>
        </w:rPr>
      </w:pPr>
      <w:r>
        <w:rPr>
          <w:rFonts w:hint="eastAsia" w:ascii="Times New Roman" w:cs="Times New Roman"/>
          <w:highlight w:val="none"/>
          <w:lang w:val="en-US" w:eastAsia="zh-CN"/>
        </w:rPr>
        <w:t>单元</w:t>
      </w:r>
      <w:r>
        <w:rPr>
          <w:rFonts w:hint="eastAsia" w:ascii="Times New Roman" w:hAnsi="Times New Roman" w:eastAsia="宋体" w:cs="Times New Roman"/>
          <w:highlight w:val="none"/>
          <w:lang w:val="en-US" w:eastAsia="zh-CN"/>
        </w:rPr>
        <w:t>内病虫害发生的频次。主要以资料调查和实地调查的方式获取。具体</w:t>
      </w:r>
      <w:r>
        <w:rPr>
          <w:rFonts w:hint="eastAsia" w:ascii="Times New Roman" w:cs="Times New Roman"/>
          <w:highlight w:val="none"/>
          <w:lang w:val="en-US" w:eastAsia="zh-CN"/>
        </w:rPr>
        <w:t>按照</w:t>
      </w:r>
      <w:r>
        <w:rPr>
          <w:rFonts w:hint="eastAsia" w:ascii="Times New Roman" w:cs="Times New Roman"/>
          <w:i w:val="0"/>
          <w:iCs w:val="0"/>
          <w:caps w:val="0"/>
          <w:color w:val="000000"/>
          <w:spacing w:val="0"/>
          <w:sz w:val="21"/>
          <w:szCs w:val="24"/>
          <w:highlight w:val="none"/>
          <w:shd w:val="clear" w:color="auto" w:fill="auto"/>
          <w:lang w:val="en-US" w:eastAsia="zh-CN" w:bidi="ar"/>
        </w:rPr>
        <w:t>N</w:t>
      </w:r>
      <w:r>
        <w:rPr>
          <w:rFonts w:hint="default" w:ascii="Times New Roman" w:hAnsi="Times New Roman" w:eastAsia="宋体" w:cs="Times New Roman"/>
          <w:i w:val="0"/>
          <w:iCs w:val="0"/>
          <w:caps w:val="0"/>
          <w:color w:val="000000"/>
          <w:spacing w:val="0"/>
          <w:sz w:val="21"/>
          <w:szCs w:val="24"/>
          <w:highlight w:val="none"/>
          <w:shd w:val="clear" w:color="auto" w:fill="auto"/>
          <w:lang w:val="en-US" w:eastAsia="zh-CN" w:bidi="ar"/>
        </w:rPr>
        <w:t>Y/T 2738</w:t>
      </w:r>
      <w:r>
        <w:rPr>
          <w:rFonts w:hint="eastAsia" w:ascii="Times New Roman" w:hAnsi="Times New Roman" w:eastAsia="宋体" w:cs="Times New Roman"/>
          <w:highlight w:val="none"/>
          <w:lang w:val="en-US" w:eastAsia="zh-CN"/>
        </w:rPr>
        <w:t>中的方法执行。</w:t>
      </w:r>
    </w:p>
    <w:p w14:paraId="5CD44179">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A.4.4生态系统退化程度</w:t>
      </w:r>
    </w:p>
    <w:p w14:paraId="209CAA10">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A.4.4.1森林退化指数</w:t>
      </w:r>
    </w:p>
    <w:p w14:paraId="651253EB">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反映在不合理利用下，森林生态系统发生逆行演替、生产力不断下降的过程。数据通过遥感调查获取，计算方式和分级标准</w:t>
      </w:r>
      <w:r>
        <w:rPr>
          <w:rFonts w:hint="eastAsia" w:ascii="Times New Roman" w:cs="Times New Roman"/>
          <w:highlight w:val="none"/>
          <w:lang w:val="en-US" w:eastAsia="zh-CN"/>
        </w:rPr>
        <w:t>按照</w:t>
      </w:r>
      <w:r>
        <w:rPr>
          <w:rFonts w:hint="eastAsia" w:ascii="Times New Roman" w:hAnsi="Times New Roman" w:eastAsia="宋体" w:cs="Times New Roman"/>
          <w:highlight w:val="none"/>
          <w:lang w:val="en-US" w:eastAsia="zh-CN"/>
        </w:rPr>
        <w:t>HJ1174，A.4</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r>
        <w:rPr>
          <w:rFonts w:hint="eastAsia" w:ascii="Times New Roman" w:hAnsi="Times New Roman" w:eastAsia="宋体" w:cs="Times New Roman"/>
          <w:highlight w:val="none"/>
          <w:lang w:val="en-US" w:eastAsia="zh-CN"/>
        </w:rPr>
        <w:t>。</w:t>
      </w:r>
    </w:p>
    <w:p w14:paraId="37FADBF8">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A.4.4.2草地退化指数</w:t>
      </w:r>
    </w:p>
    <w:p w14:paraId="034F10FD">
      <w:pPr>
        <w:pStyle w:val="25"/>
        <w:keepNext w:val="0"/>
        <w:keepLines w:val="0"/>
        <w:pageBreakBefore w:val="0"/>
        <w:widowControl/>
        <w:kinsoku/>
        <w:wordWrap/>
        <w:overflowPunct/>
        <w:topLinePunct w:val="0"/>
        <w:bidi w:val="0"/>
        <w:adjustRightInd/>
        <w:snapToGrid/>
        <w:textAlignment w:val="auto"/>
        <w:outlineLvl w:val="9"/>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反映在不合理利用下，草地生态系统发生逆行演替、生产力不断下降的过程。数据通过遥感调查获取，计算方式和分级标准</w:t>
      </w:r>
      <w:r>
        <w:rPr>
          <w:rFonts w:hint="eastAsia" w:ascii="Times New Roman" w:cs="Times New Roman"/>
          <w:highlight w:val="none"/>
          <w:lang w:val="en-US" w:eastAsia="zh-CN"/>
        </w:rPr>
        <w:t>按照</w:t>
      </w:r>
      <w:r>
        <w:rPr>
          <w:rFonts w:hint="eastAsia" w:ascii="Times New Roman" w:hAnsi="Times New Roman" w:eastAsia="宋体" w:cs="Times New Roman"/>
          <w:highlight w:val="none"/>
          <w:lang w:val="en-US" w:eastAsia="zh-CN"/>
        </w:rPr>
        <w:t>HJ1174，A.5</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r>
        <w:rPr>
          <w:rFonts w:hint="eastAsia" w:ascii="Times New Roman" w:hAnsi="Times New Roman" w:eastAsia="宋体" w:cs="Times New Roman"/>
          <w:highlight w:val="none"/>
          <w:lang w:val="en-US" w:eastAsia="zh-CN"/>
        </w:rPr>
        <w:t>。</w:t>
      </w:r>
    </w:p>
    <w:p w14:paraId="1ED4D876">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A.4.4.3湿地萎缩面积比例</w:t>
      </w:r>
    </w:p>
    <w:p w14:paraId="2A880FC0">
      <w:pPr>
        <w:pStyle w:val="25"/>
        <w:keepNext w:val="0"/>
        <w:keepLines w:val="0"/>
        <w:pageBreakBefore w:val="0"/>
        <w:widowControl/>
        <w:kinsoku/>
        <w:wordWrap/>
        <w:overflowPunct/>
        <w:topLinePunct w:val="0"/>
        <w:bidi w:val="0"/>
        <w:adjustRightInd/>
        <w:snapToGrid/>
        <w:textAlignment w:val="auto"/>
        <w:outlineLvl w:val="9"/>
        <w:rPr>
          <w:rFonts w:hint="eastAsia"/>
          <w:highlight w:val="none"/>
          <w:lang w:val="en-US" w:eastAsia="zh-CN"/>
        </w:rPr>
      </w:pPr>
      <w:r>
        <w:rPr>
          <w:rFonts w:hint="eastAsia" w:ascii="Times New Roman" w:hAnsi="Times New Roman" w:eastAsia="宋体" w:cs="Times New Roman"/>
          <w:highlight w:val="none"/>
          <w:lang w:val="en-US" w:eastAsia="zh-CN"/>
        </w:rPr>
        <w:t>湿地减少面积占基准年湿地面积的比例。数据通过遥感调查获取，计算方式和分级标准</w:t>
      </w:r>
      <w:r>
        <w:rPr>
          <w:rFonts w:hint="eastAsia" w:ascii="Times New Roman" w:cs="Times New Roman"/>
          <w:highlight w:val="none"/>
          <w:lang w:val="en-US" w:eastAsia="zh-CN"/>
        </w:rPr>
        <w:t>按照</w:t>
      </w:r>
      <w:r>
        <w:rPr>
          <w:rFonts w:hint="eastAsia" w:ascii="Times New Roman" w:hAnsi="Times New Roman" w:eastAsia="宋体" w:cs="Times New Roman"/>
          <w:highlight w:val="none"/>
          <w:lang w:val="en-US" w:eastAsia="zh-CN"/>
        </w:rPr>
        <w:t>HJ1174，A.6</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r>
        <w:rPr>
          <w:rFonts w:hint="eastAsia" w:ascii="Times New Roman" w:hAnsi="Times New Roman" w:eastAsia="宋体" w:cs="Times New Roman"/>
          <w:highlight w:val="none"/>
          <w:lang w:val="en-US" w:eastAsia="zh-CN"/>
        </w:rPr>
        <w:t>。</w:t>
      </w:r>
    </w:p>
    <w:p w14:paraId="0BE59265">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A.4.4.4富营养状况指数</w:t>
      </w:r>
    </w:p>
    <w:p w14:paraId="0B73194D">
      <w:pPr>
        <w:keepNext w:val="0"/>
        <w:keepLines w:val="0"/>
        <w:widowControl/>
        <w:suppressLineNumbers w:val="0"/>
        <w:ind w:firstLine="420" w:firstLineChars="200"/>
        <w:jc w:val="left"/>
        <w:rPr>
          <w:rFonts w:hint="eastAsia" w:ascii="Times New Roman" w:hAnsi="Times New Roman" w:eastAsia="宋体" w:cs="Times New Roman"/>
          <w:highlight w:val="none"/>
          <w:lang w:val="en-US" w:eastAsia="zh-CN"/>
        </w:rPr>
      </w:pPr>
      <w:r>
        <w:rPr>
          <w:rFonts w:hint="eastAsia" w:ascii="宋体" w:hAnsi="宋体" w:eastAsia="宋体" w:cs="宋体"/>
          <w:color w:val="000000"/>
          <w:kern w:val="0"/>
          <w:sz w:val="21"/>
          <w:szCs w:val="21"/>
          <w:highlight w:val="none"/>
          <w:lang w:val="en-US" w:eastAsia="zh-CN" w:bidi="ar"/>
        </w:rPr>
        <w:t>反映湿地等的富营养化状况。</w:t>
      </w:r>
      <w:r>
        <w:rPr>
          <w:rFonts w:hint="eastAsia" w:ascii="Times New Roman" w:hAnsi="Times New Roman" w:eastAsia="宋体" w:cs="Times New Roman"/>
          <w:highlight w:val="none"/>
          <w:lang w:val="en-US" w:eastAsia="zh-CN"/>
        </w:rPr>
        <w:t>在同一营养状态下，指数值越高，其营养程度越重。计算方式和分级标准</w:t>
      </w:r>
      <w:r>
        <w:rPr>
          <w:rFonts w:hint="eastAsia" w:cs="Times New Roman"/>
          <w:highlight w:val="none"/>
          <w:lang w:val="en-US" w:eastAsia="zh-CN"/>
        </w:rPr>
        <w:t>按照</w:t>
      </w:r>
      <w:r>
        <w:rPr>
          <w:rFonts w:hint="eastAsia" w:ascii="Times New Roman" w:hAnsi="Times New Roman" w:eastAsia="宋体" w:cs="Times New Roman"/>
          <w:highlight w:val="none"/>
          <w:lang w:val="en-US" w:eastAsia="zh-CN"/>
        </w:rPr>
        <w:t>HJ1174，A.6</w:t>
      </w:r>
      <w:r>
        <w:rPr>
          <w:rFonts w:hint="eastAsia" w:ascii="Times New Roman" w:cs="Times New Roman"/>
          <w:i w:val="0"/>
          <w:iCs w:val="0"/>
          <w:caps w:val="0"/>
          <w:color w:val="000000"/>
          <w:spacing w:val="0"/>
          <w:sz w:val="21"/>
          <w:szCs w:val="24"/>
          <w:highlight w:val="none"/>
          <w:shd w:val="clear" w:color="auto" w:fill="auto"/>
          <w:lang w:val="en-US" w:eastAsia="zh-CN" w:bidi="ar"/>
        </w:rPr>
        <w:t>要求</w:t>
      </w:r>
      <w:r>
        <w:rPr>
          <w:rFonts w:hint="eastAsia" w:ascii="Times New Roman" w:hAnsi="Times New Roman" w:eastAsia="宋体" w:cs="Times New Roman"/>
          <w:i w:val="0"/>
          <w:iCs w:val="0"/>
          <w:caps w:val="0"/>
          <w:color w:val="000000"/>
          <w:spacing w:val="0"/>
          <w:sz w:val="21"/>
          <w:szCs w:val="24"/>
          <w:highlight w:val="none"/>
          <w:shd w:val="clear" w:color="auto" w:fill="auto"/>
          <w:lang w:val="en-US" w:eastAsia="zh-CN" w:bidi="ar"/>
        </w:rPr>
        <w:t>执行</w:t>
      </w:r>
      <w:r>
        <w:rPr>
          <w:rFonts w:hint="eastAsia" w:ascii="Times New Roman" w:hAnsi="Times New Roman" w:eastAsia="宋体" w:cs="Times New Roman"/>
          <w:highlight w:val="none"/>
          <w:lang w:val="en-US" w:eastAsia="zh-CN"/>
        </w:rPr>
        <w:t>。</w:t>
      </w:r>
    </w:p>
    <w:p w14:paraId="3725091F">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A.4.</w:t>
      </w:r>
      <w:r>
        <w:rPr>
          <w:rFonts w:hint="eastAsia" w:cs="Times New Roman"/>
          <w:highlight w:val="none"/>
          <w:lang w:val="en-US" w:eastAsia="zh-CN"/>
        </w:rPr>
        <w:t>5气候灾害</w:t>
      </w:r>
    </w:p>
    <w:p w14:paraId="718731B7">
      <w:pPr>
        <w:pStyle w:val="61"/>
        <w:keepNext w:val="0"/>
        <w:keepLines w:val="0"/>
        <w:widowControl/>
        <w:numPr>
          <w:ilvl w:val="0"/>
          <w:numId w:val="0"/>
        </w:numPr>
        <w:suppressLineNumbers w:val="0"/>
        <w:spacing w:before="156" w:after="156"/>
        <w:ind w:firstLineChars="200"/>
        <w:jc w:val="left"/>
        <w:outlineLvl w:val="9"/>
        <w:rPr>
          <w:rFonts w:hint="eastAsia" w:ascii="黑体" w:hAnsi="Times New Roman" w:eastAsia="黑体" w:cs="Times New Roman"/>
          <w:color w:val="000000"/>
          <w:kern w:val="0"/>
          <w:sz w:val="21"/>
          <w:szCs w:val="21"/>
          <w:highlight w:val="none"/>
          <w:lang w:val="en-US" w:eastAsia="zh-CN" w:bidi="ar"/>
        </w:rPr>
      </w:pPr>
      <w:r>
        <w:rPr>
          <w:rFonts w:hint="eastAsia" w:ascii="黑体" w:hAnsi="Times New Roman" w:cs="Times New Roman"/>
          <w:color w:val="000000"/>
          <w:kern w:val="0"/>
          <w:sz w:val="21"/>
          <w:szCs w:val="21"/>
          <w:highlight w:val="none"/>
          <w:lang w:val="en-US" w:eastAsia="zh-CN" w:bidi="ar"/>
        </w:rPr>
        <w:t>A</w:t>
      </w:r>
      <w:r>
        <w:rPr>
          <w:rFonts w:hint="eastAsia" w:cs="Times New Roman"/>
          <w:color w:val="000000"/>
          <w:kern w:val="0"/>
          <w:sz w:val="21"/>
          <w:szCs w:val="21"/>
          <w:highlight w:val="none"/>
          <w:lang w:val="en-US" w:eastAsia="zh-CN" w:bidi="ar"/>
        </w:rPr>
        <w:t>.</w:t>
      </w:r>
      <w:r>
        <w:rPr>
          <w:rFonts w:hint="eastAsia" w:ascii="黑体" w:hAnsi="Times New Roman" w:cs="Times New Roman"/>
          <w:color w:val="000000"/>
          <w:kern w:val="0"/>
          <w:sz w:val="21"/>
          <w:szCs w:val="21"/>
          <w:highlight w:val="none"/>
          <w:lang w:val="en-US" w:eastAsia="zh-CN" w:bidi="ar"/>
        </w:rPr>
        <w:t>4.5.1 极端天气发生的频次</w:t>
      </w:r>
    </w:p>
    <w:p w14:paraId="39C87592">
      <w:pPr>
        <w:keepNext w:val="0"/>
        <w:keepLines w:val="0"/>
        <w:widowControl/>
        <w:suppressLineNumbers w:val="0"/>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指区域内台风、洪涝、干旱、寒潮等极端天气发生的频次。主要以资料调查和实地调查的方式获取。极端天气标准参照地方实际情况统计。</w:t>
      </w:r>
    </w:p>
    <w:p w14:paraId="55568264">
      <w:pPr>
        <w:pStyle w:val="61"/>
        <w:keepNext w:val="0"/>
        <w:keepLines w:val="0"/>
        <w:pageBreakBefore w:val="0"/>
        <w:widowControl/>
        <w:numPr>
          <w:ilvl w:val="2"/>
          <w:numId w:val="0"/>
        </w:numPr>
        <w:kinsoku/>
        <w:wordWrap/>
        <w:overflowPunct/>
        <w:topLinePunct w:val="0"/>
        <w:bidi w:val="0"/>
        <w:adjustRightInd/>
        <w:snapToGrid/>
        <w:spacing w:before="156" w:after="156"/>
        <w:ind w:leftChars="0"/>
        <w:textAlignment w:val="auto"/>
        <w:outlineLvl w:val="9"/>
        <w:rPr>
          <w:rFonts w:hint="eastAsia" w:hAnsi="Times New Roman" w:cs="Times New Roman"/>
          <w:highlight w:val="none"/>
          <w:lang w:val="en-US" w:eastAsia="zh-CN"/>
        </w:rPr>
      </w:pPr>
      <w:r>
        <w:rPr>
          <w:rFonts w:hint="eastAsia" w:hAnsi="Times New Roman" w:cs="Times New Roman"/>
          <w:highlight w:val="none"/>
          <w:lang w:val="en-US" w:eastAsia="zh-CN"/>
        </w:rPr>
        <w:t>A.4.</w:t>
      </w:r>
      <w:r>
        <w:rPr>
          <w:rFonts w:hint="eastAsia" w:cs="Times New Roman"/>
          <w:highlight w:val="none"/>
          <w:lang w:val="en-US" w:eastAsia="zh-CN"/>
        </w:rPr>
        <w:t>6</w:t>
      </w:r>
      <w:r>
        <w:rPr>
          <w:rFonts w:hint="eastAsia" w:hAnsi="Times New Roman" w:cs="Times New Roman"/>
          <w:highlight w:val="none"/>
          <w:lang w:val="en-US" w:eastAsia="zh-CN"/>
        </w:rPr>
        <w:t>人为活动情况</w:t>
      </w:r>
    </w:p>
    <w:p w14:paraId="3980F910">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w:t>
      </w:r>
      <w:r>
        <w:rPr>
          <w:rFonts w:hint="eastAsia" w:cs="Times New Roman"/>
          <w:color w:val="000000"/>
          <w:highlight w:val="none"/>
          <w:lang w:val="en-US" w:eastAsia="zh-CN"/>
        </w:rPr>
        <w:t>6</w:t>
      </w:r>
      <w:r>
        <w:rPr>
          <w:rFonts w:hint="eastAsia" w:hAnsi="Times New Roman" w:cs="Times New Roman"/>
          <w:color w:val="000000"/>
          <w:highlight w:val="none"/>
          <w:lang w:val="en-US" w:eastAsia="zh-CN"/>
        </w:rPr>
        <w:t>.1人类活动用地类型与面积</w:t>
      </w:r>
    </w:p>
    <w:p w14:paraId="1648A8A9">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highlight w:val="none"/>
          <w:lang w:val="en-US" w:eastAsia="zh-CN"/>
        </w:rPr>
      </w:pPr>
      <w:r>
        <w:rPr>
          <w:rFonts w:hint="eastAsia" w:ascii="Times New Roman" w:cs="Times New Roman"/>
          <w:highlight w:val="none"/>
          <w:lang w:val="en-US" w:eastAsia="zh-CN"/>
        </w:rPr>
        <w:t>单元</w:t>
      </w:r>
      <w:r>
        <w:rPr>
          <w:rFonts w:hint="eastAsia" w:ascii="Times New Roman" w:hAnsi="Times New Roman" w:eastAsia="宋体" w:cs="Times New Roman"/>
          <w:highlight w:val="none"/>
          <w:lang w:val="en-US" w:eastAsia="zh-CN"/>
        </w:rPr>
        <w:t>内各种人为活动用地的类型与面积。主要以遥感监测和实地调查的方式获取。具体</w:t>
      </w:r>
      <w:r>
        <w:rPr>
          <w:rFonts w:hint="eastAsia" w:ascii="Times New Roman" w:cs="Times New Roman"/>
          <w:highlight w:val="none"/>
          <w:lang w:val="en-US" w:eastAsia="zh-CN"/>
        </w:rPr>
        <w:t>按照</w:t>
      </w:r>
      <w:r>
        <w:rPr>
          <w:rFonts w:hint="default" w:ascii="Times New Roman" w:hAnsi="Times New Roman" w:eastAsia="宋体" w:cs="Times New Roman"/>
          <w:highlight w:val="none"/>
          <w:lang w:val="en-US" w:eastAsia="zh-CN"/>
        </w:rPr>
        <w:t>HJ1156</w:t>
      </w:r>
      <w:r>
        <w:rPr>
          <w:rFonts w:hint="eastAsia" w:ascii="Times New Roman" w:cs="Times New Roman"/>
          <w:highlight w:val="none"/>
          <w:lang w:val="en-US" w:eastAsia="zh-CN"/>
        </w:rPr>
        <w:t>相关</w:t>
      </w:r>
      <w:r>
        <w:rPr>
          <w:rFonts w:hint="eastAsia" w:ascii="Times New Roman" w:hAnsi="Times New Roman" w:eastAsia="宋体" w:cs="Times New Roman"/>
          <w:highlight w:val="none"/>
          <w:lang w:val="en-US" w:eastAsia="zh-CN"/>
        </w:rPr>
        <w:t>方法执行。</w:t>
      </w:r>
    </w:p>
    <w:p w14:paraId="7FD621F8">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w:t>
      </w:r>
      <w:r>
        <w:rPr>
          <w:rFonts w:hint="eastAsia" w:cs="Times New Roman"/>
          <w:color w:val="000000"/>
          <w:highlight w:val="none"/>
          <w:lang w:val="en-US" w:eastAsia="zh-CN"/>
        </w:rPr>
        <w:t>6</w:t>
      </w:r>
      <w:r>
        <w:rPr>
          <w:rFonts w:hint="eastAsia" w:hAnsi="Times New Roman" w:cs="Times New Roman"/>
          <w:color w:val="000000"/>
          <w:highlight w:val="none"/>
          <w:lang w:val="en-US" w:eastAsia="zh-CN"/>
        </w:rPr>
        <w:t>.2人为活动用地综合强度指数</w:t>
      </w:r>
    </w:p>
    <w:p w14:paraId="07790FF7">
      <w:pPr>
        <w:pStyle w:val="25"/>
        <w:keepNext w:val="0"/>
        <w:keepLines w:val="0"/>
        <w:pageBreakBefore w:val="0"/>
        <w:widowControl/>
        <w:kinsoku/>
        <w:wordWrap/>
        <w:overflowPunct/>
        <w:topLinePunct w:val="0"/>
        <w:bidi w:val="0"/>
        <w:adjustRightInd/>
        <w:snapToGrid/>
        <w:textAlignment w:val="auto"/>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指综合</w:t>
      </w:r>
      <w:r>
        <w:rPr>
          <w:rFonts w:hint="eastAsia" w:ascii="Times New Roman" w:cs="Times New Roman"/>
          <w:highlight w:val="none"/>
          <w:lang w:val="en-US" w:eastAsia="zh-CN"/>
        </w:rPr>
        <w:t>单元</w:t>
      </w:r>
      <w:r>
        <w:rPr>
          <w:rFonts w:hint="eastAsia" w:ascii="Times New Roman" w:hAnsi="Times New Roman" w:eastAsia="宋体" w:cs="Times New Roman"/>
          <w:highlight w:val="none"/>
          <w:lang w:val="en-US" w:eastAsia="zh-CN"/>
        </w:rPr>
        <w:t>内各类型人为活动用地的数量、面积、分布位置等数据计算得到的人为活动用地强度。获取方法：主要基于人为活动用地类型、面积与分布位置信息提取成果数据，利用模型进行测算。具体</w:t>
      </w:r>
      <w:r>
        <w:rPr>
          <w:rFonts w:hint="eastAsia" w:ascii="Times New Roman" w:cs="Times New Roman"/>
          <w:highlight w:val="none"/>
          <w:lang w:val="en-US" w:eastAsia="zh-CN"/>
        </w:rPr>
        <w:t>按照</w:t>
      </w:r>
      <w:r>
        <w:rPr>
          <w:rFonts w:hint="default" w:ascii="Times New Roman" w:hAnsi="Times New Roman" w:eastAsia="宋体" w:cs="Times New Roman"/>
          <w:highlight w:val="none"/>
          <w:lang w:val="en-US" w:eastAsia="zh-CN"/>
        </w:rPr>
        <w:t>HJ1156</w:t>
      </w:r>
      <w:r>
        <w:rPr>
          <w:rFonts w:hint="eastAsia" w:ascii="Times New Roman" w:hAnsi="Times New Roman" w:eastAsia="宋体" w:cs="Times New Roman"/>
          <w:highlight w:val="none"/>
          <w:lang w:val="en-US" w:eastAsia="zh-CN"/>
        </w:rPr>
        <w:t>中的方法执行。</w:t>
      </w:r>
    </w:p>
    <w:p w14:paraId="0705A697">
      <w:pPr>
        <w:pStyle w:val="61"/>
        <w:keepNext w:val="0"/>
        <w:keepLines w:val="0"/>
        <w:pageBreakBefore w:val="0"/>
        <w:widowControl/>
        <w:numPr>
          <w:ilvl w:val="0"/>
          <w:numId w:val="0"/>
        </w:numPr>
        <w:kinsoku/>
        <w:wordWrap/>
        <w:overflowPunct/>
        <w:topLinePunct w:val="0"/>
        <w:bidi w:val="0"/>
        <w:adjustRightInd/>
        <w:snapToGrid/>
        <w:spacing w:before="156" w:after="156"/>
        <w:ind w:leftChars="0"/>
        <w:textAlignment w:val="auto"/>
        <w:outlineLvl w:val="9"/>
        <w:rPr>
          <w:rFonts w:hint="eastAsia" w:hAnsi="Times New Roman" w:cs="Times New Roman"/>
          <w:color w:val="000000"/>
          <w:highlight w:val="none"/>
          <w:lang w:val="en-US" w:eastAsia="zh-CN"/>
        </w:rPr>
      </w:pPr>
      <w:r>
        <w:rPr>
          <w:rFonts w:hint="eastAsia" w:hAnsi="Times New Roman" w:cs="Times New Roman"/>
          <w:color w:val="000000"/>
          <w:highlight w:val="none"/>
          <w:lang w:val="en-US" w:eastAsia="zh-CN"/>
        </w:rPr>
        <w:t>A.4.</w:t>
      </w:r>
      <w:r>
        <w:rPr>
          <w:rFonts w:hint="eastAsia" w:cs="Times New Roman"/>
          <w:color w:val="000000"/>
          <w:highlight w:val="none"/>
          <w:lang w:val="en-US" w:eastAsia="zh-CN"/>
        </w:rPr>
        <w:t>6</w:t>
      </w:r>
      <w:r>
        <w:rPr>
          <w:rFonts w:hint="eastAsia" w:hAnsi="Times New Roman" w:cs="Times New Roman"/>
          <w:color w:val="000000"/>
          <w:highlight w:val="none"/>
          <w:lang w:val="en-US" w:eastAsia="zh-CN"/>
        </w:rPr>
        <w:t>.</w:t>
      </w:r>
      <w:r>
        <w:rPr>
          <w:rFonts w:hint="eastAsia" w:cs="Times New Roman"/>
          <w:color w:val="000000"/>
          <w:highlight w:val="none"/>
          <w:lang w:val="en-US" w:eastAsia="zh-CN"/>
        </w:rPr>
        <w:t>3</w:t>
      </w:r>
      <w:r>
        <w:rPr>
          <w:rFonts w:hint="eastAsia" w:hAnsi="Times New Roman" w:cs="Times New Roman"/>
          <w:color w:val="000000"/>
          <w:highlight w:val="none"/>
          <w:lang w:val="en-US" w:eastAsia="zh-CN"/>
        </w:rPr>
        <w:t xml:space="preserve"> 人工岸线类型与长度</w:t>
      </w:r>
    </w:p>
    <w:p w14:paraId="19989E12">
      <w:pPr>
        <w:pStyle w:val="25"/>
        <w:rPr>
          <w:rFonts w:hint="eastAsia"/>
          <w:highlight w:val="none"/>
          <w:lang w:val="en-US" w:eastAsia="zh-CN"/>
        </w:rPr>
      </w:pPr>
      <w:r>
        <w:rPr>
          <w:rFonts w:hint="eastAsia" w:ascii="Times New Roman" w:hAnsi="Times New Roman" w:eastAsia="宋体" w:cs="Times New Roman"/>
          <w:highlight w:val="none"/>
          <w:lang w:val="en-US" w:eastAsia="zh-CN"/>
        </w:rPr>
        <w:t>指</w:t>
      </w:r>
      <w:r>
        <w:rPr>
          <w:rFonts w:hint="eastAsia" w:ascii="Times New Roman" w:cs="Times New Roman"/>
          <w:highlight w:val="none"/>
          <w:lang w:val="en-US" w:eastAsia="zh-CN"/>
        </w:rPr>
        <w:t>单元</w:t>
      </w:r>
      <w:r>
        <w:rPr>
          <w:rFonts w:hint="eastAsia" w:ascii="Times New Roman" w:hAnsi="Times New Roman" w:eastAsia="宋体" w:cs="Times New Roman"/>
          <w:highlight w:val="none"/>
          <w:lang w:val="en-US" w:eastAsia="zh-CN"/>
        </w:rPr>
        <w:t>内各类河流、湖泊、水库、海岸等内陆湿地或滨海湿地中人工岸线的类型与长度。主要以遥感监测和实地调查的方式获取。具体参照《海岸线保护与利用管理办法》中的方法执行。</w:t>
      </w:r>
    </w:p>
    <w:p w14:paraId="1DC7363E">
      <w:pPr>
        <w:pStyle w:val="25"/>
        <w:rPr>
          <w:rFonts w:hint="eastAsia"/>
          <w:highlight w:val="none"/>
          <w:lang w:val="en-US" w:eastAsia="zh-CN"/>
        </w:rPr>
      </w:pPr>
    </w:p>
    <w:p w14:paraId="22622563">
      <w:pPr>
        <w:pStyle w:val="25"/>
        <w:rPr>
          <w:rFonts w:hint="eastAsia"/>
          <w:highlight w:val="none"/>
          <w:lang w:val="en-US" w:eastAsia="zh-CN"/>
        </w:rPr>
      </w:pPr>
    </w:p>
    <w:p w14:paraId="56743097">
      <w:pPr>
        <w:pStyle w:val="25"/>
        <w:rPr>
          <w:rFonts w:hint="eastAsia"/>
          <w:highlight w:val="none"/>
          <w:lang w:val="en-US" w:eastAsia="zh-CN"/>
        </w:rPr>
      </w:pPr>
    </w:p>
    <w:p w14:paraId="03162A3E">
      <w:pPr>
        <w:pStyle w:val="25"/>
        <w:rPr>
          <w:rFonts w:hint="eastAsia"/>
          <w:highlight w:val="none"/>
          <w:lang w:val="en-US" w:eastAsia="zh-CN"/>
        </w:rPr>
        <w:sectPr>
          <w:pgSz w:w="11906" w:h="16838"/>
          <w:pgMar w:top="567" w:right="1134" w:bottom="1134" w:left="1417" w:header="1418" w:footer="1134" w:gutter="0"/>
          <w:cols w:space="720" w:num="1"/>
          <w:formProt w:val="0"/>
          <w:docGrid w:type="lines" w:linePitch="312" w:charSpace="0"/>
        </w:sectPr>
      </w:pPr>
    </w:p>
    <w:p w14:paraId="5C755D2C">
      <w:pPr>
        <w:pStyle w:val="140"/>
        <w:rPr>
          <w:rFonts w:hint="eastAsia"/>
          <w:highlight w:val="none"/>
        </w:rPr>
      </w:pPr>
      <w:bookmarkStart w:id="412" w:name="_Toc30210"/>
      <w:bookmarkStart w:id="413" w:name="_Toc8232"/>
      <w:bookmarkStart w:id="414" w:name="_Toc31257"/>
      <w:bookmarkStart w:id="415" w:name="_Toc29550"/>
      <w:bookmarkStart w:id="416" w:name="_Toc30475"/>
      <w:bookmarkStart w:id="417" w:name="_Toc4890"/>
      <w:bookmarkStart w:id="418" w:name="_Toc20245"/>
      <w:bookmarkStart w:id="419" w:name="_Toc28518"/>
      <w:bookmarkStart w:id="420" w:name="_Toc31561"/>
      <w:r>
        <w:rPr>
          <w:highlight w:val="none"/>
        </w:rPr>
        <w:br w:type="textWrapping"/>
      </w:r>
      <w:bookmarkStart w:id="421" w:name="_Toc450293167"/>
      <w:r>
        <w:rPr>
          <w:rFonts w:hint="eastAsia"/>
          <w:highlight w:val="none"/>
        </w:rPr>
        <w:t>（</w:t>
      </w:r>
      <w:r>
        <w:rPr>
          <w:rFonts w:hint="eastAsia"/>
          <w:highlight w:val="none"/>
          <w:lang w:val="en-US" w:eastAsia="zh-CN"/>
        </w:rPr>
        <w:t>规范</w:t>
      </w:r>
      <w:r>
        <w:rPr>
          <w:rFonts w:hint="eastAsia"/>
          <w:highlight w:val="none"/>
        </w:rPr>
        <w:t>性）</w:t>
      </w:r>
      <w:r>
        <w:rPr>
          <w:highlight w:val="none"/>
        </w:rPr>
        <w:br w:type="textWrapping"/>
      </w:r>
      <w:bookmarkEnd w:id="421"/>
      <w:r>
        <w:rPr>
          <w:rFonts w:hint="eastAsia"/>
          <w:highlight w:val="none"/>
          <w:lang w:eastAsia="zh-CN"/>
        </w:rPr>
        <w:t>生态现状调查表</w:t>
      </w:r>
      <w:bookmarkEnd w:id="412"/>
      <w:bookmarkEnd w:id="413"/>
      <w:bookmarkEnd w:id="414"/>
      <w:bookmarkEnd w:id="415"/>
      <w:bookmarkEnd w:id="416"/>
      <w:bookmarkEnd w:id="417"/>
      <w:bookmarkEnd w:id="418"/>
      <w:bookmarkEnd w:id="419"/>
      <w:bookmarkEnd w:id="420"/>
    </w:p>
    <w:p w14:paraId="6BB43C37">
      <w:pPr>
        <w:pStyle w:val="70"/>
        <w:keepNext w:val="0"/>
        <w:keepLines w:val="0"/>
        <w:pageBreakBefore w:val="0"/>
        <w:widowControl/>
        <w:numPr>
          <w:ilvl w:val="0"/>
          <w:numId w:val="0"/>
        </w:numPr>
        <w:kinsoku/>
        <w:wordWrap w:val="0"/>
        <w:overflowPunct w:val="0"/>
        <w:topLinePunct w:val="0"/>
        <w:autoSpaceDE w:val="0"/>
        <w:autoSpaceDN/>
        <w:bidi w:val="0"/>
        <w:adjustRightInd/>
        <w:snapToGrid/>
        <w:spacing w:before="0" w:beforeLines="0" w:after="0" w:afterLines="0"/>
        <w:ind w:leftChars="0"/>
        <w:jc w:val="center"/>
        <w:textAlignment w:val="baseline"/>
        <w:rPr>
          <w:rFonts w:hint="eastAsia" w:hAnsi="Times New Roman" w:cs="Times New Roman"/>
          <w:highlight w:val="none"/>
          <w:lang w:val="en-US" w:eastAsia="zh-CN"/>
        </w:rPr>
      </w:pPr>
      <w:bookmarkStart w:id="422" w:name="_Toc11968"/>
      <w:bookmarkStart w:id="423" w:name="_Toc4632"/>
      <w:bookmarkStart w:id="424" w:name="_Toc13723"/>
      <w:bookmarkStart w:id="425" w:name="_Toc2801"/>
      <w:bookmarkStart w:id="426" w:name="_Toc983"/>
      <w:bookmarkStart w:id="427" w:name="_Toc154"/>
      <w:bookmarkStart w:id="428" w:name="_Toc9973"/>
      <w:bookmarkStart w:id="429" w:name="_Toc11898"/>
      <w:bookmarkStart w:id="430" w:name="_Toc20401"/>
      <w:bookmarkStart w:id="431" w:name="_Toc16278"/>
      <w:bookmarkStart w:id="432" w:name="_Toc22252"/>
      <w:bookmarkStart w:id="433" w:name="_Toc10263"/>
      <w:bookmarkStart w:id="434" w:name="_Toc27051"/>
      <w:r>
        <w:rPr>
          <w:rFonts w:hint="eastAsia" w:hAnsi="Times New Roman" w:cs="Times New Roman"/>
          <w:highlight w:val="none"/>
          <w:lang w:val="en-US" w:eastAsia="zh-CN"/>
        </w:rPr>
        <w:t>表B.1 ××××生态单元生态现状调查表</w:t>
      </w:r>
      <w:bookmarkEnd w:id="422"/>
      <w:bookmarkEnd w:id="423"/>
      <w:bookmarkEnd w:id="424"/>
      <w:bookmarkEnd w:id="425"/>
      <w:bookmarkEnd w:id="426"/>
      <w:bookmarkEnd w:id="427"/>
      <w:bookmarkEnd w:id="428"/>
      <w:bookmarkEnd w:id="429"/>
      <w:bookmarkEnd w:id="430"/>
      <w:bookmarkEnd w:id="431"/>
      <w:bookmarkEnd w:id="432"/>
      <w:bookmarkEnd w:id="433"/>
      <w:bookmarkEnd w:id="434"/>
    </w:p>
    <w:tbl>
      <w:tblPr>
        <w:tblStyle w:val="36"/>
        <w:tblpPr w:leftFromText="180" w:rightFromText="180" w:vertAnchor="text" w:horzAnchor="page" w:tblpX="1134" w:tblpY="7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1992"/>
        <w:gridCol w:w="1986"/>
        <w:gridCol w:w="1728"/>
        <w:gridCol w:w="1190"/>
        <w:gridCol w:w="1595"/>
      </w:tblGrid>
      <w:tr w14:paraId="0FBE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8" w:type="dxa"/>
            <w:gridSpan w:val="6"/>
            <w:noWrap w:val="0"/>
            <w:vAlign w:val="top"/>
          </w:tcPr>
          <w:p w14:paraId="3E94FDBB">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both"/>
              <w:textAlignment w:val="auto"/>
              <w:rPr>
                <w:rFonts w:hint="default"/>
                <w:sz w:val="18"/>
                <w:szCs w:val="18"/>
                <w:highlight w:val="none"/>
                <w:vertAlign w:val="baseline"/>
                <w:lang w:val="en-US"/>
              </w:rPr>
            </w:pPr>
            <w:r>
              <w:rPr>
                <w:rFonts w:hint="eastAsia"/>
                <w:sz w:val="18"/>
                <w:szCs w:val="16"/>
                <w:highlight w:val="none"/>
                <w:vertAlign w:val="baseline"/>
                <w:lang w:eastAsia="zh-CN"/>
              </w:rPr>
              <w:t>调查表编号：</w:t>
            </w:r>
            <w:r>
              <w:rPr>
                <w:rFonts w:hint="eastAsia"/>
                <w:sz w:val="18"/>
                <w:szCs w:val="16"/>
                <w:highlight w:val="none"/>
                <w:vertAlign w:val="baseline"/>
                <w:lang w:val="en-US" w:eastAsia="zh-CN"/>
              </w:rPr>
              <w:t xml:space="preserve">              </w:t>
            </w:r>
            <w:r>
              <w:rPr>
                <w:rFonts w:hint="eastAsia"/>
                <w:sz w:val="18"/>
                <w:szCs w:val="16"/>
                <w:highlight w:val="none"/>
                <w:vertAlign w:val="baseline"/>
                <w:lang w:eastAsia="zh-CN"/>
              </w:rPr>
              <w:t>调查时间：</w:t>
            </w:r>
            <w:r>
              <w:rPr>
                <w:rFonts w:hint="eastAsia"/>
                <w:sz w:val="18"/>
                <w:szCs w:val="16"/>
                <w:highlight w:val="none"/>
                <w:vertAlign w:val="baseline"/>
                <w:lang w:val="en-US" w:eastAsia="zh-CN"/>
              </w:rPr>
              <w:t xml:space="preserve">             调查地点：                        记录人：</w:t>
            </w:r>
          </w:p>
        </w:tc>
      </w:tr>
      <w:tr w14:paraId="34C6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5" w:type="dxa"/>
            <w:gridSpan w:val="3"/>
            <w:noWrap w:val="0"/>
            <w:vAlign w:val="top"/>
          </w:tcPr>
          <w:p w14:paraId="6F3B5599">
            <w:pPr>
              <w:pStyle w:val="25"/>
              <w:keepNext w:val="0"/>
              <w:keepLines w:val="0"/>
              <w:pageBreakBefore w:val="0"/>
              <w:widowControl/>
              <w:kinsoku/>
              <w:wordWrap/>
              <w:overflowPunct/>
              <w:topLinePunct w:val="0"/>
              <w:autoSpaceDE w:val="0"/>
              <w:autoSpaceDN w:val="0"/>
              <w:bidi w:val="0"/>
              <w:adjustRightInd/>
              <w:snapToGrid/>
              <w:ind w:firstLine="0" w:firstLineChars="0"/>
              <w:jc w:val="both"/>
              <w:textAlignment w:val="auto"/>
              <w:rPr>
                <w:rFonts w:hint="eastAsia"/>
                <w:sz w:val="18"/>
                <w:szCs w:val="18"/>
                <w:highlight w:val="none"/>
                <w:vertAlign w:val="baseline"/>
              </w:rPr>
            </w:pPr>
            <w:r>
              <w:rPr>
                <w:rFonts w:hint="eastAsia"/>
                <w:sz w:val="18"/>
                <w:szCs w:val="16"/>
                <w:highlight w:val="none"/>
                <w:vertAlign w:val="baseline"/>
                <w:lang w:eastAsia="zh-CN"/>
              </w:rPr>
              <w:t>生态单元名称：</w:t>
            </w:r>
          </w:p>
        </w:tc>
        <w:tc>
          <w:tcPr>
            <w:tcW w:w="4513" w:type="dxa"/>
            <w:gridSpan w:val="3"/>
            <w:noWrap w:val="0"/>
            <w:vAlign w:val="top"/>
          </w:tcPr>
          <w:p w14:paraId="4665BE74">
            <w:pPr>
              <w:pStyle w:val="25"/>
              <w:keepNext w:val="0"/>
              <w:keepLines w:val="0"/>
              <w:pageBreakBefore w:val="0"/>
              <w:widowControl/>
              <w:kinsoku/>
              <w:wordWrap/>
              <w:overflowPunct/>
              <w:topLinePunct w:val="0"/>
              <w:autoSpaceDE w:val="0"/>
              <w:autoSpaceDN w:val="0"/>
              <w:bidi w:val="0"/>
              <w:adjustRightInd/>
              <w:snapToGrid/>
              <w:ind w:firstLine="0" w:firstLineChars="0"/>
              <w:jc w:val="both"/>
              <w:textAlignment w:val="auto"/>
              <w:rPr>
                <w:rFonts w:hint="eastAsia"/>
                <w:sz w:val="18"/>
                <w:szCs w:val="18"/>
                <w:highlight w:val="none"/>
                <w:vertAlign w:val="baseline"/>
              </w:rPr>
            </w:pPr>
            <w:r>
              <w:rPr>
                <w:rFonts w:hint="eastAsia"/>
                <w:sz w:val="18"/>
                <w:szCs w:val="16"/>
                <w:highlight w:val="none"/>
                <w:vertAlign w:val="baseline"/>
                <w:lang w:eastAsia="zh-CN"/>
              </w:rPr>
              <w:t>生态单元类型：</w:t>
            </w:r>
          </w:p>
        </w:tc>
      </w:tr>
      <w:tr w14:paraId="528A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8" w:type="dxa"/>
            <w:gridSpan w:val="6"/>
            <w:noWrap w:val="0"/>
            <w:vAlign w:val="top"/>
          </w:tcPr>
          <w:p w14:paraId="760EAE8D">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both"/>
              <w:textAlignment w:val="auto"/>
              <w:rPr>
                <w:rFonts w:hint="eastAsia"/>
                <w:sz w:val="18"/>
                <w:szCs w:val="18"/>
                <w:highlight w:val="none"/>
                <w:vertAlign w:val="baseline"/>
              </w:rPr>
            </w:pPr>
            <w:r>
              <w:rPr>
                <w:rFonts w:hint="eastAsia"/>
                <w:sz w:val="18"/>
                <w:szCs w:val="16"/>
                <w:highlight w:val="none"/>
                <w:vertAlign w:val="baseline"/>
                <w:lang w:eastAsia="zh-CN"/>
              </w:rPr>
              <w:t>土地利用现状：（根据第三次全国国土调查或最新年度变更调查结果，说明土地利用类型、面积、质量等）</w:t>
            </w:r>
          </w:p>
        </w:tc>
      </w:tr>
      <w:tr w14:paraId="12F8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8" w:type="dxa"/>
            <w:gridSpan w:val="6"/>
            <w:noWrap w:val="0"/>
            <w:vAlign w:val="center"/>
          </w:tcPr>
          <w:p w14:paraId="7B2FCFB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r>
              <w:rPr>
                <w:rFonts w:hint="eastAsia"/>
                <w:sz w:val="18"/>
                <w:szCs w:val="16"/>
                <w:highlight w:val="none"/>
                <w:vertAlign w:val="baseline"/>
                <w:lang w:eastAsia="zh-CN"/>
              </w:rPr>
              <w:t>简述该生态单元的主要生态现状特征</w:t>
            </w:r>
          </w:p>
        </w:tc>
      </w:tr>
      <w:tr w14:paraId="5BEE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noWrap w:val="0"/>
            <w:vAlign w:val="center"/>
          </w:tcPr>
          <w:p w14:paraId="42C8EBF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r>
              <w:rPr>
                <w:rFonts w:hint="eastAsia"/>
                <w:sz w:val="18"/>
                <w:szCs w:val="16"/>
                <w:highlight w:val="none"/>
                <w:vertAlign w:val="baseline"/>
                <w:lang w:eastAsia="zh-CN"/>
              </w:rPr>
              <w:t>一级指标</w:t>
            </w:r>
          </w:p>
        </w:tc>
        <w:tc>
          <w:tcPr>
            <w:tcW w:w="1992" w:type="dxa"/>
            <w:noWrap w:val="0"/>
            <w:vAlign w:val="center"/>
          </w:tcPr>
          <w:p w14:paraId="4F968D44">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eastAsia="宋体"/>
                <w:sz w:val="18"/>
                <w:szCs w:val="18"/>
                <w:highlight w:val="none"/>
                <w:vertAlign w:val="baseline"/>
                <w:lang w:eastAsia="zh-CN"/>
              </w:rPr>
            </w:pPr>
            <w:r>
              <w:rPr>
                <w:rFonts w:hint="eastAsia" w:eastAsia="宋体"/>
                <w:sz w:val="18"/>
                <w:szCs w:val="16"/>
                <w:highlight w:val="none"/>
                <w:vertAlign w:val="baseline"/>
                <w:lang w:eastAsia="zh-CN"/>
              </w:rPr>
              <w:t>二级指标</w:t>
            </w:r>
          </w:p>
        </w:tc>
        <w:tc>
          <w:tcPr>
            <w:tcW w:w="1986" w:type="dxa"/>
            <w:noWrap w:val="0"/>
            <w:vAlign w:val="top"/>
          </w:tcPr>
          <w:p w14:paraId="503D760D">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sz w:val="18"/>
                <w:szCs w:val="18"/>
                <w:highlight w:val="none"/>
                <w:vertAlign w:val="baseline"/>
                <w:lang w:eastAsia="zh-CN"/>
              </w:rPr>
            </w:pPr>
            <w:r>
              <w:rPr>
                <w:rFonts w:hint="eastAsia"/>
                <w:sz w:val="18"/>
                <w:szCs w:val="16"/>
                <w:highlight w:val="none"/>
                <w:vertAlign w:val="baseline"/>
                <w:lang w:eastAsia="zh-CN"/>
              </w:rPr>
              <w:t>三级指标</w:t>
            </w:r>
          </w:p>
        </w:tc>
        <w:tc>
          <w:tcPr>
            <w:tcW w:w="1728" w:type="dxa"/>
            <w:noWrap w:val="0"/>
            <w:vAlign w:val="top"/>
          </w:tcPr>
          <w:p w14:paraId="63E50A3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6"/>
                <w:highlight w:val="none"/>
                <w:vertAlign w:val="baseline"/>
                <w:lang w:eastAsia="zh-CN"/>
              </w:rPr>
              <w:t>定量值</w:t>
            </w:r>
            <w:r>
              <w:rPr>
                <w:rFonts w:hint="eastAsia"/>
                <w:sz w:val="18"/>
                <w:szCs w:val="16"/>
                <w:highlight w:val="none"/>
                <w:vertAlign w:val="baseline"/>
                <w:lang w:val="en-US" w:eastAsia="zh-CN"/>
              </w:rPr>
              <w:t>/定性描述</w:t>
            </w:r>
          </w:p>
        </w:tc>
        <w:tc>
          <w:tcPr>
            <w:tcW w:w="1190" w:type="dxa"/>
            <w:noWrap w:val="0"/>
            <w:vAlign w:val="top"/>
          </w:tcPr>
          <w:p w14:paraId="2F6E1DE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r>
              <w:rPr>
                <w:rFonts w:hint="eastAsia"/>
                <w:sz w:val="18"/>
                <w:szCs w:val="16"/>
                <w:highlight w:val="none"/>
                <w:vertAlign w:val="baseline"/>
                <w:lang w:eastAsia="zh-CN"/>
              </w:rPr>
              <w:t>单位</w:t>
            </w:r>
          </w:p>
        </w:tc>
        <w:tc>
          <w:tcPr>
            <w:tcW w:w="1595" w:type="dxa"/>
            <w:noWrap w:val="0"/>
            <w:vAlign w:val="top"/>
          </w:tcPr>
          <w:p w14:paraId="1CA0B8A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r>
              <w:rPr>
                <w:rFonts w:hint="eastAsia"/>
                <w:sz w:val="18"/>
                <w:szCs w:val="16"/>
                <w:highlight w:val="none"/>
                <w:vertAlign w:val="baseline"/>
                <w:lang w:eastAsia="zh-CN"/>
              </w:rPr>
              <w:t>获取时间</w:t>
            </w:r>
          </w:p>
        </w:tc>
      </w:tr>
      <w:tr w14:paraId="1E5E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7" w:type="dxa"/>
            <w:vMerge w:val="restart"/>
            <w:noWrap w:val="0"/>
            <w:vAlign w:val="center"/>
          </w:tcPr>
          <w:p w14:paraId="2E96728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r>
              <w:rPr>
                <w:rFonts w:hint="eastAsia"/>
                <w:sz w:val="18"/>
                <w:szCs w:val="16"/>
                <w:highlight w:val="none"/>
                <w:vertAlign w:val="baseline"/>
                <w:lang w:eastAsia="zh-CN"/>
              </w:rPr>
              <w:t>生态系统格局</w:t>
            </w:r>
          </w:p>
        </w:tc>
        <w:tc>
          <w:tcPr>
            <w:tcW w:w="1992" w:type="dxa"/>
            <w:vMerge w:val="restart"/>
            <w:noWrap w:val="0"/>
            <w:vAlign w:val="center"/>
          </w:tcPr>
          <w:p w14:paraId="0BDE552D">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eastAsia="宋体"/>
                <w:sz w:val="18"/>
                <w:szCs w:val="18"/>
                <w:highlight w:val="none"/>
                <w:vertAlign w:val="baseline"/>
                <w:lang w:eastAsia="zh-CN"/>
              </w:rPr>
            </w:pPr>
            <w:r>
              <w:rPr>
                <w:rFonts w:hint="eastAsia" w:ascii="宋体" w:hAnsi="Times New Roman" w:eastAsia="宋体" w:cs="Times New Roman"/>
                <w:sz w:val="18"/>
                <w:szCs w:val="16"/>
                <w:highlight w:val="none"/>
                <w:vertAlign w:val="baseline"/>
                <w:lang w:val="en-US" w:eastAsia="zh-CN"/>
              </w:rPr>
              <w:t>生态系统构成</w:t>
            </w:r>
          </w:p>
        </w:tc>
        <w:tc>
          <w:tcPr>
            <w:tcW w:w="1986" w:type="dxa"/>
            <w:noWrap w:val="0"/>
            <w:vAlign w:val="top"/>
          </w:tcPr>
          <w:p w14:paraId="52D87529">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eastAsia"/>
                <w:sz w:val="18"/>
                <w:szCs w:val="18"/>
                <w:highlight w:val="none"/>
                <w:vertAlign w:val="baseline"/>
                <w:lang w:eastAsia="zh-CN"/>
              </w:rPr>
            </w:pPr>
            <w:r>
              <w:rPr>
                <w:rFonts w:hint="eastAsia"/>
                <w:sz w:val="18"/>
                <w:szCs w:val="16"/>
                <w:highlight w:val="none"/>
                <w:vertAlign w:val="baseline"/>
                <w:lang w:eastAsia="zh-CN"/>
              </w:rPr>
              <w:t>指标</w:t>
            </w:r>
            <w:r>
              <w:rPr>
                <w:rFonts w:hint="eastAsia"/>
                <w:sz w:val="18"/>
                <w:szCs w:val="16"/>
                <w:highlight w:val="none"/>
                <w:vertAlign w:val="baseline"/>
                <w:lang w:val="en-US" w:eastAsia="zh-CN"/>
              </w:rPr>
              <w:t>1</w:t>
            </w:r>
            <w:r>
              <w:rPr>
                <w:rFonts w:hint="eastAsia"/>
                <w:sz w:val="18"/>
                <w:szCs w:val="16"/>
                <w:highlight w:val="none"/>
                <w:vertAlign w:val="baseline"/>
                <w:lang w:eastAsia="zh-CN"/>
              </w:rPr>
              <w:t>（生态系统类型）</w:t>
            </w:r>
          </w:p>
        </w:tc>
        <w:tc>
          <w:tcPr>
            <w:tcW w:w="1728" w:type="dxa"/>
            <w:noWrap w:val="0"/>
            <w:vAlign w:val="top"/>
          </w:tcPr>
          <w:p w14:paraId="464AE72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6"/>
                <w:highlight w:val="none"/>
                <w:vertAlign w:val="baseline"/>
                <w:lang w:val="en-US" w:eastAsia="zh-CN"/>
              </w:rPr>
              <w:t>（80%）</w:t>
            </w:r>
          </w:p>
        </w:tc>
        <w:tc>
          <w:tcPr>
            <w:tcW w:w="1190" w:type="dxa"/>
            <w:noWrap w:val="0"/>
            <w:vAlign w:val="top"/>
          </w:tcPr>
          <w:p w14:paraId="29F1DEA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r>
              <w:rPr>
                <w:rFonts w:hint="eastAsia"/>
                <w:sz w:val="18"/>
                <w:szCs w:val="16"/>
                <w:highlight w:val="none"/>
                <w:vertAlign w:val="baseline"/>
                <w:lang w:eastAsia="zh-CN"/>
              </w:rPr>
              <w:t>—</w:t>
            </w:r>
          </w:p>
        </w:tc>
        <w:tc>
          <w:tcPr>
            <w:tcW w:w="1595" w:type="dxa"/>
            <w:noWrap w:val="0"/>
            <w:vAlign w:val="top"/>
          </w:tcPr>
          <w:p w14:paraId="35C2B74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r>
              <w:rPr>
                <w:rFonts w:hint="eastAsia"/>
                <w:sz w:val="18"/>
                <w:szCs w:val="16"/>
                <w:highlight w:val="none"/>
                <w:vertAlign w:val="baseline"/>
                <w:lang w:eastAsia="zh-CN"/>
              </w:rPr>
              <w:t>（</w:t>
            </w:r>
            <w:r>
              <w:rPr>
                <w:rFonts w:hint="eastAsia"/>
                <w:sz w:val="18"/>
                <w:szCs w:val="16"/>
                <w:highlight w:val="none"/>
                <w:vertAlign w:val="baseline"/>
                <w:lang w:val="en-US" w:eastAsia="zh-CN"/>
              </w:rPr>
              <w:t>2025.5.20</w:t>
            </w:r>
            <w:r>
              <w:rPr>
                <w:rFonts w:hint="eastAsia"/>
                <w:sz w:val="18"/>
                <w:szCs w:val="16"/>
                <w:highlight w:val="none"/>
                <w:vertAlign w:val="baseline"/>
                <w:lang w:eastAsia="zh-CN"/>
              </w:rPr>
              <w:t>）</w:t>
            </w:r>
          </w:p>
        </w:tc>
      </w:tr>
      <w:tr w14:paraId="2329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3C95622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vMerge w:val="continue"/>
            <w:noWrap w:val="0"/>
            <w:vAlign w:val="top"/>
          </w:tcPr>
          <w:p w14:paraId="632B48B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p>
        </w:tc>
        <w:tc>
          <w:tcPr>
            <w:tcW w:w="1986" w:type="dxa"/>
            <w:noWrap w:val="0"/>
            <w:vAlign w:val="top"/>
          </w:tcPr>
          <w:p w14:paraId="0C2EDEC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eastAsia="zh-CN"/>
              </w:rPr>
            </w:pPr>
            <w:r>
              <w:rPr>
                <w:rFonts w:hint="eastAsia"/>
                <w:sz w:val="18"/>
                <w:szCs w:val="16"/>
                <w:highlight w:val="none"/>
                <w:vertAlign w:val="baseline"/>
                <w:lang w:eastAsia="zh-CN"/>
              </w:rPr>
              <w:t>指标</w:t>
            </w:r>
            <w:r>
              <w:rPr>
                <w:rFonts w:hint="eastAsia"/>
                <w:sz w:val="18"/>
                <w:szCs w:val="16"/>
                <w:highlight w:val="none"/>
                <w:vertAlign w:val="baseline"/>
                <w:lang w:val="en-US" w:eastAsia="zh-CN"/>
              </w:rPr>
              <w:t>2</w:t>
            </w:r>
          </w:p>
        </w:tc>
        <w:tc>
          <w:tcPr>
            <w:tcW w:w="1728" w:type="dxa"/>
            <w:noWrap w:val="0"/>
            <w:vAlign w:val="top"/>
          </w:tcPr>
          <w:p w14:paraId="488764F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175CCD5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292D2DA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65B7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1E83142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vMerge w:val="continue"/>
            <w:noWrap w:val="0"/>
            <w:vAlign w:val="top"/>
          </w:tcPr>
          <w:p w14:paraId="51E37E7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p>
        </w:tc>
        <w:tc>
          <w:tcPr>
            <w:tcW w:w="1986" w:type="dxa"/>
            <w:noWrap w:val="0"/>
            <w:vAlign w:val="top"/>
          </w:tcPr>
          <w:p w14:paraId="6C3E75D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eastAsia="zh-CN"/>
              </w:rPr>
            </w:pPr>
            <w:r>
              <w:rPr>
                <w:rFonts w:hint="eastAsia"/>
                <w:sz w:val="18"/>
                <w:szCs w:val="16"/>
                <w:highlight w:val="none"/>
                <w:vertAlign w:val="baseline"/>
                <w:lang w:eastAsia="zh-CN"/>
              </w:rPr>
              <w:t>指标</w:t>
            </w:r>
            <w:r>
              <w:rPr>
                <w:rFonts w:hint="eastAsia"/>
                <w:sz w:val="18"/>
                <w:szCs w:val="16"/>
                <w:highlight w:val="none"/>
                <w:vertAlign w:val="baseline"/>
                <w:lang w:val="en-US" w:eastAsia="zh-CN"/>
              </w:rPr>
              <w:t>3</w:t>
            </w:r>
          </w:p>
        </w:tc>
        <w:tc>
          <w:tcPr>
            <w:tcW w:w="1728" w:type="dxa"/>
            <w:noWrap w:val="0"/>
            <w:vAlign w:val="top"/>
          </w:tcPr>
          <w:p w14:paraId="3DB8382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1F3B95C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36D418D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7ED0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13662C5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vMerge w:val="continue"/>
            <w:noWrap w:val="0"/>
            <w:vAlign w:val="top"/>
          </w:tcPr>
          <w:p w14:paraId="119CCCE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p>
        </w:tc>
        <w:tc>
          <w:tcPr>
            <w:tcW w:w="1986" w:type="dxa"/>
            <w:noWrap w:val="0"/>
            <w:vAlign w:val="top"/>
          </w:tcPr>
          <w:p w14:paraId="7C9F51C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1DD6588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3293EA6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1B808F1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4159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1C2D3A7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vMerge w:val="restart"/>
            <w:noWrap w:val="0"/>
            <w:vAlign w:val="center"/>
          </w:tcPr>
          <w:p w14:paraId="5FF681E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eastAsia="zh-CN"/>
              </w:rPr>
            </w:pPr>
            <w:r>
              <w:rPr>
                <w:rFonts w:hint="eastAsia"/>
                <w:sz w:val="18"/>
                <w:szCs w:val="16"/>
                <w:highlight w:val="none"/>
                <w:vertAlign w:val="baseline"/>
                <w:lang w:eastAsia="zh-CN"/>
              </w:rPr>
              <w:t>生态系统空间格局</w:t>
            </w:r>
          </w:p>
        </w:tc>
        <w:tc>
          <w:tcPr>
            <w:tcW w:w="1986" w:type="dxa"/>
            <w:noWrap w:val="0"/>
            <w:vAlign w:val="top"/>
          </w:tcPr>
          <w:p w14:paraId="307978E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76DBE53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284DEE1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1C98938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2910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4487640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37D3B2E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eastAsia="zh-CN"/>
              </w:rPr>
            </w:pPr>
            <w:r>
              <w:rPr>
                <w:rFonts w:hint="eastAsia"/>
                <w:sz w:val="18"/>
                <w:szCs w:val="18"/>
                <w:highlight w:val="none"/>
                <w:vertAlign w:val="baseline"/>
                <w:lang w:eastAsia="zh-CN"/>
              </w:rPr>
              <w:t>生态连通性</w:t>
            </w:r>
          </w:p>
        </w:tc>
        <w:tc>
          <w:tcPr>
            <w:tcW w:w="1986" w:type="dxa"/>
            <w:noWrap w:val="0"/>
            <w:vAlign w:val="top"/>
          </w:tcPr>
          <w:p w14:paraId="1DF0A17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414747D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144ED28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5075852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1BB8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77" w:type="dxa"/>
            <w:vMerge w:val="restart"/>
            <w:noWrap w:val="0"/>
            <w:vAlign w:val="center"/>
          </w:tcPr>
          <w:p w14:paraId="00C21568">
            <w:pPr>
              <w:pStyle w:val="25"/>
              <w:keepNext w:val="0"/>
              <w:keepLines w:val="0"/>
              <w:pageBreakBefore w:val="0"/>
              <w:widowControl/>
              <w:kinsoku/>
              <w:wordWrap/>
              <w:overflowPunct/>
              <w:topLinePunct w:val="0"/>
              <w:autoSpaceDE/>
              <w:autoSpaceDN w:val="0"/>
              <w:bidi w:val="0"/>
              <w:adjustRightInd/>
              <w:snapToGrid/>
              <w:ind w:firstLine="0" w:firstLineChars="0"/>
              <w:jc w:val="center"/>
              <w:textAlignment w:val="auto"/>
              <w:rPr>
                <w:rFonts w:hint="eastAsia"/>
                <w:sz w:val="18"/>
                <w:szCs w:val="16"/>
                <w:highlight w:val="none"/>
                <w:vertAlign w:val="baseline"/>
              </w:rPr>
            </w:pPr>
            <w:r>
              <w:rPr>
                <w:rFonts w:hint="eastAsia" w:hAnsi="Times New Roman" w:cs="Times New Roman"/>
                <w:color w:val="auto"/>
                <w:sz w:val="18"/>
                <w:szCs w:val="16"/>
                <w:highlight w:val="none"/>
                <w:lang w:val="en-US" w:eastAsia="zh-CN"/>
              </w:rPr>
              <w:t>生态系统质量</w:t>
            </w:r>
          </w:p>
        </w:tc>
        <w:tc>
          <w:tcPr>
            <w:tcW w:w="1992" w:type="dxa"/>
            <w:noWrap w:val="0"/>
            <w:vAlign w:val="center"/>
          </w:tcPr>
          <w:p w14:paraId="407BC3E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水环境质量</w:t>
            </w:r>
          </w:p>
        </w:tc>
        <w:tc>
          <w:tcPr>
            <w:tcW w:w="1986" w:type="dxa"/>
            <w:noWrap w:val="0"/>
            <w:vAlign w:val="center"/>
          </w:tcPr>
          <w:p w14:paraId="6B3AB08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00E3DDC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7C119F8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10648C3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4FCF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0BDC964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rPr>
            </w:pPr>
          </w:p>
        </w:tc>
        <w:tc>
          <w:tcPr>
            <w:tcW w:w="1992" w:type="dxa"/>
            <w:noWrap w:val="0"/>
            <w:vAlign w:val="center"/>
          </w:tcPr>
          <w:p w14:paraId="6E0645A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大气环境质量</w:t>
            </w:r>
          </w:p>
        </w:tc>
        <w:tc>
          <w:tcPr>
            <w:tcW w:w="1986" w:type="dxa"/>
            <w:noWrap w:val="0"/>
            <w:vAlign w:val="center"/>
          </w:tcPr>
          <w:p w14:paraId="429AE07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155C0DE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1A43F28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1E93B12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0F5D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5092F3E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rPr>
            </w:pPr>
          </w:p>
        </w:tc>
        <w:tc>
          <w:tcPr>
            <w:tcW w:w="1992" w:type="dxa"/>
            <w:noWrap w:val="0"/>
            <w:vAlign w:val="center"/>
          </w:tcPr>
          <w:p w14:paraId="7826040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土壤环境质量</w:t>
            </w:r>
          </w:p>
        </w:tc>
        <w:tc>
          <w:tcPr>
            <w:tcW w:w="1986" w:type="dxa"/>
            <w:noWrap w:val="0"/>
            <w:vAlign w:val="center"/>
          </w:tcPr>
          <w:p w14:paraId="5497309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6D6CA8D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22A5E1F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505A4F8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7B46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26BD06E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rPr>
            </w:pPr>
          </w:p>
        </w:tc>
        <w:tc>
          <w:tcPr>
            <w:tcW w:w="1992" w:type="dxa"/>
            <w:noWrap w:val="0"/>
            <w:vAlign w:val="center"/>
          </w:tcPr>
          <w:p w14:paraId="3993567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cs="Times New Roman"/>
                <w:sz w:val="18"/>
                <w:szCs w:val="16"/>
                <w:highlight w:val="none"/>
                <w:vertAlign w:val="baseline"/>
                <w:lang w:val="en-US" w:eastAsia="zh-CN"/>
              </w:rPr>
              <w:t>生物环境</w:t>
            </w:r>
            <w:r>
              <w:rPr>
                <w:rFonts w:hint="eastAsia" w:ascii="宋体" w:hAnsi="Times New Roman" w:eastAsia="宋体" w:cs="Times New Roman"/>
                <w:sz w:val="18"/>
                <w:szCs w:val="16"/>
                <w:highlight w:val="none"/>
                <w:vertAlign w:val="baseline"/>
                <w:lang w:val="en-US" w:eastAsia="zh-CN"/>
              </w:rPr>
              <w:t>质量</w:t>
            </w:r>
          </w:p>
        </w:tc>
        <w:tc>
          <w:tcPr>
            <w:tcW w:w="1986" w:type="dxa"/>
            <w:noWrap w:val="0"/>
            <w:vAlign w:val="center"/>
          </w:tcPr>
          <w:p w14:paraId="54723F4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7A7327E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14E32ED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6AAA21A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2489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restart"/>
            <w:noWrap w:val="0"/>
            <w:vAlign w:val="center"/>
          </w:tcPr>
          <w:p w14:paraId="4E911DA0">
            <w:pPr>
              <w:pStyle w:val="25"/>
              <w:keepNext w:val="0"/>
              <w:keepLines w:val="0"/>
              <w:pageBreakBefore w:val="0"/>
              <w:widowControl/>
              <w:kinsoku/>
              <w:wordWrap/>
              <w:overflowPunct/>
              <w:topLinePunct w:val="0"/>
              <w:autoSpaceDE/>
              <w:autoSpaceDN w:val="0"/>
              <w:bidi w:val="0"/>
              <w:adjustRightInd/>
              <w:snapToGrid/>
              <w:spacing w:before="312" w:after="312"/>
              <w:ind w:firstLine="0" w:firstLineChars="0"/>
              <w:jc w:val="center"/>
              <w:textAlignment w:val="auto"/>
              <w:rPr>
                <w:rFonts w:hint="eastAsia"/>
                <w:sz w:val="18"/>
                <w:szCs w:val="18"/>
                <w:highlight w:val="none"/>
                <w:vertAlign w:val="baseline"/>
              </w:rPr>
            </w:pPr>
            <w:r>
              <w:rPr>
                <w:rFonts w:hint="eastAsia" w:hAnsi="Times New Roman" w:cs="Times New Roman"/>
                <w:sz w:val="18"/>
                <w:szCs w:val="16"/>
                <w:highlight w:val="none"/>
                <w:lang w:val="en-US" w:eastAsia="zh-CN"/>
              </w:rPr>
              <w:t>生态系统</w:t>
            </w:r>
            <w:r>
              <w:rPr>
                <w:rFonts w:hint="eastAsia" w:cs="Times New Roman"/>
                <w:sz w:val="18"/>
                <w:szCs w:val="16"/>
                <w:highlight w:val="none"/>
                <w:lang w:val="en-US" w:eastAsia="zh-CN"/>
              </w:rPr>
              <w:t>服务</w:t>
            </w:r>
          </w:p>
        </w:tc>
        <w:tc>
          <w:tcPr>
            <w:tcW w:w="1992" w:type="dxa"/>
            <w:noWrap w:val="0"/>
            <w:vAlign w:val="center"/>
          </w:tcPr>
          <w:p w14:paraId="18D9C9B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水源涵养能力</w:t>
            </w:r>
          </w:p>
        </w:tc>
        <w:tc>
          <w:tcPr>
            <w:tcW w:w="1986" w:type="dxa"/>
            <w:noWrap w:val="0"/>
            <w:vAlign w:val="top"/>
          </w:tcPr>
          <w:p w14:paraId="3235FAB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4973C12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13C9F9E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3202C1C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7A41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57B4741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228F6EE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防风固沙能力</w:t>
            </w:r>
          </w:p>
        </w:tc>
        <w:tc>
          <w:tcPr>
            <w:tcW w:w="1986" w:type="dxa"/>
            <w:noWrap w:val="0"/>
            <w:vAlign w:val="top"/>
          </w:tcPr>
          <w:p w14:paraId="4376837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1022581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1A441CE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56C685F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58D5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04C162B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7B5E7F6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土壤保持能力</w:t>
            </w:r>
          </w:p>
        </w:tc>
        <w:tc>
          <w:tcPr>
            <w:tcW w:w="1986" w:type="dxa"/>
            <w:noWrap w:val="0"/>
            <w:vAlign w:val="top"/>
          </w:tcPr>
          <w:p w14:paraId="3A85D40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451A356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3809E84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174B0BA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7C98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21D5FA9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6A2890F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生态碳汇能力</w:t>
            </w:r>
          </w:p>
        </w:tc>
        <w:tc>
          <w:tcPr>
            <w:tcW w:w="1986" w:type="dxa"/>
            <w:noWrap w:val="0"/>
            <w:vAlign w:val="top"/>
          </w:tcPr>
          <w:p w14:paraId="437B817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06E394F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72A1C9C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6E3B806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714B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4DCBF1E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7D51B82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污染净化能力</w:t>
            </w:r>
          </w:p>
        </w:tc>
        <w:tc>
          <w:tcPr>
            <w:tcW w:w="1986" w:type="dxa"/>
            <w:noWrap w:val="0"/>
            <w:vAlign w:val="top"/>
          </w:tcPr>
          <w:p w14:paraId="5BABDE3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22E4BBE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5AE60B7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29DA60C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7CA6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322D024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25C2711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18"/>
                <w:szCs w:val="16"/>
                <w:highlight w:val="none"/>
                <w:vertAlign w:val="baseline"/>
                <w:lang w:val="en-US" w:eastAsia="zh-CN"/>
              </w:rPr>
            </w:pPr>
            <w:r>
              <w:rPr>
                <w:rFonts w:hint="eastAsia" w:ascii="宋体" w:hAnsi="Times New Roman" w:eastAsia="宋体" w:cs="Times New Roman"/>
                <w:sz w:val="18"/>
                <w:szCs w:val="16"/>
                <w:highlight w:val="none"/>
                <w:vertAlign w:val="baseline"/>
                <w:lang w:val="en-US" w:eastAsia="zh-CN"/>
              </w:rPr>
              <w:t>生物多样性维护能力</w:t>
            </w:r>
          </w:p>
        </w:tc>
        <w:tc>
          <w:tcPr>
            <w:tcW w:w="1986" w:type="dxa"/>
            <w:noWrap w:val="0"/>
            <w:vAlign w:val="top"/>
          </w:tcPr>
          <w:p w14:paraId="2FC2EEA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58BBC85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35591E9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22603F2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04DD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2C44170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353A45F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18"/>
                <w:szCs w:val="16"/>
                <w:highlight w:val="none"/>
                <w:vertAlign w:val="baseline"/>
                <w:lang w:val="en-US" w:eastAsia="zh-CN"/>
              </w:rPr>
            </w:pPr>
            <w:r>
              <w:rPr>
                <w:rFonts w:hint="eastAsia" w:cs="Times New Roman"/>
                <w:sz w:val="18"/>
                <w:szCs w:val="16"/>
                <w:highlight w:val="none"/>
                <w:vertAlign w:val="baseline"/>
                <w:lang w:val="en-US" w:eastAsia="zh-CN"/>
              </w:rPr>
              <w:t>供给服务能力</w:t>
            </w:r>
          </w:p>
        </w:tc>
        <w:tc>
          <w:tcPr>
            <w:tcW w:w="1986" w:type="dxa"/>
            <w:noWrap w:val="0"/>
            <w:vAlign w:val="top"/>
          </w:tcPr>
          <w:p w14:paraId="6D2ABE6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3DA204B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3407853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0E3699F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0D66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51EF185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7BFB817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cs="Times New Roman"/>
                <w:sz w:val="18"/>
                <w:szCs w:val="16"/>
                <w:highlight w:val="none"/>
                <w:vertAlign w:val="baseline"/>
                <w:lang w:val="en-US" w:eastAsia="zh-CN"/>
              </w:rPr>
            </w:pPr>
            <w:r>
              <w:rPr>
                <w:rFonts w:hint="eastAsia" w:cs="Times New Roman"/>
                <w:sz w:val="18"/>
                <w:szCs w:val="16"/>
                <w:highlight w:val="none"/>
                <w:vertAlign w:val="baseline"/>
                <w:lang w:val="en-US" w:eastAsia="zh-CN"/>
              </w:rPr>
              <w:t>文化服务能力</w:t>
            </w:r>
          </w:p>
        </w:tc>
        <w:tc>
          <w:tcPr>
            <w:tcW w:w="1986" w:type="dxa"/>
            <w:noWrap w:val="0"/>
            <w:vAlign w:val="top"/>
          </w:tcPr>
          <w:p w14:paraId="4D3D019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03A6F3B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0DA8217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7402D88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74F5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restart"/>
            <w:noWrap w:val="0"/>
            <w:vAlign w:val="center"/>
          </w:tcPr>
          <w:p w14:paraId="2595A3C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r>
              <w:rPr>
                <w:rFonts w:hint="eastAsia"/>
                <w:sz w:val="18"/>
                <w:szCs w:val="18"/>
                <w:highlight w:val="none"/>
                <w:vertAlign w:val="baseline"/>
                <w:lang w:eastAsia="zh-CN"/>
              </w:rPr>
              <w:t>生态胁迫</w:t>
            </w:r>
          </w:p>
        </w:tc>
        <w:tc>
          <w:tcPr>
            <w:tcW w:w="1992" w:type="dxa"/>
            <w:noWrap w:val="0"/>
            <w:vAlign w:val="center"/>
          </w:tcPr>
          <w:p w14:paraId="273A5DB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地质</w:t>
            </w:r>
            <w:r>
              <w:rPr>
                <w:rFonts w:hint="eastAsia" w:cs="Times New Roman"/>
                <w:sz w:val="18"/>
                <w:szCs w:val="16"/>
                <w:highlight w:val="none"/>
                <w:vertAlign w:val="baseline"/>
                <w:lang w:val="en-US" w:eastAsia="zh-CN"/>
              </w:rPr>
              <w:t>灾害易发性</w:t>
            </w:r>
          </w:p>
        </w:tc>
        <w:tc>
          <w:tcPr>
            <w:tcW w:w="1986" w:type="dxa"/>
            <w:noWrap w:val="0"/>
            <w:vAlign w:val="top"/>
          </w:tcPr>
          <w:p w14:paraId="7C5EF4E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7C728CB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08D0CF1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79B9BF1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1BAD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77" w:type="dxa"/>
            <w:vMerge w:val="continue"/>
            <w:noWrap w:val="0"/>
            <w:vAlign w:val="top"/>
          </w:tcPr>
          <w:p w14:paraId="143D8A7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576497A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水土流失程度</w:t>
            </w:r>
          </w:p>
        </w:tc>
        <w:tc>
          <w:tcPr>
            <w:tcW w:w="1986" w:type="dxa"/>
            <w:noWrap w:val="0"/>
            <w:vAlign w:val="top"/>
          </w:tcPr>
          <w:p w14:paraId="528AC16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037ACEA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761A8A6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60D7E31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055B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163E224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5742FA8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生物灾害</w:t>
            </w:r>
          </w:p>
        </w:tc>
        <w:tc>
          <w:tcPr>
            <w:tcW w:w="1986" w:type="dxa"/>
            <w:noWrap w:val="0"/>
            <w:vAlign w:val="top"/>
          </w:tcPr>
          <w:p w14:paraId="5EC6625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0C0B5D4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08AAF98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6424516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7676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42D9DFA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6EDC0B6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生态系统退化程度</w:t>
            </w:r>
          </w:p>
        </w:tc>
        <w:tc>
          <w:tcPr>
            <w:tcW w:w="1986" w:type="dxa"/>
            <w:noWrap w:val="0"/>
            <w:vAlign w:val="top"/>
          </w:tcPr>
          <w:p w14:paraId="24B26BA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44E0EF4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1B61D77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4015973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553F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67EEA71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29CB425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气候灾害</w:t>
            </w:r>
          </w:p>
        </w:tc>
        <w:tc>
          <w:tcPr>
            <w:tcW w:w="1986" w:type="dxa"/>
            <w:noWrap w:val="0"/>
            <w:vAlign w:val="top"/>
          </w:tcPr>
          <w:p w14:paraId="3164948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6EB25E3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6320080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7949BC9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4FCD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noWrap w:val="0"/>
            <w:vAlign w:val="top"/>
          </w:tcPr>
          <w:p w14:paraId="73CBA7D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center"/>
          </w:tcPr>
          <w:p w14:paraId="42B835E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ascii="宋体" w:hAnsi="Times New Roman" w:eastAsia="宋体" w:cs="Times New Roman"/>
                <w:sz w:val="18"/>
                <w:szCs w:val="16"/>
                <w:highlight w:val="none"/>
                <w:vertAlign w:val="baseline"/>
                <w:lang w:val="en-US" w:eastAsia="zh-CN"/>
              </w:rPr>
              <w:t>人为活动</w:t>
            </w:r>
          </w:p>
        </w:tc>
        <w:tc>
          <w:tcPr>
            <w:tcW w:w="1986" w:type="dxa"/>
            <w:noWrap w:val="0"/>
            <w:vAlign w:val="top"/>
          </w:tcPr>
          <w:p w14:paraId="2A299FB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32B35F0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24D4E0D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26DDDCB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683B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noWrap w:val="0"/>
            <w:vAlign w:val="top"/>
          </w:tcPr>
          <w:p w14:paraId="33D94B2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992" w:type="dxa"/>
            <w:noWrap w:val="0"/>
            <w:vAlign w:val="top"/>
          </w:tcPr>
          <w:p w14:paraId="6A22837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eastAsia="zh-CN"/>
              </w:rPr>
            </w:pPr>
            <w:r>
              <w:rPr>
                <w:rFonts w:hint="eastAsia"/>
                <w:sz w:val="18"/>
                <w:szCs w:val="16"/>
                <w:highlight w:val="none"/>
                <w:vertAlign w:val="baseline"/>
                <w:lang w:eastAsia="zh-CN"/>
              </w:rPr>
              <w:t>……</w:t>
            </w:r>
          </w:p>
        </w:tc>
        <w:tc>
          <w:tcPr>
            <w:tcW w:w="1986" w:type="dxa"/>
            <w:noWrap w:val="0"/>
            <w:vAlign w:val="top"/>
          </w:tcPr>
          <w:p w14:paraId="6FC6731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6"/>
                <w:highlight w:val="none"/>
                <w:vertAlign w:val="baseline"/>
                <w:lang w:eastAsia="zh-CN"/>
              </w:rPr>
            </w:pPr>
            <w:r>
              <w:rPr>
                <w:rFonts w:hint="eastAsia"/>
                <w:sz w:val="18"/>
                <w:szCs w:val="16"/>
                <w:highlight w:val="none"/>
                <w:vertAlign w:val="baseline"/>
                <w:lang w:eastAsia="zh-CN"/>
              </w:rPr>
              <w:t>……</w:t>
            </w:r>
          </w:p>
        </w:tc>
        <w:tc>
          <w:tcPr>
            <w:tcW w:w="1728" w:type="dxa"/>
            <w:noWrap w:val="0"/>
            <w:vAlign w:val="top"/>
          </w:tcPr>
          <w:p w14:paraId="6D53F21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190" w:type="dxa"/>
            <w:noWrap w:val="0"/>
            <w:vAlign w:val="top"/>
          </w:tcPr>
          <w:p w14:paraId="6E1EC8B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c>
          <w:tcPr>
            <w:tcW w:w="1595" w:type="dxa"/>
            <w:noWrap w:val="0"/>
            <w:vAlign w:val="top"/>
          </w:tcPr>
          <w:p w14:paraId="0151B1C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rPr>
            </w:pPr>
          </w:p>
        </w:tc>
      </w:tr>
      <w:tr w14:paraId="69F3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8" w:type="dxa"/>
            <w:gridSpan w:val="6"/>
            <w:noWrap w:val="0"/>
            <w:vAlign w:val="top"/>
          </w:tcPr>
          <w:p w14:paraId="7A775FB9">
            <w:pPr>
              <w:pStyle w:val="25"/>
              <w:keepNext w:val="0"/>
              <w:keepLines w:val="0"/>
              <w:pageBreakBefore w:val="0"/>
              <w:widowControl/>
              <w:kinsoku/>
              <w:wordWrap/>
              <w:overflowPunct/>
              <w:topLinePunct w:val="0"/>
              <w:autoSpaceDE w:val="0"/>
              <w:autoSpaceDN w:val="0"/>
              <w:bidi w:val="0"/>
              <w:adjustRightInd/>
              <w:snapToGrid/>
              <w:ind w:firstLine="0" w:firstLineChars="0"/>
              <w:jc w:val="both"/>
              <w:textAlignment w:val="auto"/>
              <w:rPr>
                <w:rFonts w:hint="default"/>
                <w:sz w:val="18"/>
                <w:szCs w:val="18"/>
                <w:highlight w:val="none"/>
                <w:vertAlign w:val="baseline"/>
                <w:lang w:val="en-US"/>
              </w:rPr>
            </w:pPr>
            <w:r>
              <w:rPr>
                <w:rFonts w:hint="eastAsia"/>
                <w:sz w:val="18"/>
                <w:szCs w:val="16"/>
                <w:highlight w:val="none"/>
                <w:vertAlign w:val="baseline"/>
                <w:lang w:eastAsia="zh-CN"/>
              </w:rPr>
              <w:t>注：关键指标可参考但不限于</w:t>
            </w:r>
            <w:r>
              <w:rPr>
                <w:rFonts w:hint="eastAsia"/>
                <w:sz w:val="18"/>
                <w:szCs w:val="16"/>
                <w:highlight w:val="none"/>
                <w:vertAlign w:val="baseline"/>
                <w:lang w:val="en-US" w:eastAsia="zh-CN"/>
              </w:rPr>
              <w:t>6调查评价内容部分。</w:t>
            </w:r>
          </w:p>
        </w:tc>
      </w:tr>
    </w:tbl>
    <w:p w14:paraId="562F8BA3">
      <w:pPr>
        <w:pStyle w:val="25"/>
        <w:rPr>
          <w:rFonts w:hint="eastAsia"/>
          <w:highlight w:val="none"/>
          <w:lang w:val="en-US" w:eastAsia="zh-CN"/>
        </w:rPr>
        <w:sectPr>
          <w:pgSz w:w="11906" w:h="16838"/>
          <w:pgMar w:top="567" w:right="1134" w:bottom="1134" w:left="1417" w:header="1418" w:footer="1134" w:gutter="0"/>
          <w:cols w:space="720" w:num="1"/>
          <w:formProt w:val="0"/>
          <w:docGrid w:type="lines" w:linePitch="312" w:charSpace="0"/>
        </w:sectPr>
      </w:pPr>
    </w:p>
    <w:p w14:paraId="48AE819F">
      <w:pPr>
        <w:pStyle w:val="140"/>
        <w:rPr>
          <w:rFonts w:hint="eastAsia"/>
          <w:highlight w:val="none"/>
        </w:rPr>
      </w:pPr>
      <w:bookmarkStart w:id="435" w:name="_Toc28016"/>
      <w:bookmarkStart w:id="436" w:name="_Toc26126"/>
      <w:bookmarkStart w:id="437" w:name="_Toc3834"/>
      <w:bookmarkStart w:id="438" w:name="_Toc6019"/>
      <w:bookmarkStart w:id="439" w:name="_Toc5958"/>
      <w:bookmarkStart w:id="440" w:name="_Toc74"/>
      <w:bookmarkStart w:id="441" w:name="_Toc15453"/>
      <w:bookmarkStart w:id="442" w:name="_Toc8411"/>
      <w:bookmarkStart w:id="443" w:name="_Toc23309"/>
      <w:r>
        <w:rPr>
          <w:highlight w:val="none"/>
        </w:rPr>
        <w:br w:type="textWrapping"/>
      </w:r>
      <w:r>
        <w:rPr>
          <w:rFonts w:hint="eastAsia"/>
          <w:highlight w:val="none"/>
        </w:rPr>
        <w:t>（</w:t>
      </w:r>
      <w:r>
        <w:rPr>
          <w:rFonts w:hint="eastAsia"/>
          <w:highlight w:val="none"/>
          <w:lang w:eastAsia="zh-CN"/>
        </w:rPr>
        <w:t>资料性</w:t>
      </w:r>
      <w:r>
        <w:rPr>
          <w:rFonts w:hint="eastAsia"/>
          <w:highlight w:val="none"/>
        </w:rPr>
        <w:t>）</w:t>
      </w:r>
      <w:r>
        <w:rPr>
          <w:highlight w:val="none"/>
        </w:rPr>
        <w:br w:type="textWrapping"/>
      </w:r>
      <w:r>
        <w:rPr>
          <w:rFonts w:hint="eastAsia"/>
          <w:highlight w:val="none"/>
          <w:lang w:eastAsia="zh-CN"/>
        </w:rPr>
        <w:t>典型生态单元生态现状综合评价细则</w:t>
      </w:r>
      <w:bookmarkEnd w:id="435"/>
      <w:bookmarkEnd w:id="436"/>
      <w:bookmarkEnd w:id="437"/>
      <w:bookmarkEnd w:id="438"/>
      <w:bookmarkEnd w:id="439"/>
      <w:bookmarkEnd w:id="440"/>
      <w:bookmarkEnd w:id="441"/>
      <w:bookmarkEnd w:id="442"/>
      <w:bookmarkEnd w:id="443"/>
    </w:p>
    <w:p w14:paraId="5C532DF1">
      <w:pPr>
        <w:pStyle w:val="70"/>
        <w:spacing w:before="312" w:after="312"/>
        <w:rPr>
          <w:rFonts w:hint="default" w:hAnsi="Times New Roman" w:cs="Times New Roman"/>
          <w:highlight w:val="none"/>
          <w:lang w:val="en-US" w:eastAsia="zh-CN"/>
        </w:rPr>
      </w:pPr>
      <w:bookmarkStart w:id="444" w:name="_Toc12634"/>
      <w:bookmarkStart w:id="445" w:name="_Toc556"/>
      <w:bookmarkStart w:id="446" w:name="_Toc27022"/>
      <w:bookmarkStart w:id="447" w:name="_Toc6291"/>
      <w:bookmarkStart w:id="448" w:name="_Toc25796"/>
      <w:bookmarkStart w:id="449" w:name="_Toc22769"/>
      <w:bookmarkStart w:id="450" w:name="_Toc23859"/>
      <w:bookmarkStart w:id="451" w:name="_Toc16548"/>
      <w:r>
        <w:rPr>
          <w:rFonts w:hint="eastAsia" w:hAnsi="Times New Roman" w:cs="Times New Roman"/>
          <w:highlight w:val="none"/>
          <w:lang w:val="en-US" w:eastAsia="zh-CN"/>
        </w:rPr>
        <w:t>综合评价测算方法</w:t>
      </w:r>
      <w:bookmarkEnd w:id="444"/>
      <w:bookmarkEnd w:id="445"/>
      <w:bookmarkEnd w:id="446"/>
      <w:bookmarkEnd w:id="447"/>
      <w:bookmarkEnd w:id="448"/>
      <w:bookmarkEnd w:id="449"/>
      <w:bookmarkEnd w:id="450"/>
      <w:bookmarkEnd w:id="451"/>
    </w:p>
    <w:p w14:paraId="2E84215C">
      <w:pPr>
        <w:pStyle w:val="25"/>
        <w:ind w:left="0" w:leftChars="0" w:firstLine="420" w:firstLineChars="200"/>
        <w:rPr>
          <w:rFonts w:hint="default" w:ascii="Times New Roman" w:hAnsi="Times New Roman" w:eastAsia="宋体" w:cs="Times New Roman"/>
          <w:i w:val="0"/>
          <w:iCs w:val="0"/>
          <w:highlight w:val="none"/>
          <w:lang w:val="en-US" w:eastAsia="zh-CN"/>
        </w:rPr>
      </w:pPr>
      <w:r>
        <w:rPr>
          <w:rFonts w:hint="default" w:ascii="Times New Roman" w:hAnsi="Times New Roman" w:eastAsia="宋体" w:cs="Times New Roman"/>
          <w:i w:val="0"/>
          <w:iCs w:val="0"/>
          <w:highlight w:val="none"/>
          <w:lang w:val="en-US" w:eastAsia="zh-CN"/>
        </w:rPr>
        <w:t>典型生态单元生态现状</w:t>
      </w:r>
      <w:r>
        <w:rPr>
          <w:rFonts w:hint="eastAsia" w:ascii="Times New Roman" w:hAnsi="Times New Roman" w:eastAsia="宋体" w:cs="Times New Roman"/>
          <w:i w:val="0"/>
          <w:iCs w:val="0"/>
          <w:highlight w:val="none"/>
          <w:lang w:val="en-US" w:eastAsia="zh-CN"/>
        </w:rPr>
        <w:t>综合</w:t>
      </w:r>
      <w:r>
        <w:rPr>
          <w:rFonts w:hint="default" w:ascii="Times New Roman" w:hAnsi="Times New Roman" w:eastAsia="宋体" w:cs="Times New Roman"/>
          <w:i w:val="0"/>
          <w:iCs w:val="0"/>
          <w:highlight w:val="none"/>
          <w:lang w:val="en-US" w:eastAsia="zh-CN"/>
        </w:rPr>
        <w:t>评价指数以及各级指标得分计算方式分别见式</w:t>
      </w:r>
      <w:r>
        <w:rPr>
          <w:rFonts w:hint="default" w:ascii="Times New Roman" w:hAnsi="Times New Roman" w:cs="Times New Roman"/>
          <w:highlight w:val="none"/>
          <w:lang w:val="en-US" w:eastAsia="zh-CN"/>
        </w:rPr>
        <w:t>（C.1）</w:t>
      </w:r>
      <w:r>
        <w:rPr>
          <w:rFonts w:hint="default" w:ascii="Times New Roman" w:hAnsi="Times New Roman" w:eastAsia="宋体" w:cs="Times New Roman"/>
          <w:i w:val="0"/>
          <w:iCs w:val="0"/>
          <w:highlight w:val="none"/>
          <w:lang w:val="en-US" w:eastAsia="zh-CN"/>
        </w:rPr>
        <w:t>、式</w:t>
      </w:r>
      <w:r>
        <w:rPr>
          <w:rFonts w:hint="default" w:ascii="Times New Roman" w:hAnsi="Times New Roman" w:cs="Times New Roman"/>
          <w:highlight w:val="none"/>
          <w:lang w:val="en-US" w:eastAsia="zh-CN"/>
        </w:rPr>
        <w:t>（C.2）</w:t>
      </w:r>
      <w:r>
        <w:rPr>
          <w:rFonts w:hint="default" w:ascii="Times New Roman" w:hAnsi="Times New Roman" w:eastAsia="宋体" w:cs="Times New Roman"/>
          <w:i w:val="0"/>
          <w:iCs w:val="0"/>
          <w:highlight w:val="none"/>
          <w:lang w:val="en-US" w:eastAsia="zh-CN"/>
        </w:rPr>
        <w:t>、式</w:t>
      </w:r>
      <w:r>
        <w:rPr>
          <w:rFonts w:hint="default" w:ascii="Times New Roman" w:hAnsi="Times New Roman" w:cs="Times New Roman"/>
          <w:highlight w:val="none"/>
          <w:lang w:val="en-US" w:eastAsia="zh-CN"/>
        </w:rPr>
        <w:t>（C.3）</w:t>
      </w:r>
      <w:r>
        <w:rPr>
          <w:rFonts w:hint="eastAsia" w:ascii="Times New Roman" w:hAnsi="Times New Roman" w:eastAsia="宋体" w:cs="Times New Roman"/>
          <w:i w:val="0"/>
          <w:iCs w:val="0"/>
          <w:highlight w:val="none"/>
          <w:lang w:val="en-US" w:eastAsia="zh-CN"/>
        </w:rPr>
        <w:t>，评分以百分制计算。</w:t>
      </w:r>
    </w:p>
    <w:p w14:paraId="03071286">
      <w:pPr>
        <w:pStyle w:val="25"/>
        <w:ind w:left="0" w:leftChars="0" w:firstLine="0" w:firstLineChars="0"/>
        <w:jc w:val="right"/>
        <w:rPr>
          <w:rFonts w:hint="default" w:ascii="Times New Roman" w:hAnsi="Times New Roman" w:cs="Times New Roman"/>
          <w:highlight w:val="none"/>
          <w:lang w:val="en-US" w:eastAsia="zh-CN"/>
        </w:rPr>
      </w:pPr>
      <w:r>
        <w:rPr>
          <w:rFonts w:hint="default" w:ascii="Times New Roman" w:hAnsi="Times New Roman" w:cs="Times New Roman"/>
          <w:b w:val="0"/>
          <w:bCs w:val="0"/>
          <w:i w:val="0"/>
          <w:sz w:val="21"/>
          <w:highlight w:val="none"/>
          <w:lang w:val="en-US" w:eastAsia="zh-CN" w:bidi="ar-SA"/>
        </w:rPr>
        <w:t>TEUEI</w:t>
      </w:r>
      <m:oMath>
        <m:r>
          <m:rPr>
            <m:sty m:val="p"/>
          </m:rPr>
          <w:rPr>
            <w:rFonts w:hint="default" w:ascii="DejaVu Math TeX Gyre" w:hAnsi="DejaVu Math TeX Gyre" w:cs="Times New Roman"/>
            <w:sz w:val="21"/>
            <w:highlight w:val="none"/>
            <w:lang w:val="en-US" w:eastAsia="zh-CN" w:bidi="ar-SA"/>
          </w:rPr>
          <m:t>=</m:t>
        </m:r>
        <m:nary>
          <m:naryPr>
            <m:chr m:val="∑"/>
            <m:limLoc m:val="undOvr"/>
            <m:ctrlPr>
              <w:rPr>
                <w:rFonts w:hint="default" w:ascii="DejaVu Math TeX Gyre" w:hAnsi="DejaVu Math TeX Gyre" w:cs="Times New Roman"/>
                <w:sz w:val="21"/>
                <w:highlight w:val="none"/>
                <w:lang w:val="en-US" w:eastAsia="zh-CN" w:bidi="ar-SA"/>
              </w:rPr>
            </m:ctrlPr>
          </m:naryPr>
          <m:sub>
            <m:r>
              <m:rPr/>
              <w:rPr>
                <w:rFonts w:hint="default" w:ascii="DejaVu Math TeX Gyre" w:hAnsi="DejaVu Math TeX Gyre" w:cs="Times New Roman"/>
                <w:sz w:val="21"/>
                <w:highlight w:val="none"/>
                <w:lang w:val="en-US" w:eastAsia="zh-CN" w:bidi="ar-SA"/>
              </w:rPr>
              <m:t>i</m:t>
            </m:r>
            <m:r>
              <m:rPr>
                <m:sty m:val="p"/>
              </m:rPr>
              <w:rPr>
                <w:rFonts w:hint="default" w:ascii="DejaVu Math TeX Gyre" w:hAnsi="DejaVu Math TeX Gyre" w:cs="Times New Roman"/>
                <w:sz w:val="21"/>
                <w:highlight w:val="none"/>
                <w:lang w:val="en-US" w:eastAsia="zh-CN" w:bidi="ar-SA"/>
              </w:rPr>
              <m:t>=1</m:t>
            </m:r>
            <m:ctrlPr>
              <w:rPr>
                <w:rFonts w:hint="default" w:ascii="DejaVu Math TeX Gyre" w:hAnsi="DejaVu Math TeX Gyre" w:cs="Times New Roman"/>
                <w:sz w:val="21"/>
                <w:highlight w:val="none"/>
                <w:lang w:val="en-US" w:eastAsia="zh-CN" w:bidi="ar-SA"/>
              </w:rPr>
            </m:ctrlPr>
          </m:sub>
          <m:sup>
            <m:r>
              <m:rPr/>
              <w:rPr>
                <w:rFonts w:hint="default" w:ascii="DejaVu Math TeX Gyre" w:hAnsi="DejaVu Math TeX Gyre" w:cs="Times New Roman"/>
                <w:sz w:val="21"/>
                <w:highlight w:val="none"/>
                <w:lang w:val="en-US" w:eastAsia="zh-CN" w:bidi="ar-SA"/>
              </w:rPr>
              <m:t>n</m:t>
            </m:r>
            <m:ctrlPr>
              <w:rPr>
                <w:rFonts w:hint="default" w:ascii="DejaVu Math TeX Gyre" w:hAnsi="DejaVu Math TeX Gyre" w:cs="Times New Roman"/>
                <w:sz w:val="21"/>
                <w:highlight w:val="none"/>
                <w:lang w:val="en-US" w:eastAsia="zh-CN" w:bidi="ar-SA"/>
              </w:rPr>
            </m:ctrlPr>
          </m:sup>
          <m:e>
            <m:sSub>
              <m:sSubPr>
                <m:ctrlPr>
                  <w:rPr>
                    <w:rFonts w:hint="default" w:ascii="DejaVu Math TeX Gyre" w:hAnsi="DejaVu Math TeX Gyre" w:cs="Times New Roman"/>
                    <w:i/>
                    <w:iCs/>
                    <w:sz w:val="21"/>
                    <w:highlight w:val="none"/>
                    <w:lang w:val="en-US" w:eastAsia="zh-CN" w:bidi="ar-SA"/>
                  </w:rPr>
                </m:ctrlPr>
              </m:sSubPr>
              <m:e>
                <m:r>
                  <m:rPr/>
                  <w:rPr>
                    <w:rFonts w:hint="default" w:ascii="DejaVu Math TeX Gyre" w:hAnsi="DejaVu Math TeX Gyre" w:cs="Times New Roman"/>
                    <w:sz w:val="21"/>
                    <w:highlight w:val="none"/>
                    <w:lang w:val="en-US" w:eastAsia="zh-CN" w:bidi="ar-SA"/>
                  </w:rPr>
                  <m:t>S</m:t>
                </m:r>
                <m:ctrlPr>
                  <w:rPr>
                    <w:rFonts w:hint="default" w:ascii="DejaVu Math TeX Gyre" w:hAnsi="DejaVu Math TeX Gyre" w:cs="Times New Roman"/>
                    <w:i/>
                    <w:iCs/>
                    <w:sz w:val="21"/>
                    <w:highlight w:val="none"/>
                    <w:lang w:val="en-US" w:eastAsia="zh-CN" w:bidi="ar-SA"/>
                  </w:rPr>
                </m:ctrlPr>
              </m:e>
              <m:sub>
                <m:r>
                  <m:rPr/>
                  <w:rPr>
                    <w:rFonts w:hint="default" w:ascii="DejaVu Math TeX Gyre" w:hAnsi="DejaVu Math TeX Gyre" w:cs="Times New Roman"/>
                    <w:sz w:val="21"/>
                    <w:highlight w:val="none"/>
                    <w:lang w:val="en-US" w:eastAsia="zh-CN" w:bidi="ar-SA"/>
                  </w:rPr>
                  <m:t>i</m:t>
                </m:r>
                <m:ctrlPr>
                  <w:rPr>
                    <w:rFonts w:hint="default" w:ascii="DejaVu Math TeX Gyre" w:hAnsi="DejaVu Math TeX Gyre" w:cs="Times New Roman"/>
                    <w:i/>
                    <w:iCs/>
                    <w:sz w:val="21"/>
                    <w:highlight w:val="none"/>
                    <w:lang w:val="en-US" w:eastAsia="zh-CN" w:bidi="ar-SA"/>
                  </w:rPr>
                </m:ctrlPr>
              </m:sub>
            </m:sSub>
            <m:r>
              <m:rPr>
                <m:sty m:val="p"/>
              </m:rPr>
              <w:rPr>
                <w:rFonts w:ascii="DejaVu Math TeX Gyre" w:hAnsi="DejaVu Math TeX Gyre" w:cs="Times New Roman"/>
                <w:sz w:val="21"/>
                <w:highlight w:val="none"/>
                <w:lang w:val="en-US" w:bidi="ar-SA"/>
              </w:rPr>
              <m:t>×</m:t>
            </m:r>
            <m:sSub>
              <m:sSubPr>
                <m:ctrlPr>
                  <w:rPr>
                    <w:rFonts w:ascii="DejaVu Math TeX Gyre" w:hAnsi="DejaVu Math TeX Gyre" w:cs="Times New Roman"/>
                    <w:i/>
                    <w:iCs/>
                    <w:sz w:val="21"/>
                    <w:highlight w:val="none"/>
                    <w:lang w:val="en-US" w:bidi="ar-SA"/>
                  </w:rPr>
                </m:ctrlPr>
              </m:sSubPr>
              <m:e>
                <m:r>
                  <m:rPr/>
                  <w:rPr>
                    <w:rFonts w:hint="default" w:ascii="DejaVu Math TeX Gyre" w:hAnsi="DejaVu Math TeX Gyre" w:cs="Times New Roman"/>
                    <w:sz w:val="21"/>
                    <w:highlight w:val="none"/>
                    <w:lang w:val="en-US" w:bidi="ar-SA"/>
                  </w:rPr>
                  <m:t>α</m:t>
                </m:r>
                <m:ctrlPr>
                  <w:rPr>
                    <w:rFonts w:ascii="DejaVu Math TeX Gyre" w:hAnsi="DejaVu Math TeX Gyre" w:cs="Times New Roman"/>
                    <w:i/>
                    <w:iCs/>
                    <w:sz w:val="21"/>
                    <w:highlight w:val="none"/>
                    <w:lang w:val="en-US" w:bidi="ar-SA"/>
                  </w:rPr>
                </m:ctrlPr>
              </m:e>
              <m:sub>
                <m:r>
                  <m:rPr/>
                  <w:rPr>
                    <w:rFonts w:hint="default" w:ascii="DejaVu Math TeX Gyre" w:hAnsi="DejaVu Math TeX Gyre" w:cs="Times New Roman"/>
                    <w:sz w:val="21"/>
                    <w:highlight w:val="none"/>
                    <w:lang w:val="en-US" w:eastAsia="zh-CN" w:bidi="ar-SA"/>
                  </w:rPr>
                  <m:t>i</m:t>
                </m:r>
                <m:ctrlPr>
                  <w:rPr>
                    <w:rFonts w:ascii="DejaVu Math TeX Gyre" w:hAnsi="DejaVu Math TeX Gyre" w:cs="Times New Roman"/>
                    <w:i/>
                    <w:iCs/>
                    <w:sz w:val="21"/>
                    <w:highlight w:val="none"/>
                    <w:lang w:val="en-US" w:bidi="ar-SA"/>
                  </w:rPr>
                </m:ctrlPr>
              </m:sub>
            </m:sSub>
            <m:ctrlPr>
              <w:rPr>
                <w:rFonts w:hint="default" w:ascii="DejaVu Math TeX Gyre" w:hAnsi="DejaVu Math TeX Gyre" w:cs="Times New Roman"/>
                <w:sz w:val="21"/>
                <w:highlight w:val="none"/>
                <w:lang w:val="en-US" w:eastAsia="zh-CN" w:bidi="ar-SA"/>
              </w:rPr>
            </m:ctrlPr>
          </m:e>
        </m:nary>
      </m:oMath>
      <w:r>
        <w:rPr>
          <w:rFonts w:hint="eastAsia" w:ascii="Times New Roman" w:hAnsi="Times New Roman" w:cs="Times New Roman"/>
          <w:highlight w:val="none"/>
          <w:lang w:val="en-US" w:eastAsia="zh-CN"/>
        </w:rPr>
        <w:t xml:space="preserve">       </w:t>
      </w:r>
      <w:r>
        <w:rPr>
          <w:rFonts w:hint="eastAsia" w:ascii="Times New Roman" w:cs="Times New Roman"/>
          <w:highlight w:val="none"/>
          <w:lang w:val="en-US" w:eastAsia="zh-CN"/>
        </w:rPr>
        <w:t xml:space="preserve">  </w:t>
      </w:r>
      <w:r>
        <w:rPr>
          <w:rFonts w:hint="eastAsia" w:ascii="Times New Roman" w:hAnsi="Times New Roman" w:cs="Times New Roman"/>
          <w:highlight w:val="none"/>
          <w:lang w:val="en-US" w:eastAsia="zh-CN"/>
        </w:rPr>
        <w:t xml:space="preserve">          </w:t>
      </w:r>
      <w:r>
        <w:rPr>
          <w:rFonts w:hint="eastAsia" w:ascii="Times New Roman" w:cs="Times New Roman"/>
          <w:highlight w:val="none"/>
          <w:lang w:val="en-US" w:eastAsia="zh-CN"/>
        </w:rPr>
        <w:t xml:space="preserve">     </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lang w:val="en-US" w:eastAsia="zh-CN"/>
        </w:rPr>
        <w:t>（C.1）</w:t>
      </w:r>
    </w:p>
    <w:p w14:paraId="0EBD5D24">
      <w:pPr>
        <w:pStyle w:val="25"/>
        <w:ind w:left="0" w:leftChars="0" w:firstLine="420" w:firstLineChars="200"/>
        <w:rPr>
          <w:rFonts w:hint="default" w:ascii="Times New Roman" w:hAnsi="Times New Roman" w:eastAsia="宋体" w:cs="Times New Roman"/>
          <w:i w:val="0"/>
          <w:iCs w:val="0"/>
          <w:highlight w:val="none"/>
          <w:lang w:val="en-US" w:eastAsia="zh-CN"/>
        </w:rPr>
      </w:pPr>
      <w:r>
        <w:rPr>
          <w:rFonts w:hint="default" w:ascii="Times New Roman" w:hAnsi="Times New Roman" w:eastAsia="宋体" w:cs="Times New Roman"/>
          <w:i w:val="0"/>
          <w:iCs w:val="0"/>
          <w:highlight w:val="none"/>
          <w:lang w:val="en-US" w:eastAsia="zh-CN"/>
        </w:rPr>
        <w:t>式中：</w:t>
      </w:r>
    </w:p>
    <w:p w14:paraId="787C2DF3">
      <w:pPr>
        <w:pStyle w:val="25"/>
        <w:ind w:left="0" w:leftChars="0" w:firstLine="420" w:firstLineChars="200"/>
        <w:rPr>
          <w:rFonts w:hint="default" w:ascii="Times New Roman" w:hAnsi="Times New Roman" w:eastAsia="宋体" w:cs="Times New Roman"/>
          <w:i w:val="0"/>
          <w:iCs w:val="0"/>
          <w:highlight w:val="none"/>
          <w:lang w:val="en-US" w:eastAsia="zh-CN"/>
        </w:rPr>
      </w:pPr>
      <w:r>
        <w:rPr>
          <w:rFonts w:hint="eastAsia" w:ascii="Times New Roman" w:hAnsi="Times New Roman" w:eastAsia="宋体" w:cs="Times New Roman"/>
          <w:i w:val="0"/>
          <w:iCs w:val="0"/>
          <w:highlight w:val="none"/>
          <w:lang w:val="en-US" w:eastAsia="zh-CN"/>
        </w:rPr>
        <w:t>TEU</w:t>
      </w:r>
      <w:r>
        <w:rPr>
          <w:rFonts w:hint="default" w:ascii="Times New Roman" w:hAnsi="Times New Roman" w:eastAsia="宋体" w:cs="Times New Roman"/>
          <w:i w:val="0"/>
          <w:iCs w:val="0"/>
          <w:highlight w:val="none"/>
          <w:lang w:val="en-US" w:eastAsia="zh-CN"/>
        </w:rPr>
        <w:t>EI———典型生态单元生态现状</w:t>
      </w:r>
      <w:r>
        <w:rPr>
          <w:rFonts w:hint="eastAsia" w:ascii="Times New Roman" w:hAnsi="Times New Roman" w:eastAsia="宋体" w:cs="Times New Roman"/>
          <w:i w:val="0"/>
          <w:iCs w:val="0"/>
          <w:highlight w:val="none"/>
          <w:lang w:val="en-US" w:eastAsia="zh-CN"/>
        </w:rPr>
        <w:t>综合</w:t>
      </w:r>
      <w:r>
        <w:rPr>
          <w:rFonts w:hint="default" w:ascii="Times New Roman" w:hAnsi="Times New Roman" w:eastAsia="宋体" w:cs="Times New Roman"/>
          <w:i w:val="0"/>
          <w:iCs w:val="0"/>
          <w:highlight w:val="none"/>
          <w:lang w:val="en-US" w:eastAsia="zh-CN"/>
        </w:rPr>
        <w:t>评价指数；</w:t>
      </w:r>
    </w:p>
    <w:p w14:paraId="0B7679F0">
      <w:pPr>
        <w:pStyle w:val="25"/>
        <w:ind w:left="0" w:leftChars="0" w:firstLine="420" w:firstLineChars="200"/>
        <w:rPr>
          <w:rFonts w:hint="default" w:ascii="Times New Roman" w:hAnsi="Times New Roman" w:eastAsia="宋体" w:cs="Times New Roman"/>
          <w:i w:val="0"/>
          <w:iCs w:val="0"/>
          <w:highlight w:val="none"/>
          <w:lang w:val="en-US" w:eastAsia="zh-CN"/>
        </w:rPr>
      </w:pPr>
      <w:r>
        <w:rPr>
          <w:rFonts w:hint="default" w:ascii="Times New Roman" w:hAnsi="Times New Roman" w:eastAsia="宋体" w:cs="Times New Roman"/>
          <w:i/>
          <w:iCs/>
          <w:highlight w:val="none"/>
          <w:lang w:val="en-US" w:eastAsia="zh-CN"/>
        </w:rPr>
        <w:t>S</w:t>
      </w:r>
      <w:r>
        <w:rPr>
          <w:rFonts w:hint="default" w:ascii="Times New Roman" w:hAnsi="Times New Roman" w:eastAsia="宋体" w:cs="Times New Roman"/>
          <w:i/>
          <w:iCs/>
          <w:highlight w:val="none"/>
          <w:vertAlign w:val="subscript"/>
          <w:lang w:val="en-US" w:eastAsia="zh-CN"/>
        </w:rPr>
        <w:t>i</w:t>
      </w:r>
      <w:r>
        <w:rPr>
          <w:rFonts w:hint="default" w:ascii="Times New Roman" w:hAnsi="Times New Roman" w:eastAsia="宋体" w:cs="Times New Roman"/>
          <w:i w:val="0"/>
          <w:iCs w:val="0"/>
          <w:highlight w:val="none"/>
          <w:lang w:val="en-US" w:eastAsia="zh-CN"/>
        </w:rPr>
        <w:t>———</w:t>
      </w:r>
      <w:r>
        <w:rPr>
          <w:rFonts w:hint="eastAsia" w:ascii="Times New Roman" w:hAnsi="Times New Roman" w:eastAsia="宋体" w:cs="Times New Roman"/>
          <w:i w:val="0"/>
          <w:iCs w:val="0"/>
          <w:highlight w:val="none"/>
          <w:lang w:val="en-US" w:eastAsia="zh-CN"/>
        </w:rPr>
        <w:t>TEU</w:t>
      </w:r>
      <w:r>
        <w:rPr>
          <w:rFonts w:hint="default" w:ascii="Times New Roman" w:hAnsi="Times New Roman" w:eastAsia="宋体" w:cs="Times New Roman"/>
          <w:i w:val="0"/>
          <w:iCs w:val="0"/>
          <w:highlight w:val="none"/>
          <w:lang w:val="en-US" w:eastAsia="zh-CN"/>
        </w:rPr>
        <w:t>EI第</w:t>
      </w:r>
      <w:r>
        <w:rPr>
          <w:rFonts w:hint="eastAsia" w:ascii="Times New Roman" w:hAnsi="Times New Roman" w:eastAsia="宋体" w:cs="Times New Roman"/>
          <w:i/>
          <w:iCs/>
          <w:highlight w:val="none"/>
          <w:lang w:val="en-US" w:eastAsia="zh-CN"/>
        </w:rPr>
        <w:t>i</w:t>
      </w:r>
      <w:r>
        <w:rPr>
          <w:rFonts w:hint="default" w:ascii="Times New Roman" w:hAnsi="Times New Roman" w:eastAsia="宋体" w:cs="Times New Roman"/>
          <w:i w:val="0"/>
          <w:iCs w:val="0"/>
          <w:highlight w:val="none"/>
          <w:lang w:val="en-US" w:eastAsia="zh-CN"/>
        </w:rPr>
        <w:t>项一级指标得分；</w:t>
      </w:r>
    </w:p>
    <w:p w14:paraId="7E0156A9">
      <w:pPr>
        <w:pStyle w:val="25"/>
        <w:ind w:left="0" w:leftChars="0" w:firstLine="420" w:firstLineChars="200"/>
        <w:rPr>
          <w:rFonts w:hint="eastAsia" w:ascii="Times New Roman" w:hAnsi="Times New Roman" w:eastAsia="宋体" w:cs="Times New Roman"/>
          <w:highlight w:val="none"/>
          <w:lang w:val="en-US" w:eastAsia="zh-CN"/>
        </w:rPr>
      </w:pPr>
      <w:r>
        <w:rPr>
          <w:rFonts w:hint="default" w:ascii="Times New Roman" w:hAnsi="Times New Roman" w:eastAsia="宋体" w:cs="Times New Roman"/>
          <w:i/>
          <w:iCs/>
          <w:highlight w:val="none"/>
          <w:lang w:val="en-US" w:eastAsia="zh-CN"/>
        </w:rPr>
        <w:t>α</w:t>
      </w:r>
      <w:r>
        <w:rPr>
          <w:rFonts w:hint="default" w:ascii="Times New Roman" w:hAnsi="Times New Roman" w:eastAsia="宋体" w:cs="Times New Roman"/>
          <w:i/>
          <w:iCs/>
          <w:highlight w:val="none"/>
          <w:vertAlign w:val="subscript"/>
          <w:lang w:val="en-US" w:eastAsia="zh-CN"/>
        </w:rPr>
        <w:t>i</w:t>
      </w:r>
      <w:r>
        <w:rPr>
          <w:rFonts w:hint="default" w:ascii="Times New Roman" w:hAnsi="Times New Roman" w:eastAsia="宋体" w:cs="Times New Roman"/>
          <w:i w:val="0"/>
          <w:iCs w:val="0"/>
          <w:highlight w:val="none"/>
          <w:lang w:val="en-US" w:eastAsia="zh-CN"/>
        </w:rPr>
        <w:t>———第</w:t>
      </w:r>
      <w:r>
        <w:rPr>
          <w:rFonts w:hint="default" w:ascii="Times New Roman" w:hAnsi="Times New Roman" w:eastAsia="宋体" w:cs="Times New Roman"/>
          <w:i/>
          <w:iCs/>
          <w:highlight w:val="none"/>
          <w:lang w:val="en-US" w:eastAsia="zh-CN"/>
        </w:rPr>
        <w:t>i</w:t>
      </w:r>
      <w:r>
        <w:rPr>
          <w:rFonts w:hint="default" w:ascii="Times New Roman" w:hAnsi="Times New Roman" w:eastAsia="宋体" w:cs="Times New Roman"/>
          <w:i w:val="0"/>
          <w:iCs w:val="0"/>
          <w:highlight w:val="none"/>
          <w:lang w:val="en-US" w:eastAsia="zh-CN"/>
        </w:rPr>
        <w:t>项一级指标权重，</w:t>
      </w:r>
      <w:r>
        <w:rPr>
          <w:rFonts w:hint="default" w:ascii="Times New Roman" w:hAnsi="Times New Roman" w:cs="Times New Roman"/>
          <w:highlight w:val="none"/>
        </w:rPr>
        <w:t xml:space="preserve"> </w:t>
      </w:r>
      <m:oMath>
        <m:nary>
          <m:naryPr>
            <m:chr m:val="∑"/>
            <m:limLoc m:val="undOvr"/>
            <m:ctrlPr>
              <w:rPr>
                <w:rFonts w:hint="default" w:ascii="DejaVu Math TeX Gyre" w:hAnsi="DejaVu Math TeX Gyre" w:cs="DejaVu Math TeX Gyre"/>
                <w:i/>
                <w:iCs/>
                <w:sz w:val="21"/>
                <w:highlight w:val="none"/>
                <w:lang w:val="en-US" w:eastAsia="zh-CN" w:bidi="ar-SA"/>
              </w:rPr>
            </m:ctrlPr>
          </m:naryPr>
          <m:sub>
            <m:r>
              <m:rPr/>
              <w:rPr>
                <w:rFonts w:hint="default" w:ascii="DejaVu Math TeX Gyre" w:hAnsi="DejaVu Math TeX Gyre" w:cs="DejaVu Math TeX Gyre"/>
                <w:sz w:val="21"/>
                <w:highlight w:val="none"/>
                <w:lang w:val="en-US" w:eastAsia="zh-CN" w:bidi="ar-SA"/>
              </w:rPr>
              <m:t>i=1</m:t>
            </m:r>
            <m:ctrlPr>
              <w:rPr>
                <w:rFonts w:hint="default" w:ascii="DejaVu Math TeX Gyre" w:hAnsi="DejaVu Math TeX Gyre" w:cs="DejaVu Math TeX Gyre"/>
                <w:i/>
                <w:iCs/>
                <w:sz w:val="21"/>
                <w:highlight w:val="none"/>
                <w:lang w:val="en-US" w:eastAsia="zh-CN" w:bidi="ar-SA"/>
              </w:rPr>
            </m:ctrlPr>
          </m:sub>
          <m:sup>
            <m:r>
              <m:rPr/>
              <w:rPr>
                <w:rFonts w:hint="default" w:ascii="DejaVu Math TeX Gyre" w:hAnsi="DejaVu Math TeX Gyre" w:cs="DejaVu Math TeX Gyre"/>
                <w:sz w:val="21"/>
                <w:highlight w:val="none"/>
                <w:lang w:val="en-US" w:eastAsia="zh-CN" w:bidi="ar-SA"/>
              </w:rPr>
              <m:t>n</m:t>
            </m:r>
            <m:ctrlPr>
              <w:rPr>
                <w:rFonts w:hint="default" w:ascii="DejaVu Math TeX Gyre" w:hAnsi="DejaVu Math TeX Gyre" w:cs="DejaVu Math TeX Gyre"/>
                <w:i/>
                <w:iCs/>
                <w:sz w:val="21"/>
                <w:highlight w:val="none"/>
                <w:lang w:val="en-US" w:eastAsia="zh-CN" w:bidi="ar-SA"/>
              </w:rPr>
            </m:ctrlPr>
          </m:sup>
          <m:e>
            <m:sSub>
              <m:sSubPr>
                <m:ctrlPr>
                  <w:rPr>
                    <w:rFonts w:hint="default" w:ascii="DejaVu Math TeX Gyre" w:hAnsi="DejaVu Math TeX Gyre" w:cs="DejaVu Math TeX Gyre"/>
                    <w:i/>
                    <w:iCs/>
                    <w:sz w:val="21"/>
                    <w:highlight w:val="none"/>
                    <w:lang w:val="en-US" w:eastAsia="zh-CN" w:bidi="ar-SA"/>
                  </w:rPr>
                </m:ctrlPr>
              </m:sSubPr>
              <m:e>
                <m:r>
                  <m:rPr/>
                  <w:rPr>
                    <w:rFonts w:ascii="DejaVu Math TeX Gyre" w:hAnsi="DejaVu Math TeX Gyre" w:cs="DejaVu Math TeX Gyre"/>
                    <w:sz w:val="21"/>
                    <w:highlight w:val="none"/>
                    <w:lang w:val="en-US" w:bidi="ar-SA"/>
                  </w:rPr>
                  <m:t>α</m:t>
                </m:r>
                <m:ctrlPr>
                  <w:rPr>
                    <w:rFonts w:hint="default" w:ascii="DejaVu Math TeX Gyre" w:hAnsi="DejaVu Math TeX Gyre" w:cs="DejaVu Math TeX Gyre"/>
                    <w:i/>
                    <w:iCs/>
                    <w:sz w:val="21"/>
                    <w:highlight w:val="none"/>
                    <w:lang w:val="en-US" w:eastAsia="zh-CN" w:bidi="ar-SA"/>
                  </w:rPr>
                </m:ctrlPr>
              </m:e>
              <m:sub>
                <m:r>
                  <m:rPr/>
                  <w:rPr>
                    <w:rFonts w:hint="default" w:ascii="DejaVu Math TeX Gyre" w:hAnsi="DejaVu Math TeX Gyre" w:cs="DejaVu Math TeX Gyre"/>
                    <w:sz w:val="21"/>
                    <w:highlight w:val="none"/>
                    <w:lang w:val="en-US" w:eastAsia="zh-CN" w:bidi="ar-SA"/>
                  </w:rPr>
                  <m:t>i</m:t>
                </m:r>
                <m:ctrlPr>
                  <w:rPr>
                    <w:rFonts w:hint="default" w:ascii="DejaVu Math TeX Gyre" w:hAnsi="DejaVu Math TeX Gyre" w:cs="DejaVu Math TeX Gyre"/>
                    <w:i/>
                    <w:iCs/>
                    <w:sz w:val="21"/>
                    <w:highlight w:val="none"/>
                    <w:lang w:val="en-US" w:eastAsia="zh-CN" w:bidi="ar-SA"/>
                  </w:rPr>
                </m:ctrlPr>
              </m:sub>
            </m:sSub>
            <m:r>
              <m:rPr/>
              <w:rPr>
                <w:rFonts w:ascii="DejaVu Math TeX Gyre" w:hAnsi="DejaVu Math TeX Gyre" w:cs="DejaVu Math TeX Gyre"/>
                <w:sz w:val="21"/>
                <w:highlight w:val="none"/>
                <w:lang w:val="en-US" w:bidi="ar-SA"/>
              </w:rPr>
              <m:t>=</m:t>
            </m:r>
            <m:r>
              <m:rPr/>
              <w:rPr>
                <w:rFonts w:hint="default" w:ascii="DejaVu Math TeX Gyre" w:hAnsi="DejaVu Math TeX Gyre" w:cs="DejaVu Math TeX Gyre"/>
                <w:sz w:val="21"/>
                <w:highlight w:val="none"/>
                <w:lang w:val="en-US" w:eastAsia="zh-CN" w:bidi="ar-SA"/>
              </w:rPr>
              <m:t>1</m:t>
            </m:r>
            <m:ctrlPr>
              <w:rPr>
                <w:rFonts w:hint="default" w:ascii="DejaVu Math TeX Gyre" w:hAnsi="DejaVu Math TeX Gyre" w:cs="DejaVu Math TeX Gyre"/>
                <w:i/>
                <w:iCs/>
                <w:sz w:val="21"/>
                <w:highlight w:val="none"/>
                <w:lang w:val="en-US" w:eastAsia="zh-CN" w:bidi="ar-SA"/>
              </w:rPr>
            </m:ctrlPr>
          </m:e>
        </m:nary>
      </m:oMath>
      <w:r>
        <w:rPr>
          <w:rFonts w:hint="default" w:ascii="DejaVu Math TeX Gyre" w:hAnsi="DejaVu Math TeX Gyre" w:cs="DejaVu Math TeX Gyre"/>
          <w:i/>
          <w:iCs/>
          <w:sz w:val="21"/>
          <w:highlight w:val="none"/>
          <w:lang w:val="en-US" w:eastAsia="zh-CN" w:bidi="ar-SA"/>
        </w:rPr>
        <w:t xml:space="preserve"> </w:t>
      </w:r>
      <w:r>
        <w:rPr>
          <w:rFonts w:hint="eastAsia" w:ascii="Times New Roman" w:cs="Times New Roman"/>
          <w:highlight w:val="none"/>
          <w:lang w:val="en-US" w:eastAsia="zh-CN"/>
        </w:rPr>
        <w:t>；</w:t>
      </w:r>
    </w:p>
    <w:p w14:paraId="1F67FD5D">
      <w:pPr>
        <w:pStyle w:val="25"/>
        <w:ind w:left="0" w:leftChars="0" w:firstLine="420" w:firstLineChars="200"/>
        <w:rPr>
          <w:rFonts w:hint="default" w:ascii="Times New Roman" w:hAnsi="Times New Roman" w:eastAsia="宋体" w:cs="Times New Roman"/>
          <w:i w:val="0"/>
          <w:iCs w:val="0"/>
          <w:highlight w:val="none"/>
          <w:lang w:val="en-US" w:eastAsia="zh-CN"/>
        </w:rPr>
      </w:pPr>
      <w:r>
        <w:rPr>
          <w:rFonts w:hint="eastAsia" w:ascii="Times New Roman" w:hAnsi="Times New Roman" w:eastAsia="宋体" w:cs="Times New Roman"/>
          <w:i/>
          <w:iCs/>
          <w:highlight w:val="none"/>
          <w:lang w:val="en-US" w:eastAsia="zh-CN"/>
        </w:rPr>
        <w:t>n</w:t>
      </w:r>
      <w:r>
        <w:rPr>
          <w:rFonts w:hint="default" w:ascii="Times New Roman" w:hAnsi="Times New Roman" w:eastAsia="宋体" w:cs="Times New Roman"/>
          <w:i w:val="0"/>
          <w:iCs w:val="0"/>
          <w:highlight w:val="none"/>
          <w:lang w:val="en-US" w:eastAsia="zh-CN"/>
        </w:rPr>
        <w:t>———一级指标序号。</w:t>
      </w:r>
    </w:p>
    <w:p w14:paraId="5AE37C2A">
      <w:pPr>
        <w:pStyle w:val="25"/>
        <w:ind w:left="0" w:leftChars="0" w:firstLine="420" w:firstLineChars="200"/>
        <w:jc w:val="right"/>
        <w:rPr>
          <w:rFonts w:hint="default" w:ascii="Times New Roman" w:hAnsi="Times New Roman" w:eastAsia="宋体" w:cs="Times New Roman"/>
          <w:highlight w:val="none"/>
          <w:lang w:val="en-US" w:eastAsia="zh-CN"/>
        </w:rPr>
      </w:pPr>
      <w:r>
        <w:rPr>
          <w:rFonts w:hint="eastAsia"/>
          <w:highlight w:val="none"/>
          <w:lang w:val="en-US" w:eastAsia="zh-CN"/>
        </w:rPr>
        <w:t xml:space="preserve">          </w:t>
      </w:r>
      <m:oMath>
        <m:sSub>
          <m:sSubPr>
            <m:ctrlPr>
              <w:rPr>
                <w:rFonts w:hint="default" w:ascii="DejaVu Math TeX Gyre" w:hAnsi="DejaVu Math TeX Gyre" w:cs="Times New Roman"/>
                <w:i/>
                <w:iCs/>
                <w:sz w:val="21"/>
                <w:highlight w:val="none"/>
                <w:lang w:val="en-US" w:eastAsia="zh-CN" w:bidi="ar-SA"/>
              </w:rPr>
            </m:ctrlPr>
          </m:sSubPr>
          <m:e>
            <m:r>
              <m:rPr/>
              <w:rPr>
                <w:rFonts w:hint="default" w:ascii="DejaVu Math TeX Gyre" w:hAnsi="DejaVu Math TeX Gyre" w:cs="Times New Roman"/>
                <w:sz w:val="21"/>
                <w:highlight w:val="none"/>
                <w:lang w:val="en-US" w:eastAsia="zh-CN" w:bidi="ar-SA"/>
              </w:rPr>
              <m:t>S</m:t>
            </m:r>
            <m:ctrlPr>
              <w:rPr>
                <w:rFonts w:hint="default" w:ascii="DejaVu Math TeX Gyre" w:hAnsi="DejaVu Math TeX Gyre" w:cs="Times New Roman"/>
                <w:i/>
                <w:iCs/>
                <w:sz w:val="21"/>
                <w:highlight w:val="none"/>
                <w:lang w:val="en-US" w:eastAsia="zh-CN" w:bidi="ar-SA"/>
              </w:rPr>
            </m:ctrlPr>
          </m:e>
          <m:sub>
            <m:r>
              <m:rPr/>
              <w:rPr>
                <w:rFonts w:hint="default" w:ascii="DejaVu Math TeX Gyre" w:hAnsi="DejaVu Math TeX Gyre" w:cs="Times New Roman"/>
                <w:sz w:val="21"/>
                <w:highlight w:val="none"/>
                <w:lang w:val="en-US" w:eastAsia="zh-CN" w:bidi="ar-SA"/>
              </w:rPr>
              <m:t>i</m:t>
            </m:r>
            <m:ctrlPr>
              <w:rPr>
                <w:rFonts w:hint="default" w:ascii="DejaVu Math TeX Gyre" w:hAnsi="DejaVu Math TeX Gyre" w:cs="Times New Roman"/>
                <w:i/>
                <w:iCs/>
                <w:sz w:val="21"/>
                <w:highlight w:val="none"/>
                <w:lang w:val="en-US" w:eastAsia="zh-CN" w:bidi="ar-SA"/>
              </w:rPr>
            </m:ctrlPr>
          </m:sub>
        </m:sSub>
        <m:r>
          <m:rPr/>
          <w:rPr>
            <w:rFonts w:hint="default" w:ascii="DejaVu Math TeX Gyre" w:hAnsi="DejaVu Math TeX Gyre" w:cs="DejaVu Math TeX Gyre"/>
            <w:sz w:val="21"/>
            <w:highlight w:val="none"/>
            <w:lang w:val="en-US" w:eastAsia="zh-CN" w:bidi="ar-SA"/>
          </w:rPr>
          <m:t>=</m:t>
        </m:r>
        <m:nary>
          <m:naryPr>
            <m:chr m:val="∑"/>
            <m:limLoc m:val="undOvr"/>
            <m:ctrlPr>
              <w:rPr>
                <w:rFonts w:hint="default" w:ascii="DejaVu Math TeX Gyre" w:hAnsi="DejaVu Math TeX Gyre" w:cs="DejaVu Math TeX Gyre"/>
                <w:i/>
                <w:iCs/>
                <w:sz w:val="21"/>
                <w:highlight w:val="none"/>
                <w:lang w:val="en-US" w:eastAsia="zh-CN" w:bidi="ar-SA"/>
              </w:rPr>
            </m:ctrlPr>
          </m:naryPr>
          <m:sub>
            <m:r>
              <m:rPr/>
              <w:rPr>
                <w:rFonts w:hint="default" w:ascii="DejaVu Math TeX Gyre" w:hAnsi="DejaVu Math TeX Gyre" w:cs="DejaVu Math TeX Gyre"/>
                <w:sz w:val="21"/>
                <w:highlight w:val="none"/>
                <w:lang w:val="en-US" w:eastAsia="zh-CN" w:bidi="ar-SA"/>
              </w:rPr>
              <m:t>j=1</m:t>
            </m:r>
            <m:ctrlPr>
              <w:rPr>
                <w:rFonts w:hint="default" w:ascii="DejaVu Math TeX Gyre" w:hAnsi="DejaVu Math TeX Gyre" w:cs="DejaVu Math TeX Gyre"/>
                <w:i/>
                <w:iCs/>
                <w:sz w:val="21"/>
                <w:highlight w:val="none"/>
                <w:lang w:val="en-US" w:eastAsia="zh-CN" w:bidi="ar-SA"/>
              </w:rPr>
            </m:ctrlPr>
          </m:sub>
          <m:sup>
            <m:r>
              <m:rPr/>
              <w:rPr>
                <w:rFonts w:hint="default" w:ascii="DejaVu Math TeX Gyre" w:hAnsi="DejaVu Math TeX Gyre" w:cs="DejaVu Math TeX Gyre"/>
                <w:sz w:val="21"/>
                <w:highlight w:val="none"/>
                <w:lang w:val="en-US" w:eastAsia="zh-CN" w:bidi="ar-SA"/>
              </w:rPr>
              <m:t>m</m:t>
            </m:r>
            <m:ctrlPr>
              <w:rPr>
                <w:rFonts w:hint="default" w:ascii="DejaVu Math TeX Gyre" w:hAnsi="DejaVu Math TeX Gyre" w:cs="DejaVu Math TeX Gyre"/>
                <w:i/>
                <w:iCs/>
                <w:sz w:val="21"/>
                <w:highlight w:val="none"/>
                <w:lang w:val="en-US" w:eastAsia="zh-CN" w:bidi="ar-SA"/>
              </w:rPr>
            </m:ctrlPr>
          </m:sup>
          <m:e>
            <m:sSub>
              <m:sSubPr>
                <m:ctrlPr>
                  <w:rPr>
                    <w:rFonts w:hint="default" w:ascii="DejaVu Math TeX Gyre" w:hAnsi="DejaVu Math TeX Gyre" w:cs="DejaVu Math TeX Gyre"/>
                    <w:i/>
                    <w:iCs/>
                    <w:sz w:val="21"/>
                    <w:highlight w:val="none"/>
                    <w:lang w:val="en-US" w:eastAsia="zh-CN" w:bidi="ar-SA"/>
                  </w:rPr>
                </m:ctrlPr>
              </m:sSubPr>
              <m:e>
                <m:r>
                  <m:rPr/>
                  <w:rPr>
                    <w:rFonts w:hint="default" w:ascii="DejaVu Math TeX Gyre" w:hAnsi="DejaVu Math TeX Gyre" w:cs="DejaVu Math TeX Gyre"/>
                    <w:sz w:val="21"/>
                    <w:highlight w:val="none"/>
                    <w:lang w:val="en-US" w:eastAsia="zh-CN" w:bidi="ar-SA"/>
                  </w:rPr>
                  <m:t>s</m:t>
                </m:r>
                <m:ctrlPr>
                  <w:rPr>
                    <w:rFonts w:hint="default" w:ascii="DejaVu Math TeX Gyre" w:hAnsi="DejaVu Math TeX Gyre" w:cs="DejaVu Math TeX Gyre"/>
                    <w:i/>
                    <w:iCs/>
                    <w:sz w:val="21"/>
                    <w:highlight w:val="none"/>
                    <w:lang w:val="en-US" w:eastAsia="zh-CN" w:bidi="ar-SA"/>
                  </w:rPr>
                </m:ctrlPr>
              </m:e>
              <m:sub>
                <m:r>
                  <m:rPr/>
                  <w:rPr>
                    <w:rFonts w:hint="default" w:ascii="DejaVu Math TeX Gyre" w:hAnsi="DejaVu Math TeX Gyre" w:cs="DejaVu Math TeX Gyre"/>
                    <w:sz w:val="21"/>
                    <w:highlight w:val="none"/>
                    <w:lang w:val="en-US" w:eastAsia="zh-CN" w:bidi="ar-SA"/>
                  </w:rPr>
                  <m:t>j</m:t>
                </m:r>
                <m:ctrlPr>
                  <w:rPr>
                    <w:rFonts w:hint="default" w:ascii="DejaVu Math TeX Gyre" w:hAnsi="DejaVu Math TeX Gyre" w:cs="DejaVu Math TeX Gyre"/>
                    <w:i/>
                    <w:iCs/>
                    <w:sz w:val="21"/>
                    <w:highlight w:val="none"/>
                    <w:lang w:val="en-US" w:eastAsia="zh-CN" w:bidi="ar-SA"/>
                  </w:rPr>
                </m:ctrlPr>
              </m:sub>
            </m:sSub>
            <m:r>
              <m:rPr/>
              <w:rPr>
                <w:rFonts w:ascii="DejaVu Math TeX Gyre" w:hAnsi="DejaVu Math TeX Gyre" w:cs="DejaVu Math TeX Gyre"/>
                <w:sz w:val="21"/>
                <w:highlight w:val="none"/>
                <w:lang w:val="en-US" w:bidi="ar-SA"/>
              </w:rPr>
              <m:t>×</m:t>
            </m:r>
            <m:sSub>
              <m:sSubPr>
                <m:ctrlPr>
                  <w:rPr>
                    <w:rFonts w:ascii="DejaVu Math TeX Gyre" w:hAnsi="DejaVu Math TeX Gyre" w:cs="DejaVu Math TeX Gyre"/>
                    <w:i/>
                    <w:iCs/>
                    <w:sz w:val="21"/>
                    <w:highlight w:val="none"/>
                    <w:lang w:val="en-US" w:bidi="ar-SA"/>
                  </w:rPr>
                </m:ctrlPr>
              </m:sSubPr>
              <m:e>
                <m:r>
                  <m:rPr/>
                  <w:rPr>
                    <w:rFonts w:ascii="DejaVu Math TeX Gyre" w:hAnsi="DejaVu Math TeX Gyre" w:cs="DejaVu Math TeX Gyre"/>
                    <w:sz w:val="21"/>
                    <w:highlight w:val="none"/>
                    <w:lang w:val="en-US" w:bidi="ar-SA"/>
                  </w:rPr>
                  <m:t>β</m:t>
                </m:r>
                <m:ctrlPr>
                  <w:rPr>
                    <w:rFonts w:ascii="DejaVu Math TeX Gyre" w:hAnsi="DejaVu Math TeX Gyre" w:cs="DejaVu Math TeX Gyre"/>
                    <w:i/>
                    <w:iCs/>
                    <w:sz w:val="21"/>
                    <w:highlight w:val="none"/>
                    <w:lang w:val="en-US" w:bidi="ar-SA"/>
                  </w:rPr>
                </m:ctrlPr>
              </m:e>
              <m:sub>
                <m:r>
                  <m:rPr/>
                  <w:rPr>
                    <w:rFonts w:hint="default" w:ascii="DejaVu Math TeX Gyre" w:hAnsi="DejaVu Math TeX Gyre" w:cs="DejaVu Math TeX Gyre"/>
                    <w:sz w:val="21"/>
                    <w:highlight w:val="none"/>
                    <w:lang w:val="en-US" w:eastAsia="zh-CN" w:bidi="ar-SA"/>
                  </w:rPr>
                  <m:t>j</m:t>
                </m:r>
                <m:ctrlPr>
                  <w:rPr>
                    <w:rFonts w:ascii="DejaVu Math TeX Gyre" w:hAnsi="DejaVu Math TeX Gyre" w:cs="DejaVu Math TeX Gyre"/>
                    <w:i/>
                    <w:iCs/>
                    <w:sz w:val="21"/>
                    <w:highlight w:val="none"/>
                    <w:lang w:val="en-US" w:bidi="ar-SA"/>
                  </w:rPr>
                </m:ctrlPr>
              </m:sub>
            </m:sSub>
            <m:ctrlPr>
              <w:rPr>
                <w:rFonts w:hint="default" w:ascii="DejaVu Math TeX Gyre" w:hAnsi="DejaVu Math TeX Gyre" w:cs="DejaVu Math TeX Gyre"/>
                <w:i/>
                <w:iCs/>
                <w:sz w:val="21"/>
                <w:highlight w:val="none"/>
                <w:lang w:val="en-US" w:eastAsia="zh-CN" w:bidi="ar-SA"/>
              </w:rPr>
            </m:ctrlPr>
          </m:e>
        </m:nary>
      </m:oMath>
      <w:r>
        <w:rPr>
          <w:rFonts w:hint="eastAsia"/>
          <w:highlight w:val="none"/>
          <w:lang w:val="en-US" w:eastAsia="zh-CN"/>
        </w:rPr>
        <w:t xml:space="preserve">                             </w:t>
      </w:r>
      <w:r>
        <w:rPr>
          <w:rFonts w:hint="eastAsia" w:ascii="Times New Roman" w:hAnsi="Times New Roman" w:eastAsia="宋体" w:cs="Times New Roman"/>
          <w:highlight w:val="none"/>
          <w:lang w:val="en-US" w:eastAsia="zh-CN"/>
        </w:rPr>
        <w:t>（C.2）</w:t>
      </w:r>
    </w:p>
    <w:p w14:paraId="4CC9498F">
      <w:pPr>
        <w:pStyle w:val="25"/>
        <w:ind w:left="0" w:leftChars="0" w:firstLine="420" w:firstLineChars="200"/>
        <w:rPr>
          <w:rFonts w:hint="default" w:ascii="Times New Roman" w:hAnsi="Times New Roman" w:eastAsia="宋体" w:cs="Times New Roman"/>
          <w:i w:val="0"/>
          <w:iCs w:val="0"/>
          <w:highlight w:val="none"/>
          <w:lang w:val="en-US" w:eastAsia="zh-CN"/>
        </w:rPr>
      </w:pPr>
      <w:r>
        <w:rPr>
          <w:rFonts w:hint="default" w:ascii="Times New Roman" w:hAnsi="Times New Roman" w:eastAsia="宋体" w:cs="Times New Roman"/>
          <w:i w:val="0"/>
          <w:iCs w:val="0"/>
          <w:highlight w:val="none"/>
          <w:lang w:val="en-US" w:eastAsia="zh-CN"/>
        </w:rPr>
        <w:t>式中：</w:t>
      </w:r>
    </w:p>
    <w:p w14:paraId="78C80527">
      <w:pPr>
        <w:pStyle w:val="25"/>
        <w:ind w:left="0" w:leftChars="0" w:firstLine="420" w:firstLineChars="200"/>
        <w:rPr>
          <w:rFonts w:hint="default" w:ascii="Times New Roman" w:hAnsi="Times New Roman" w:eastAsia="宋体" w:cs="Times New Roman"/>
          <w:i w:val="0"/>
          <w:iCs w:val="0"/>
          <w:highlight w:val="none"/>
          <w:lang w:val="en-US" w:eastAsia="zh-CN"/>
        </w:rPr>
      </w:pPr>
      <w:r>
        <w:rPr>
          <w:rFonts w:hint="default" w:ascii="Times New Roman" w:hAnsi="Times New Roman" w:eastAsia="宋体" w:cs="Times New Roman"/>
          <w:i/>
          <w:iCs/>
          <w:highlight w:val="none"/>
          <w:lang w:val="en-US" w:eastAsia="zh-CN"/>
        </w:rPr>
        <w:t>S</w:t>
      </w:r>
      <w:r>
        <w:rPr>
          <w:rFonts w:hint="default" w:ascii="Times New Roman" w:hAnsi="Times New Roman" w:eastAsia="宋体" w:cs="Times New Roman"/>
          <w:i/>
          <w:iCs/>
          <w:highlight w:val="none"/>
          <w:vertAlign w:val="subscript"/>
          <w:lang w:val="en-US" w:eastAsia="zh-CN"/>
        </w:rPr>
        <w:t>i</w:t>
      </w:r>
      <w:r>
        <w:rPr>
          <w:rFonts w:hint="default" w:ascii="Times New Roman" w:hAnsi="Times New Roman" w:eastAsia="宋体" w:cs="Times New Roman"/>
          <w:i w:val="0"/>
          <w:iCs w:val="0"/>
          <w:highlight w:val="none"/>
          <w:lang w:val="en-US" w:eastAsia="zh-CN"/>
        </w:rPr>
        <w:t>———</w:t>
      </w:r>
      <w:r>
        <w:rPr>
          <w:rFonts w:hint="eastAsia" w:ascii="Times New Roman" w:hAnsi="Times New Roman" w:eastAsia="宋体" w:cs="Times New Roman"/>
          <w:i w:val="0"/>
          <w:iCs w:val="0"/>
          <w:highlight w:val="none"/>
          <w:lang w:val="en-US" w:eastAsia="zh-CN"/>
        </w:rPr>
        <w:t>TEU</w:t>
      </w:r>
      <w:r>
        <w:rPr>
          <w:rFonts w:hint="default" w:ascii="Times New Roman" w:hAnsi="Times New Roman" w:eastAsia="宋体" w:cs="Times New Roman"/>
          <w:i w:val="0"/>
          <w:iCs w:val="0"/>
          <w:highlight w:val="none"/>
          <w:lang w:val="en-US" w:eastAsia="zh-CN"/>
        </w:rPr>
        <w:t>EI第</w:t>
      </w:r>
      <w:r>
        <w:rPr>
          <w:rFonts w:hint="eastAsia" w:ascii="Times New Roman" w:hAnsi="Times New Roman" w:eastAsia="宋体" w:cs="Times New Roman"/>
          <w:i/>
          <w:iCs/>
          <w:highlight w:val="none"/>
          <w:lang w:val="en-US" w:eastAsia="zh-CN"/>
        </w:rPr>
        <w:t>i</w:t>
      </w:r>
      <w:r>
        <w:rPr>
          <w:rFonts w:hint="default" w:ascii="Times New Roman" w:hAnsi="Times New Roman" w:eastAsia="宋体" w:cs="Times New Roman"/>
          <w:i w:val="0"/>
          <w:iCs w:val="0"/>
          <w:highlight w:val="none"/>
          <w:lang w:val="en-US" w:eastAsia="zh-CN"/>
        </w:rPr>
        <w:t>项一级指标得分；</w:t>
      </w:r>
    </w:p>
    <w:p w14:paraId="5789AFCA">
      <w:pPr>
        <w:pStyle w:val="25"/>
        <w:ind w:left="0" w:leftChars="0" w:firstLine="420" w:firstLineChars="200"/>
        <w:rPr>
          <w:rFonts w:hint="eastAsia" w:ascii="Times New Roman" w:hAnsi="Times New Roman" w:eastAsia="宋体" w:cs="Times New Roman"/>
          <w:i w:val="0"/>
          <w:iCs w:val="0"/>
          <w:highlight w:val="none"/>
          <w:lang w:val="en-US" w:eastAsia="zh-CN"/>
        </w:rPr>
      </w:pPr>
      <w:r>
        <w:rPr>
          <w:rFonts w:hint="default" w:ascii="Times New Roman" w:hAnsi="Times New Roman" w:eastAsia="宋体" w:cs="Times New Roman"/>
          <w:i/>
          <w:iCs/>
          <w:highlight w:val="none"/>
          <w:lang w:val="en-US" w:eastAsia="zh-CN"/>
        </w:rPr>
        <w:t>S</w:t>
      </w:r>
      <w:r>
        <w:rPr>
          <w:rFonts w:hint="default" w:ascii="Times New Roman" w:hAnsi="Times New Roman" w:eastAsia="宋体" w:cs="Times New Roman"/>
          <w:i/>
          <w:iCs/>
          <w:highlight w:val="none"/>
          <w:vertAlign w:val="subscript"/>
          <w:lang w:val="en-US" w:eastAsia="zh-CN"/>
        </w:rPr>
        <w:t>j</w:t>
      </w:r>
      <w:r>
        <w:rPr>
          <w:rFonts w:hint="default" w:ascii="Times New Roman" w:hAnsi="Times New Roman" w:eastAsia="宋体" w:cs="Times New Roman"/>
          <w:i w:val="0"/>
          <w:iCs w:val="0"/>
          <w:highlight w:val="none"/>
          <w:vertAlign w:val="subscript"/>
          <w:lang w:val="en-US" w:eastAsia="zh-CN"/>
        </w:rPr>
        <w:t xml:space="preserve"> </w:t>
      </w:r>
      <w:r>
        <w:rPr>
          <w:rFonts w:hint="default" w:ascii="Times New Roman" w:hAnsi="Times New Roman" w:eastAsia="宋体" w:cs="Times New Roman"/>
          <w:i w:val="0"/>
          <w:iCs w:val="0"/>
          <w:highlight w:val="none"/>
          <w:lang w:val="en-US" w:eastAsia="zh-CN"/>
        </w:rPr>
        <w:t>———一级指标</w:t>
      </w:r>
      <w:r>
        <w:rPr>
          <w:rFonts w:hint="default" w:ascii="Times New Roman" w:hAnsi="Times New Roman" w:eastAsia="宋体" w:cs="Times New Roman"/>
          <w:i/>
          <w:iCs/>
          <w:highlight w:val="none"/>
          <w:lang w:val="en-US" w:eastAsia="zh-CN"/>
        </w:rPr>
        <w:t>S</w:t>
      </w:r>
      <w:r>
        <w:rPr>
          <w:rFonts w:hint="default" w:ascii="Times New Roman" w:hAnsi="Times New Roman" w:eastAsia="宋体" w:cs="Times New Roman"/>
          <w:i/>
          <w:iCs/>
          <w:highlight w:val="none"/>
          <w:vertAlign w:val="subscript"/>
          <w:lang w:val="en-US" w:eastAsia="zh-CN"/>
        </w:rPr>
        <w:t>i</w:t>
      </w:r>
      <w:r>
        <w:rPr>
          <w:rFonts w:hint="default" w:ascii="Times New Roman" w:hAnsi="Times New Roman" w:eastAsia="宋体" w:cs="Times New Roman"/>
          <w:i w:val="0"/>
          <w:iCs w:val="0"/>
          <w:highlight w:val="none"/>
          <w:lang w:val="en-US" w:eastAsia="zh-CN"/>
        </w:rPr>
        <w:t>中第j项二级指标得分</w:t>
      </w:r>
      <w:r>
        <w:rPr>
          <w:rFonts w:hint="eastAsia" w:ascii="Times New Roman" w:hAnsi="Times New Roman" w:eastAsia="宋体" w:cs="Times New Roman"/>
          <w:i w:val="0"/>
          <w:iCs w:val="0"/>
          <w:highlight w:val="none"/>
          <w:lang w:val="en-US" w:eastAsia="zh-CN"/>
        </w:rPr>
        <w:t>；</w:t>
      </w:r>
    </w:p>
    <w:p w14:paraId="7F21BDD6">
      <w:pPr>
        <w:pStyle w:val="25"/>
        <w:ind w:left="0" w:leftChars="0" w:firstLine="420" w:firstLineChars="200"/>
        <w:rPr>
          <w:rFonts w:hint="eastAsia"/>
          <w:highlight w:val="none"/>
          <w:lang w:eastAsia="zh-CN"/>
        </w:rPr>
      </w:pPr>
      <w:r>
        <w:rPr>
          <w:rFonts w:hint="default" w:ascii="Times New Roman" w:hAnsi="Times New Roman" w:eastAsia="宋体" w:cs="Times New Roman"/>
          <w:i/>
          <w:iCs/>
          <w:highlight w:val="none"/>
          <w:lang w:val="en-US" w:eastAsia="zh-CN"/>
        </w:rPr>
        <w:t>β</w:t>
      </w:r>
      <w:r>
        <w:rPr>
          <w:rFonts w:hint="default" w:ascii="Times New Roman" w:hAnsi="Times New Roman" w:eastAsia="宋体" w:cs="Times New Roman"/>
          <w:i/>
          <w:iCs/>
          <w:highlight w:val="none"/>
          <w:vertAlign w:val="subscript"/>
          <w:lang w:val="en-US" w:eastAsia="zh-CN"/>
        </w:rPr>
        <w:t>j</w:t>
      </w:r>
      <w:r>
        <w:rPr>
          <w:rFonts w:hint="default" w:ascii="Times New Roman" w:hAnsi="Times New Roman" w:eastAsia="宋体" w:cs="Times New Roman"/>
          <w:i w:val="0"/>
          <w:iCs w:val="0"/>
          <w:highlight w:val="none"/>
          <w:lang w:val="en-US" w:eastAsia="zh-CN"/>
        </w:rPr>
        <w:t>———第</w:t>
      </w:r>
      <w:r>
        <w:rPr>
          <w:rFonts w:hint="default" w:ascii="Times New Roman" w:hAnsi="Times New Roman" w:eastAsia="宋体" w:cs="Times New Roman"/>
          <w:i/>
          <w:iCs/>
          <w:highlight w:val="none"/>
          <w:lang w:val="en-US" w:eastAsia="zh-CN"/>
        </w:rPr>
        <w:t>j</w:t>
      </w:r>
      <w:r>
        <w:rPr>
          <w:rFonts w:hint="default" w:ascii="Times New Roman" w:hAnsi="Times New Roman" w:eastAsia="宋体" w:cs="Times New Roman"/>
          <w:i w:val="0"/>
          <w:iCs w:val="0"/>
          <w:highlight w:val="none"/>
          <w:lang w:val="en-US" w:eastAsia="zh-CN"/>
        </w:rPr>
        <w:t>项一级指标权重，</w:t>
      </w:r>
      <w:r>
        <w:rPr>
          <w:highlight w:val="none"/>
        </w:rPr>
        <w:t xml:space="preserve"> </w:t>
      </w:r>
      <m:oMath>
        <m:nary>
          <m:naryPr>
            <m:chr m:val="∑"/>
            <m:limLoc m:val="undOvr"/>
            <m:ctrlPr>
              <w:rPr>
                <w:rFonts w:hint="default" w:ascii="DejaVu Math TeX Gyre" w:hAnsi="DejaVu Math TeX Gyre" w:cs="DejaVu Math TeX Gyre"/>
                <w:i/>
                <w:iCs/>
                <w:sz w:val="21"/>
                <w:highlight w:val="none"/>
                <w:lang w:val="en-US" w:eastAsia="zh-CN" w:bidi="ar-SA"/>
              </w:rPr>
            </m:ctrlPr>
          </m:naryPr>
          <m:sub>
            <m:r>
              <m:rPr/>
              <w:rPr>
                <w:rFonts w:hint="default" w:ascii="DejaVu Math TeX Gyre" w:hAnsi="DejaVu Math TeX Gyre" w:cs="DejaVu Math TeX Gyre"/>
                <w:sz w:val="21"/>
                <w:highlight w:val="none"/>
                <w:lang w:val="en-US" w:eastAsia="zh-CN" w:bidi="ar-SA"/>
              </w:rPr>
              <m:t>j=1</m:t>
            </m:r>
            <m:ctrlPr>
              <w:rPr>
                <w:rFonts w:hint="default" w:ascii="DejaVu Math TeX Gyre" w:hAnsi="DejaVu Math TeX Gyre" w:cs="DejaVu Math TeX Gyre"/>
                <w:i/>
                <w:iCs/>
                <w:sz w:val="21"/>
                <w:highlight w:val="none"/>
                <w:lang w:val="en-US" w:eastAsia="zh-CN" w:bidi="ar-SA"/>
              </w:rPr>
            </m:ctrlPr>
          </m:sub>
          <m:sup>
            <m:r>
              <m:rPr/>
              <w:rPr>
                <w:rFonts w:hint="default" w:ascii="DejaVu Math TeX Gyre" w:hAnsi="DejaVu Math TeX Gyre" w:cs="DejaVu Math TeX Gyre"/>
                <w:sz w:val="21"/>
                <w:highlight w:val="none"/>
                <w:lang w:val="en-US" w:eastAsia="zh-CN" w:bidi="ar-SA"/>
              </w:rPr>
              <m:t>m</m:t>
            </m:r>
            <m:ctrlPr>
              <w:rPr>
                <w:rFonts w:hint="default" w:ascii="DejaVu Math TeX Gyre" w:hAnsi="DejaVu Math TeX Gyre" w:cs="DejaVu Math TeX Gyre"/>
                <w:i/>
                <w:iCs/>
                <w:sz w:val="21"/>
                <w:highlight w:val="none"/>
                <w:lang w:val="en-US" w:eastAsia="zh-CN" w:bidi="ar-SA"/>
              </w:rPr>
            </m:ctrlPr>
          </m:sup>
          <m:e>
            <m:sSub>
              <m:sSubPr>
                <m:ctrlPr>
                  <w:rPr>
                    <w:rFonts w:hint="default" w:ascii="DejaVu Math TeX Gyre" w:hAnsi="DejaVu Math TeX Gyre" w:cs="DejaVu Math TeX Gyre"/>
                    <w:i/>
                    <w:iCs/>
                    <w:sz w:val="21"/>
                    <w:highlight w:val="none"/>
                    <w:lang w:val="en-US" w:eastAsia="zh-CN" w:bidi="ar-SA"/>
                  </w:rPr>
                </m:ctrlPr>
              </m:sSubPr>
              <m:e>
                <m:r>
                  <m:rPr/>
                  <w:rPr>
                    <w:rFonts w:ascii="DejaVu Math TeX Gyre" w:hAnsi="DejaVu Math TeX Gyre" w:cs="DejaVu Math TeX Gyre"/>
                    <w:sz w:val="21"/>
                    <w:highlight w:val="none"/>
                    <w:lang w:val="en-US" w:bidi="ar-SA"/>
                  </w:rPr>
                  <m:t>β</m:t>
                </m:r>
                <m:ctrlPr>
                  <w:rPr>
                    <w:rFonts w:hint="default" w:ascii="DejaVu Math TeX Gyre" w:hAnsi="DejaVu Math TeX Gyre" w:cs="DejaVu Math TeX Gyre"/>
                    <w:i/>
                    <w:iCs/>
                    <w:sz w:val="21"/>
                    <w:highlight w:val="none"/>
                    <w:lang w:val="en-US" w:eastAsia="zh-CN" w:bidi="ar-SA"/>
                  </w:rPr>
                </m:ctrlPr>
              </m:e>
              <m:sub>
                <m:r>
                  <m:rPr/>
                  <w:rPr>
                    <w:rFonts w:hint="default" w:ascii="DejaVu Math TeX Gyre" w:hAnsi="DejaVu Math TeX Gyre" w:cs="DejaVu Math TeX Gyre"/>
                    <w:sz w:val="21"/>
                    <w:highlight w:val="none"/>
                    <w:lang w:val="en-US" w:eastAsia="zh-CN" w:bidi="ar-SA"/>
                  </w:rPr>
                  <m:t>j</m:t>
                </m:r>
                <m:ctrlPr>
                  <w:rPr>
                    <w:rFonts w:hint="default" w:ascii="DejaVu Math TeX Gyre" w:hAnsi="DejaVu Math TeX Gyre" w:cs="DejaVu Math TeX Gyre"/>
                    <w:i/>
                    <w:iCs/>
                    <w:sz w:val="21"/>
                    <w:highlight w:val="none"/>
                    <w:lang w:val="en-US" w:eastAsia="zh-CN" w:bidi="ar-SA"/>
                  </w:rPr>
                </m:ctrlPr>
              </m:sub>
            </m:sSub>
            <m:r>
              <m:rPr/>
              <w:rPr>
                <w:rFonts w:ascii="DejaVu Math TeX Gyre" w:hAnsi="DejaVu Math TeX Gyre" w:cs="DejaVu Math TeX Gyre"/>
                <w:sz w:val="21"/>
                <w:highlight w:val="none"/>
                <w:lang w:val="en-US" w:bidi="ar-SA"/>
              </w:rPr>
              <m:t>=</m:t>
            </m:r>
            <m:r>
              <m:rPr/>
              <w:rPr>
                <w:rFonts w:hint="default" w:ascii="DejaVu Math TeX Gyre" w:hAnsi="DejaVu Math TeX Gyre" w:cs="DejaVu Math TeX Gyre"/>
                <w:sz w:val="21"/>
                <w:highlight w:val="none"/>
                <w:lang w:val="en-US" w:eastAsia="zh-CN" w:bidi="ar-SA"/>
              </w:rPr>
              <m:t>1</m:t>
            </m:r>
            <m:ctrlPr>
              <w:rPr>
                <w:rFonts w:hint="default" w:ascii="DejaVu Math TeX Gyre" w:hAnsi="DejaVu Math TeX Gyre" w:cs="DejaVu Math TeX Gyre"/>
                <w:i/>
                <w:iCs/>
                <w:sz w:val="21"/>
                <w:highlight w:val="none"/>
                <w:lang w:val="en-US" w:eastAsia="zh-CN" w:bidi="ar-SA"/>
              </w:rPr>
            </m:ctrlPr>
          </m:e>
        </m:nary>
      </m:oMath>
      <w:r>
        <w:rPr>
          <w:rFonts w:hint="default" w:ascii="DejaVu Math TeX Gyre" w:hAnsi="DejaVu Math TeX Gyre" w:cs="DejaVu Math TeX Gyre"/>
          <w:i/>
          <w:iCs/>
          <w:sz w:val="21"/>
          <w:highlight w:val="none"/>
          <w:lang w:val="en-US" w:eastAsia="zh-CN" w:bidi="ar-SA"/>
        </w:rPr>
        <w:t xml:space="preserve"> </w:t>
      </w:r>
      <w:r>
        <w:rPr>
          <w:rFonts w:hint="eastAsia"/>
          <w:highlight w:val="none"/>
          <w:lang w:eastAsia="zh-CN"/>
        </w:rPr>
        <w:t>；</w:t>
      </w:r>
    </w:p>
    <w:p w14:paraId="7BC740B0">
      <w:pPr>
        <w:pStyle w:val="25"/>
        <w:ind w:left="0" w:leftChars="0" w:firstLine="420" w:firstLineChars="200"/>
        <w:rPr>
          <w:rFonts w:hint="default" w:ascii="Times New Roman" w:hAnsi="Times New Roman" w:eastAsia="宋体" w:cs="Times New Roman"/>
          <w:i w:val="0"/>
          <w:iCs w:val="0"/>
          <w:highlight w:val="none"/>
          <w:lang w:val="en-US" w:eastAsia="zh-CN"/>
        </w:rPr>
      </w:pPr>
      <w:r>
        <w:rPr>
          <w:rFonts w:hint="default" w:ascii="Times New Roman" w:hAnsi="Times New Roman" w:eastAsia="宋体" w:cs="Times New Roman"/>
          <w:i/>
          <w:iCs/>
          <w:highlight w:val="none"/>
          <w:lang w:val="en-US" w:eastAsia="zh-CN"/>
        </w:rPr>
        <w:t>m</w:t>
      </w:r>
      <w:r>
        <w:rPr>
          <w:rFonts w:hint="default" w:ascii="Times New Roman" w:hAnsi="Times New Roman" w:eastAsia="宋体" w:cs="Times New Roman"/>
          <w:i w:val="0"/>
          <w:iCs w:val="0"/>
          <w:highlight w:val="none"/>
          <w:lang w:val="en-US" w:eastAsia="zh-CN"/>
        </w:rPr>
        <w:t>———</w:t>
      </w:r>
      <w:r>
        <w:rPr>
          <w:rFonts w:hint="eastAsia" w:ascii="Times New Roman" w:hAnsi="Times New Roman" w:eastAsia="宋体" w:cs="Times New Roman"/>
          <w:i w:val="0"/>
          <w:iCs w:val="0"/>
          <w:highlight w:val="none"/>
          <w:lang w:val="en-US" w:eastAsia="zh-CN"/>
        </w:rPr>
        <w:t>二</w:t>
      </w:r>
      <w:r>
        <w:rPr>
          <w:rFonts w:hint="default" w:ascii="Times New Roman" w:hAnsi="Times New Roman" w:eastAsia="宋体" w:cs="Times New Roman"/>
          <w:i w:val="0"/>
          <w:iCs w:val="0"/>
          <w:highlight w:val="none"/>
          <w:lang w:val="en-US" w:eastAsia="zh-CN"/>
        </w:rPr>
        <w:t>级指标序号。</w:t>
      </w:r>
    </w:p>
    <w:p w14:paraId="012D2756">
      <w:pPr>
        <w:pStyle w:val="25"/>
        <w:ind w:left="0" w:leftChars="0" w:firstLine="0" w:firstLineChars="0"/>
        <w:jc w:val="right"/>
        <w:rPr>
          <w:rFonts w:hint="eastAsia"/>
          <w:highlight w:val="none"/>
          <w:lang w:val="en-US" w:eastAsia="zh-CN"/>
        </w:rPr>
      </w:pPr>
      <w:r>
        <w:rPr>
          <w:rFonts w:hint="eastAsia"/>
          <w:highlight w:val="none"/>
          <w:lang w:val="en-US" w:eastAsia="zh-CN"/>
        </w:rPr>
        <w:t xml:space="preserve">  </w:t>
      </w:r>
      <m:oMath>
        <m:sSub>
          <m:sSubPr>
            <m:ctrlPr>
              <w:rPr>
                <w:rFonts w:hint="default" w:ascii="DejaVu Math TeX Gyre" w:hAnsi="DejaVu Math TeX Gyre" w:cs="Times New Roman"/>
                <w:i/>
                <w:iCs/>
                <w:sz w:val="21"/>
                <w:highlight w:val="none"/>
                <w:lang w:val="en-US" w:eastAsia="zh-CN" w:bidi="ar-SA"/>
              </w:rPr>
            </m:ctrlPr>
          </m:sSubPr>
          <m:e>
            <m:r>
              <m:rPr/>
              <w:rPr>
                <w:rFonts w:hint="default" w:ascii="DejaVu Math TeX Gyre" w:hAnsi="DejaVu Math TeX Gyre" w:cs="Times New Roman"/>
                <w:sz w:val="21"/>
                <w:highlight w:val="none"/>
                <w:lang w:val="en-US" w:eastAsia="zh-CN" w:bidi="ar-SA"/>
              </w:rPr>
              <m:t>S</m:t>
            </m:r>
            <m:ctrlPr>
              <w:rPr>
                <w:rFonts w:hint="default" w:ascii="DejaVu Math TeX Gyre" w:hAnsi="DejaVu Math TeX Gyre" w:cs="Times New Roman"/>
                <w:i/>
                <w:iCs/>
                <w:sz w:val="21"/>
                <w:highlight w:val="none"/>
                <w:lang w:val="en-US" w:eastAsia="zh-CN" w:bidi="ar-SA"/>
              </w:rPr>
            </m:ctrlPr>
          </m:e>
          <m:sub>
            <m:r>
              <m:rPr/>
              <w:rPr>
                <w:rFonts w:hint="default" w:ascii="DejaVu Math TeX Gyre" w:hAnsi="DejaVu Math TeX Gyre" w:cs="Times New Roman"/>
                <w:sz w:val="21"/>
                <w:highlight w:val="none"/>
                <w:lang w:val="en-US" w:eastAsia="zh-CN" w:bidi="ar-SA"/>
              </w:rPr>
              <m:t>j</m:t>
            </m:r>
            <m:ctrlPr>
              <w:rPr>
                <w:rFonts w:hint="default" w:ascii="DejaVu Math TeX Gyre" w:hAnsi="DejaVu Math TeX Gyre" w:cs="Times New Roman"/>
                <w:i/>
                <w:iCs/>
                <w:sz w:val="21"/>
                <w:highlight w:val="none"/>
                <w:lang w:val="en-US" w:eastAsia="zh-CN" w:bidi="ar-SA"/>
              </w:rPr>
            </m:ctrlPr>
          </m:sub>
        </m:sSub>
        <m:r>
          <m:rPr/>
          <w:rPr>
            <w:rFonts w:hint="default" w:ascii="DejaVu Math TeX Gyre" w:hAnsi="DejaVu Math TeX Gyre" w:cs="DejaVu Math TeX Gyre"/>
            <w:sz w:val="21"/>
            <w:highlight w:val="none"/>
            <w:lang w:val="en-US" w:eastAsia="zh-CN" w:bidi="ar-SA"/>
          </w:rPr>
          <m:t>=</m:t>
        </m:r>
        <m:nary>
          <m:naryPr>
            <m:chr m:val="∑"/>
            <m:limLoc m:val="undOvr"/>
            <m:ctrlPr>
              <w:rPr>
                <w:rFonts w:hint="default" w:ascii="DejaVu Math TeX Gyre" w:hAnsi="DejaVu Math TeX Gyre" w:cs="DejaVu Math TeX Gyre"/>
                <w:i/>
                <w:iCs/>
                <w:sz w:val="21"/>
                <w:highlight w:val="none"/>
                <w:lang w:val="en-US" w:eastAsia="zh-CN" w:bidi="ar-SA"/>
              </w:rPr>
            </m:ctrlPr>
          </m:naryPr>
          <m:sub>
            <m:r>
              <m:rPr/>
              <w:rPr>
                <w:rFonts w:hint="default" w:ascii="DejaVu Math TeX Gyre" w:hAnsi="DejaVu Math TeX Gyre" w:cs="DejaVu Math TeX Gyre"/>
                <w:sz w:val="21"/>
                <w:highlight w:val="none"/>
                <w:lang w:val="en-US" w:eastAsia="zh-CN" w:bidi="ar-SA"/>
              </w:rPr>
              <m:t>k=1</m:t>
            </m:r>
            <m:ctrlPr>
              <w:rPr>
                <w:rFonts w:hint="default" w:ascii="DejaVu Math TeX Gyre" w:hAnsi="DejaVu Math TeX Gyre" w:cs="DejaVu Math TeX Gyre"/>
                <w:i/>
                <w:iCs/>
                <w:sz w:val="21"/>
                <w:highlight w:val="none"/>
                <w:lang w:val="en-US" w:eastAsia="zh-CN" w:bidi="ar-SA"/>
              </w:rPr>
            </m:ctrlPr>
          </m:sub>
          <m:sup>
            <m:r>
              <m:rPr/>
              <w:rPr>
                <w:rFonts w:hint="default" w:ascii="DejaVu Math TeX Gyre" w:hAnsi="DejaVu Math TeX Gyre" w:cs="DejaVu Math TeX Gyre"/>
                <w:sz w:val="21"/>
                <w:highlight w:val="none"/>
                <w:lang w:val="en-US" w:eastAsia="zh-CN" w:bidi="ar-SA"/>
              </w:rPr>
              <m:t>p</m:t>
            </m:r>
            <m:ctrlPr>
              <w:rPr>
                <w:rFonts w:hint="default" w:ascii="DejaVu Math TeX Gyre" w:hAnsi="DejaVu Math TeX Gyre" w:cs="DejaVu Math TeX Gyre"/>
                <w:i/>
                <w:iCs/>
                <w:sz w:val="21"/>
                <w:highlight w:val="none"/>
                <w:lang w:val="en-US" w:eastAsia="zh-CN" w:bidi="ar-SA"/>
              </w:rPr>
            </m:ctrlPr>
          </m:sup>
          <m:e>
            <m:sSub>
              <m:sSubPr>
                <m:ctrlPr>
                  <w:rPr>
                    <w:rFonts w:hint="default" w:ascii="DejaVu Math TeX Gyre" w:hAnsi="DejaVu Math TeX Gyre" w:cs="DejaVu Math TeX Gyre"/>
                    <w:i/>
                    <w:iCs/>
                    <w:sz w:val="21"/>
                    <w:highlight w:val="none"/>
                    <w:lang w:val="en-US" w:eastAsia="zh-CN" w:bidi="ar-SA"/>
                  </w:rPr>
                </m:ctrlPr>
              </m:sSubPr>
              <m:e>
                <m:r>
                  <m:rPr/>
                  <w:rPr>
                    <w:rFonts w:hint="default" w:ascii="DejaVu Math TeX Gyre" w:hAnsi="DejaVu Math TeX Gyre" w:cs="DejaVu Math TeX Gyre"/>
                    <w:sz w:val="21"/>
                    <w:highlight w:val="none"/>
                    <w:lang w:val="en-US" w:eastAsia="zh-CN" w:bidi="ar-SA"/>
                  </w:rPr>
                  <m:t>s</m:t>
                </m:r>
                <m:ctrlPr>
                  <w:rPr>
                    <w:rFonts w:hint="default" w:ascii="DejaVu Math TeX Gyre" w:hAnsi="DejaVu Math TeX Gyre" w:cs="DejaVu Math TeX Gyre"/>
                    <w:i/>
                    <w:iCs/>
                    <w:sz w:val="21"/>
                    <w:highlight w:val="none"/>
                    <w:lang w:val="en-US" w:eastAsia="zh-CN" w:bidi="ar-SA"/>
                  </w:rPr>
                </m:ctrlPr>
              </m:e>
              <m:sub>
                <m:r>
                  <m:rPr/>
                  <w:rPr>
                    <w:rFonts w:hint="default" w:ascii="DejaVu Math TeX Gyre" w:hAnsi="DejaVu Math TeX Gyre" w:cs="DejaVu Math TeX Gyre"/>
                    <w:sz w:val="21"/>
                    <w:highlight w:val="none"/>
                    <w:lang w:val="en-US" w:eastAsia="zh-CN" w:bidi="ar-SA"/>
                  </w:rPr>
                  <m:t>k</m:t>
                </m:r>
                <m:ctrlPr>
                  <w:rPr>
                    <w:rFonts w:hint="default" w:ascii="DejaVu Math TeX Gyre" w:hAnsi="DejaVu Math TeX Gyre" w:cs="DejaVu Math TeX Gyre"/>
                    <w:i/>
                    <w:iCs/>
                    <w:sz w:val="21"/>
                    <w:highlight w:val="none"/>
                    <w:lang w:val="en-US" w:eastAsia="zh-CN" w:bidi="ar-SA"/>
                  </w:rPr>
                </m:ctrlPr>
              </m:sub>
            </m:sSub>
            <m:r>
              <m:rPr/>
              <w:rPr>
                <w:rFonts w:ascii="DejaVu Math TeX Gyre" w:hAnsi="DejaVu Math TeX Gyre" w:cs="DejaVu Math TeX Gyre"/>
                <w:sz w:val="21"/>
                <w:highlight w:val="none"/>
                <w:lang w:val="en-US" w:bidi="ar-SA"/>
              </w:rPr>
              <m:t>×</m:t>
            </m:r>
            <m:sSub>
              <m:sSubPr>
                <m:ctrlPr>
                  <w:rPr>
                    <w:rFonts w:ascii="DejaVu Math TeX Gyre" w:hAnsi="DejaVu Math TeX Gyre" w:cs="DejaVu Math TeX Gyre"/>
                    <w:i/>
                    <w:iCs/>
                    <w:sz w:val="21"/>
                    <w:highlight w:val="none"/>
                    <w:lang w:val="en-US" w:bidi="ar-SA"/>
                  </w:rPr>
                </m:ctrlPr>
              </m:sSubPr>
              <m:e>
                <m:r>
                  <m:rPr/>
                  <w:rPr>
                    <w:rFonts w:ascii="DejaVu Math TeX Gyre" w:hAnsi="DejaVu Math TeX Gyre" w:cs="DejaVu Math TeX Gyre"/>
                    <w:sz w:val="21"/>
                    <w:highlight w:val="none"/>
                    <w:lang w:val="en-US" w:bidi="ar-SA"/>
                  </w:rPr>
                  <m:t>γ</m:t>
                </m:r>
                <m:ctrlPr>
                  <w:rPr>
                    <w:rFonts w:ascii="DejaVu Math TeX Gyre" w:hAnsi="DejaVu Math TeX Gyre" w:cs="DejaVu Math TeX Gyre"/>
                    <w:i/>
                    <w:iCs/>
                    <w:sz w:val="21"/>
                    <w:highlight w:val="none"/>
                    <w:lang w:val="en-US" w:bidi="ar-SA"/>
                  </w:rPr>
                </m:ctrlPr>
              </m:e>
              <m:sub>
                <m:r>
                  <m:rPr/>
                  <w:rPr>
                    <w:rFonts w:hint="default" w:ascii="DejaVu Math TeX Gyre" w:hAnsi="DejaVu Math TeX Gyre" w:cs="DejaVu Math TeX Gyre"/>
                    <w:sz w:val="21"/>
                    <w:highlight w:val="none"/>
                    <w:lang w:val="en-US" w:eastAsia="zh-CN" w:bidi="ar-SA"/>
                  </w:rPr>
                  <m:t>k</m:t>
                </m:r>
                <m:ctrlPr>
                  <w:rPr>
                    <w:rFonts w:ascii="DejaVu Math TeX Gyre" w:hAnsi="DejaVu Math TeX Gyre" w:cs="DejaVu Math TeX Gyre"/>
                    <w:i/>
                    <w:iCs/>
                    <w:sz w:val="21"/>
                    <w:highlight w:val="none"/>
                    <w:lang w:val="en-US" w:bidi="ar-SA"/>
                  </w:rPr>
                </m:ctrlPr>
              </m:sub>
            </m:sSub>
            <m:ctrlPr>
              <w:rPr>
                <w:rFonts w:hint="default" w:ascii="DejaVu Math TeX Gyre" w:hAnsi="DejaVu Math TeX Gyre" w:cs="DejaVu Math TeX Gyre"/>
                <w:i/>
                <w:iCs/>
                <w:sz w:val="21"/>
                <w:highlight w:val="none"/>
                <w:lang w:val="en-US" w:eastAsia="zh-CN" w:bidi="ar-SA"/>
              </w:rPr>
            </m:ctrlPr>
          </m:e>
        </m:nary>
      </m:oMath>
      <w:r>
        <w:rPr>
          <w:rFonts w:hint="default" w:ascii="DejaVu Math TeX Gyre" w:hAnsi="DejaVu Math TeX Gyre" w:cs="DejaVu Math TeX Gyre"/>
          <w:i/>
          <w:iCs/>
          <w:sz w:val="21"/>
          <w:highlight w:val="none"/>
          <w:lang w:val="en-US" w:eastAsia="zh-CN" w:bidi="ar-SA"/>
        </w:rPr>
        <w:t xml:space="preserve"> </w:t>
      </w:r>
      <w:r>
        <w:rPr>
          <w:rFonts w:hint="eastAsia" w:ascii="DejaVu Math TeX Gyre" w:hAnsi="DejaVu Math TeX Gyre" w:cs="DejaVu Math TeX Gyre"/>
          <w:i/>
          <w:iCs/>
          <w:sz w:val="21"/>
          <w:highlight w:val="none"/>
          <w:lang w:val="en-US" w:eastAsia="zh-CN" w:bidi="ar-SA"/>
        </w:rPr>
        <w:t xml:space="preserve">                           </w:t>
      </w:r>
      <w:r>
        <w:rPr>
          <w:rFonts w:hint="eastAsia"/>
          <w:highlight w:val="none"/>
          <w:lang w:eastAsia="zh-CN"/>
        </w:rPr>
        <w:t>（</w:t>
      </w:r>
      <w:r>
        <w:rPr>
          <w:rFonts w:hint="eastAsia" w:ascii="Times New Roman" w:hAnsi="Times New Roman" w:eastAsia="宋体" w:cs="Times New Roman"/>
          <w:highlight w:val="none"/>
          <w:lang w:val="en-US" w:eastAsia="zh-CN"/>
        </w:rPr>
        <w:t>C.3</w:t>
      </w:r>
      <w:r>
        <w:rPr>
          <w:rFonts w:hint="eastAsia"/>
          <w:highlight w:val="none"/>
          <w:lang w:eastAsia="zh-CN"/>
        </w:rPr>
        <w:t>）</w:t>
      </w:r>
      <w:r>
        <w:rPr>
          <w:rFonts w:hint="eastAsia"/>
          <w:highlight w:val="none"/>
          <w:lang w:val="en-US" w:eastAsia="zh-CN"/>
        </w:rPr>
        <w:t xml:space="preserve">                   </w:t>
      </w:r>
    </w:p>
    <w:p w14:paraId="4649E957">
      <w:pPr>
        <w:pStyle w:val="25"/>
        <w:ind w:left="0" w:leftChars="0" w:firstLine="420" w:firstLineChars="200"/>
        <w:rPr>
          <w:rFonts w:hint="default" w:ascii="Times New Roman" w:hAnsi="Times New Roman" w:eastAsia="宋体" w:cs="Times New Roman"/>
          <w:i w:val="0"/>
          <w:iCs w:val="0"/>
          <w:highlight w:val="none"/>
          <w:lang w:val="en-US" w:eastAsia="zh-CN"/>
        </w:rPr>
      </w:pPr>
      <w:r>
        <w:rPr>
          <w:rFonts w:hint="default" w:ascii="Times New Roman" w:hAnsi="Times New Roman" w:eastAsia="宋体" w:cs="Times New Roman"/>
          <w:i w:val="0"/>
          <w:iCs w:val="0"/>
          <w:highlight w:val="none"/>
          <w:lang w:val="en-US" w:eastAsia="zh-CN"/>
        </w:rPr>
        <w:t>式中：</w:t>
      </w:r>
    </w:p>
    <w:p w14:paraId="2B2DEDF4">
      <w:pPr>
        <w:pStyle w:val="25"/>
        <w:ind w:left="0" w:leftChars="0" w:firstLine="420" w:firstLineChars="200"/>
        <w:rPr>
          <w:rFonts w:hint="eastAsia" w:ascii="Times New Roman" w:hAnsi="Times New Roman" w:eastAsia="宋体" w:cs="Times New Roman"/>
          <w:i w:val="0"/>
          <w:iCs w:val="0"/>
          <w:highlight w:val="none"/>
          <w:lang w:val="en-US" w:eastAsia="zh-CN"/>
        </w:rPr>
      </w:pPr>
      <w:r>
        <w:rPr>
          <w:rFonts w:hint="default" w:ascii="Times New Roman" w:hAnsi="Times New Roman" w:eastAsia="宋体" w:cs="Times New Roman"/>
          <w:i/>
          <w:iCs/>
          <w:highlight w:val="none"/>
          <w:lang w:val="en-US" w:eastAsia="zh-CN"/>
        </w:rPr>
        <w:t>S</w:t>
      </w:r>
      <w:r>
        <w:rPr>
          <w:rFonts w:hint="default" w:ascii="Times New Roman" w:hAnsi="Times New Roman" w:eastAsia="宋体" w:cs="Times New Roman"/>
          <w:i/>
          <w:iCs/>
          <w:highlight w:val="none"/>
          <w:vertAlign w:val="subscript"/>
          <w:lang w:val="en-US" w:eastAsia="zh-CN"/>
        </w:rPr>
        <w:t>j</w:t>
      </w:r>
      <w:r>
        <w:rPr>
          <w:rFonts w:hint="default" w:ascii="Times New Roman" w:hAnsi="Times New Roman" w:eastAsia="宋体" w:cs="Times New Roman"/>
          <w:i w:val="0"/>
          <w:iCs w:val="0"/>
          <w:highlight w:val="none"/>
          <w:lang w:val="en-US" w:eastAsia="zh-CN"/>
        </w:rPr>
        <w:t>———一级指标</w:t>
      </w:r>
      <w:r>
        <w:rPr>
          <w:rFonts w:hint="default" w:ascii="Times New Roman" w:hAnsi="Times New Roman" w:eastAsia="宋体" w:cs="Times New Roman"/>
          <w:i/>
          <w:iCs/>
          <w:highlight w:val="none"/>
          <w:lang w:val="en-US" w:eastAsia="zh-CN"/>
        </w:rPr>
        <w:t>S</w:t>
      </w:r>
      <w:r>
        <w:rPr>
          <w:rFonts w:hint="default" w:ascii="Times New Roman" w:hAnsi="Times New Roman" w:eastAsia="宋体" w:cs="Times New Roman"/>
          <w:i/>
          <w:iCs/>
          <w:highlight w:val="none"/>
          <w:vertAlign w:val="subscript"/>
          <w:lang w:val="en-US" w:eastAsia="zh-CN"/>
        </w:rPr>
        <w:t>i</w:t>
      </w:r>
      <w:r>
        <w:rPr>
          <w:rFonts w:hint="default" w:ascii="Times New Roman" w:hAnsi="Times New Roman" w:eastAsia="宋体" w:cs="Times New Roman"/>
          <w:i w:val="0"/>
          <w:iCs w:val="0"/>
          <w:highlight w:val="none"/>
          <w:lang w:val="en-US" w:eastAsia="zh-CN"/>
        </w:rPr>
        <w:t>中第j项二级指标得分</w:t>
      </w:r>
      <w:r>
        <w:rPr>
          <w:rFonts w:hint="eastAsia" w:ascii="Times New Roman" w:hAnsi="Times New Roman" w:eastAsia="宋体" w:cs="Times New Roman"/>
          <w:i w:val="0"/>
          <w:iCs w:val="0"/>
          <w:highlight w:val="none"/>
          <w:lang w:val="en-US" w:eastAsia="zh-CN"/>
        </w:rPr>
        <w:t>；</w:t>
      </w:r>
    </w:p>
    <w:p w14:paraId="6AF46B8D">
      <w:pPr>
        <w:pStyle w:val="25"/>
        <w:ind w:left="0" w:leftChars="0" w:firstLine="420" w:firstLineChars="200"/>
        <w:rPr>
          <w:rFonts w:hint="eastAsia" w:ascii="Times New Roman" w:hAnsi="Times New Roman" w:eastAsia="宋体" w:cs="Times New Roman"/>
          <w:i/>
          <w:iCs/>
          <w:highlight w:val="none"/>
          <w:lang w:val="en-US" w:eastAsia="zh-CN"/>
        </w:rPr>
      </w:pPr>
      <w:r>
        <w:rPr>
          <w:rFonts w:hint="default" w:ascii="Times New Roman" w:hAnsi="Times New Roman" w:eastAsia="宋体" w:cs="Times New Roman"/>
          <w:i/>
          <w:iCs/>
          <w:highlight w:val="none"/>
          <w:lang w:val="en-US" w:eastAsia="zh-CN"/>
        </w:rPr>
        <w:t>S</w:t>
      </w:r>
      <w:r>
        <w:rPr>
          <w:rFonts w:hint="eastAsia" w:ascii="Times New Roman" w:hAnsi="Times New Roman" w:eastAsia="宋体" w:cs="Times New Roman"/>
          <w:i/>
          <w:iCs/>
          <w:highlight w:val="none"/>
          <w:vertAlign w:val="subscript"/>
          <w:lang w:val="en-US" w:eastAsia="zh-CN"/>
        </w:rPr>
        <w:t>k</w:t>
      </w:r>
      <w:r>
        <w:rPr>
          <w:rFonts w:hint="default" w:ascii="Times New Roman" w:hAnsi="Times New Roman" w:eastAsia="宋体" w:cs="Times New Roman"/>
          <w:i/>
          <w:iCs/>
          <w:highlight w:val="none"/>
          <w:lang w:val="en-US" w:eastAsia="zh-CN"/>
        </w:rPr>
        <w:t>———</w:t>
      </w:r>
      <w:r>
        <w:rPr>
          <w:rFonts w:hint="eastAsia" w:ascii="Times New Roman" w:hAnsi="Times New Roman" w:eastAsia="宋体" w:cs="Times New Roman"/>
          <w:i w:val="0"/>
          <w:iCs w:val="0"/>
          <w:highlight w:val="none"/>
          <w:lang w:val="en-US" w:eastAsia="zh-CN"/>
        </w:rPr>
        <w:t>二</w:t>
      </w:r>
      <w:r>
        <w:rPr>
          <w:rFonts w:hint="default" w:ascii="Times New Roman" w:hAnsi="Times New Roman" w:eastAsia="宋体" w:cs="Times New Roman"/>
          <w:i w:val="0"/>
          <w:iCs w:val="0"/>
          <w:highlight w:val="none"/>
          <w:lang w:val="en-US" w:eastAsia="zh-CN"/>
        </w:rPr>
        <w:t>级指标S</w:t>
      </w:r>
      <w:r>
        <w:rPr>
          <w:rFonts w:hint="default" w:ascii="Times New Roman" w:hAnsi="Times New Roman" w:eastAsia="宋体" w:cs="Times New Roman"/>
          <w:i/>
          <w:iCs/>
          <w:highlight w:val="none"/>
          <w:vertAlign w:val="subscript"/>
          <w:lang w:val="en-US" w:eastAsia="zh-CN"/>
        </w:rPr>
        <w:t>j</w:t>
      </w:r>
      <w:r>
        <w:rPr>
          <w:rFonts w:hint="default" w:ascii="Times New Roman" w:hAnsi="Times New Roman" w:eastAsia="宋体" w:cs="Times New Roman"/>
          <w:i w:val="0"/>
          <w:iCs w:val="0"/>
          <w:highlight w:val="none"/>
          <w:lang w:val="en-US" w:eastAsia="zh-CN"/>
        </w:rPr>
        <w:t>中第</w:t>
      </w:r>
      <w:r>
        <w:rPr>
          <w:rFonts w:hint="eastAsia" w:ascii="Times New Roman" w:hAnsi="Times New Roman" w:eastAsia="宋体" w:cs="Times New Roman"/>
          <w:i w:val="0"/>
          <w:iCs w:val="0"/>
          <w:highlight w:val="none"/>
          <w:lang w:val="en-US" w:eastAsia="zh-CN"/>
        </w:rPr>
        <w:t>k</w:t>
      </w:r>
      <w:r>
        <w:rPr>
          <w:rFonts w:hint="default" w:ascii="Times New Roman" w:hAnsi="Times New Roman" w:eastAsia="宋体" w:cs="Times New Roman"/>
          <w:i w:val="0"/>
          <w:iCs w:val="0"/>
          <w:highlight w:val="none"/>
          <w:lang w:val="en-US" w:eastAsia="zh-CN"/>
        </w:rPr>
        <w:t>项二级指标得分</w:t>
      </w:r>
      <w:r>
        <w:rPr>
          <w:rFonts w:hint="eastAsia" w:ascii="Times New Roman" w:hAnsi="Times New Roman" w:eastAsia="宋体" w:cs="Times New Roman"/>
          <w:i w:val="0"/>
          <w:iCs w:val="0"/>
          <w:highlight w:val="none"/>
          <w:lang w:val="en-US" w:eastAsia="zh-CN"/>
        </w:rPr>
        <w:t>；</w:t>
      </w:r>
    </w:p>
    <w:p w14:paraId="0768B69F">
      <w:pPr>
        <w:pStyle w:val="25"/>
        <w:rPr>
          <w:rFonts w:hint="default" w:ascii="Times New Roman" w:hAnsi="Times New Roman" w:eastAsia="宋体" w:cs="Times New Roman"/>
          <w:i w:val="0"/>
          <w:iCs w:val="0"/>
          <w:highlight w:val="none"/>
          <w:lang w:val="en-US" w:eastAsia="zh-CN"/>
        </w:rPr>
      </w:pPr>
      <w:r>
        <w:rPr>
          <w:rFonts w:hint="default" w:ascii="Times New Roman" w:hAnsi="Times New Roman" w:eastAsia="宋体" w:cs="Times New Roman"/>
          <w:i/>
          <w:iCs/>
          <w:highlight w:val="none"/>
          <w:lang w:val="en-US" w:eastAsia="zh-CN"/>
        </w:rPr>
        <w:t>γ</w:t>
      </w:r>
      <w:r>
        <w:rPr>
          <w:rFonts w:hint="default" w:ascii="Times New Roman" w:hAnsi="Times New Roman" w:eastAsia="宋体" w:cs="Times New Roman"/>
          <w:i/>
          <w:iCs/>
          <w:highlight w:val="none"/>
          <w:vertAlign w:val="subscript"/>
          <w:lang w:val="en-US" w:eastAsia="zh-CN"/>
        </w:rPr>
        <w:t>k</w:t>
      </w:r>
      <w:r>
        <w:rPr>
          <w:rFonts w:hint="default" w:ascii="Times New Roman" w:hAnsi="Times New Roman" w:eastAsia="宋体" w:cs="Times New Roman"/>
          <w:i/>
          <w:iCs/>
          <w:highlight w:val="none"/>
          <w:lang w:val="en-US" w:eastAsia="zh-CN"/>
        </w:rPr>
        <w:t>———</w:t>
      </w:r>
      <w:r>
        <w:rPr>
          <w:rFonts w:hint="default" w:ascii="Times New Roman" w:hAnsi="Times New Roman" w:eastAsia="宋体" w:cs="Times New Roman"/>
          <w:b w:val="0"/>
          <w:bCs w:val="0"/>
          <w:i w:val="0"/>
          <w:iCs w:val="0"/>
          <w:highlight w:val="none"/>
          <w:lang w:val="en-US" w:eastAsia="zh-CN"/>
        </w:rPr>
        <w:t>第</w:t>
      </w:r>
      <w:r>
        <w:rPr>
          <w:rFonts w:hint="eastAsia" w:ascii="Times New Roman" w:hAnsi="Times New Roman" w:eastAsia="宋体" w:cs="Times New Roman"/>
          <w:b w:val="0"/>
          <w:bCs w:val="0"/>
          <w:i w:val="0"/>
          <w:iCs w:val="0"/>
          <w:highlight w:val="none"/>
          <w:lang w:val="en-US" w:eastAsia="zh-CN"/>
        </w:rPr>
        <w:t>k</w:t>
      </w:r>
      <w:r>
        <w:rPr>
          <w:rFonts w:hint="default" w:ascii="Times New Roman" w:hAnsi="Times New Roman" w:eastAsia="宋体" w:cs="Times New Roman"/>
          <w:b w:val="0"/>
          <w:bCs w:val="0"/>
          <w:i w:val="0"/>
          <w:iCs w:val="0"/>
          <w:highlight w:val="none"/>
          <w:lang w:val="en-US" w:eastAsia="zh-CN"/>
        </w:rPr>
        <w:t>项</w:t>
      </w:r>
      <w:r>
        <w:rPr>
          <w:rFonts w:hint="eastAsia" w:ascii="Times New Roman" w:hAnsi="Times New Roman" w:eastAsia="宋体" w:cs="Times New Roman"/>
          <w:b w:val="0"/>
          <w:bCs w:val="0"/>
          <w:i w:val="0"/>
          <w:iCs w:val="0"/>
          <w:highlight w:val="none"/>
          <w:lang w:val="en-US" w:eastAsia="zh-CN"/>
        </w:rPr>
        <w:t>三</w:t>
      </w:r>
      <w:r>
        <w:rPr>
          <w:rFonts w:hint="default" w:ascii="Times New Roman" w:hAnsi="Times New Roman" w:eastAsia="宋体" w:cs="Times New Roman"/>
          <w:b w:val="0"/>
          <w:bCs w:val="0"/>
          <w:i w:val="0"/>
          <w:iCs w:val="0"/>
          <w:highlight w:val="none"/>
          <w:lang w:val="en-US" w:eastAsia="zh-CN"/>
        </w:rPr>
        <w:t>级指标权重，</w:t>
      </w:r>
      <m:oMath>
        <m:nary>
          <m:naryPr>
            <m:chr m:val="∑"/>
            <m:limLoc m:val="undOvr"/>
            <m:ctrlPr>
              <w:rPr>
                <w:rFonts w:hint="default" w:ascii="DejaVu Math TeX Gyre" w:hAnsi="DejaVu Math TeX Gyre" w:cs="DejaVu Math TeX Gyre"/>
                <w:i/>
                <w:iCs/>
                <w:sz w:val="21"/>
                <w:highlight w:val="none"/>
                <w:lang w:val="en-US" w:eastAsia="zh-CN" w:bidi="ar-SA"/>
              </w:rPr>
            </m:ctrlPr>
          </m:naryPr>
          <m:sub>
            <m:r>
              <m:rPr/>
              <w:rPr>
                <w:rFonts w:hint="default" w:ascii="DejaVu Math TeX Gyre" w:hAnsi="DejaVu Math TeX Gyre" w:cs="DejaVu Math TeX Gyre"/>
                <w:sz w:val="21"/>
                <w:highlight w:val="none"/>
                <w:lang w:val="en-US" w:eastAsia="zh-CN" w:bidi="ar-SA"/>
              </w:rPr>
              <m:t>k=1</m:t>
            </m:r>
            <m:ctrlPr>
              <w:rPr>
                <w:rFonts w:hint="default" w:ascii="DejaVu Math TeX Gyre" w:hAnsi="DejaVu Math TeX Gyre" w:cs="DejaVu Math TeX Gyre"/>
                <w:i/>
                <w:iCs/>
                <w:sz w:val="21"/>
                <w:highlight w:val="none"/>
                <w:lang w:val="en-US" w:eastAsia="zh-CN" w:bidi="ar-SA"/>
              </w:rPr>
            </m:ctrlPr>
          </m:sub>
          <m:sup>
            <m:r>
              <m:rPr/>
              <w:rPr>
                <w:rFonts w:hint="default" w:ascii="DejaVu Math TeX Gyre" w:hAnsi="DejaVu Math TeX Gyre" w:cs="DejaVu Math TeX Gyre"/>
                <w:sz w:val="21"/>
                <w:highlight w:val="none"/>
                <w:lang w:val="en-US" w:eastAsia="zh-CN" w:bidi="ar-SA"/>
              </w:rPr>
              <m:t>p</m:t>
            </m:r>
            <m:ctrlPr>
              <w:rPr>
                <w:rFonts w:hint="default" w:ascii="DejaVu Math TeX Gyre" w:hAnsi="DejaVu Math TeX Gyre" w:cs="DejaVu Math TeX Gyre"/>
                <w:i/>
                <w:iCs/>
                <w:sz w:val="21"/>
                <w:highlight w:val="none"/>
                <w:lang w:val="en-US" w:eastAsia="zh-CN" w:bidi="ar-SA"/>
              </w:rPr>
            </m:ctrlPr>
          </m:sup>
          <m:e>
            <m:sSub>
              <m:sSubPr>
                <m:ctrlPr>
                  <w:rPr>
                    <w:rFonts w:hint="default" w:ascii="DejaVu Math TeX Gyre" w:hAnsi="DejaVu Math TeX Gyre" w:cs="DejaVu Math TeX Gyre"/>
                    <w:i/>
                    <w:iCs/>
                    <w:sz w:val="21"/>
                    <w:highlight w:val="none"/>
                    <w:lang w:val="en-US" w:eastAsia="zh-CN" w:bidi="ar-SA"/>
                  </w:rPr>
                </m:ctrlPr>
              </m:sSubPr>
              <m:e>
                <m:r>
                  <m:rPr/>
                  <w:rPr>
                    <w:rFonts w:ascii="DejaVu Math TeX Gyre" w:hAnsi="DejaVu Math TeX Gyre" w:cs="DejaVu Math TeX Gyre"/>
                    <w:sz w:val="21"/>
                    <w:highlight w:val="none"/>
                    <w:lang w:val="en-US" w:bidi="ar-SA"/>
                  </w:rPr>
                  <m:t>γ</m:t>
                </m:r>
                <m:ctrlPr>
                  <w:rPr>
                    <w:rFonts w:hint="default" w:ascii="DejaVu Math TeX Gyre" w:hAnsi="DejaVu Math TeX Gyre" w:cs="DejaVu Math TeX Gyre"/>
                    <w:i/>
                    <w:iCs/>
                    <w:sz w:val="21"/>
                    <w:highlight w:val="none"/>
                    <w:lang w:val="en-US" w:eastAsia="zh-CN" w:bidi="ar-SA"/>
                  </w:rPr>
                </m:ctrlPr>
              </m:e>
              <m:sub>
                <m:r>
                  <m:rPr/>
                  <w:rPr>
                    <w:rFonts w:hint="default" w:ascii="DejaVu Math TeX Gyre" w:hAnsi="DejaVu Math TeX Gyre" w:cs="DejaVu Math TeX Gyre"/>
                    <w:sz w:val="21"/>
                    <w:highlight w:val="none"/>
                    <w:lang w:val="en-US" w:eastAsia="zh-CN" w:bidi="ar-SA"/>
                  </w:rPr>
                  <m:t>k</m:t>
                </m:r>
                <m:ctrlPr>
                  <w:rPr>
                    <w:rFonts w:hint="default" w:ascii="DejaVu Math TeX Gyre" w:hAnsi="DejaVu Math TeX Gyre" w:cs="DejaVu Math TeX Gyre"/>
                    <w:i/>
                    <w:iCs/>
                    <w:sz w:val="21"/>
                    <w:highlight w:val="none"/>
                    <w:lang w:val="en-US" w:eastAsia="zh-CN" w:bidi="ar-SA"/>
                  </w:rPr>
                </m:ctrlPr>
              </m:sub>
            </m:sSub>
            <m:r>
              <m:rPr/>
              <w:rPr>
                <w:rFonts w:ascii="DejaVu Math TeX Gyre" w:hAnsi="DejaVu Math TeX Gyre" w:cs="DejaVu Math TeX Gyre"/>
                <w:sz w:val="21"/>
                <w:highlight w:val="none"/>
                <w:lang w:val="en-US" w:bidi="ar-SA"/>
              </w:rPr>
              <m:t>=</m:t>
            </m:r>
            <m:r>
              <m:rPr/>
              <w:rPr>
                <w:rFonts w:hint="default" w:ascii="DejaVu Math TeX Gyre" w:hAnsi="DejaVu Math TeX Gyre" w:cs="DejaVu Math TeX Gyre"/>
                <w:sz w:val="21"/>
                <w:highlight w:val="none"/>
                <w:lang w:val="en-US" w:eastAsia="zh-CN" w:bidi="ar-SA"/>
              </w:rPr>
              <m:t>1</m:t>
            </m:r>
            <m:ctrlPr>
              <w:rPr>
                <w:rFonts w:hint="default" w:ascii="DejaVu Math TeX Gyre" w:hAnsi="DejaVu Math TeX Gyre" w:cs="DejaVu Math TeX Gyre"/>
                <w:i/>
                <w:iCs/>
                <w:sz w:val="21"/>
                <w:highlight w:val="none"/>
                <w:lang w:val="en-US" w:eastAsia="zh-CN" w:bidi="ar-SA"/>
              </w:rPr>
            </m:ctrlPr>
          </m:e>
        </m:nary>
      </m:oMath>
      <w:r>
        <w:rPr>
          <w:rFonts w:hint="eastAsia"/>
          <w:highlight w:val="none"/>
          <w:lang w:eastAsia="zh-CN"/>
        </w:rPr>
        <w:t>；</w:t>
      </w:r>
      <w:r>
        <w:rPr>
          <w:rFonts w:hint="default" w:ascii="Times New Roman" w:hAnsi="Times New Roman" w:eastAsia="宋体" w:cs="Times New Roman"/>
          <w:i w:val="0"/>
          <w:iCs w:val="0"/>
          <w:highlight w:val="none"/>
          <w:lang w:val="en-US" w:eastAsia="zh-CN"/>
        </w:rPr>
        <w:t>应根据项目实际情况</w:t>
      </w:r>
      <w:r>
        <w:rPr>
          <w:rFonts w:hint="eastAsia" w:ascii="Times New Roman" w:hAnsi="Times New Roman" w:eastAsia="宋体" w:cs="Times New Roman"/>
          <w:i w:val="0"/>
          <w:iCs w:val="0"/>
          <w:highlight w:val="none"/>
          <w:lang w:val="en-US" w:eastAsia="zh-CN"/>
        </w:rPr>
        <w:t>，</w:t>
      </w:r>
      <w:r>
        <w:rPr>
          <w:rFonts w:hint="default" w:ascii="Times New Roman" w:hAnsi="Times New Roman" w:eastAsia="宋体" w:cs="Times New Roman"/>
          <w:i w:val="0"/>
          <w:iCs w:val="0"/>
          <w:highlight w:val="none"/>
          <w:lang w:val="en-US" w:eastAsia="zh-CN"/>
        </w:rPr>
        <w:t>确定三级指标权重。</w:t>
      </w:r>
      <w:r>
        <w:rPr>
          <w:rFonts w:hint="eastAsia" w:ascii="Times New Roman" w:hAnsi="Times New Roman" w:eastAsia="宋体" w:cs="Times New Roman"/>
          <w:i w:val="0"/>
          <w:iCs w:val="0"/>
          <w:highlight w:val="none"/>
          <w:lang w:val="en-US" w:eastAsia="zh-CN"/>
        </w:rPr>
        <w:t>可参考典型生态单元生态现状评价权重细则见表C.1，也可</w:t>
      </w:r>
      <w:r>
        <w:rPr>
          <w:rFonts w:hint="default" w:ascii="Times New Roman" w:hAnsi="Times New Roman" w:eastAsia="宋体" w:cs="Times New Roman"/>
          <w:i w:val="0"/>
          <w:iCs w:val="0"/>
          <w:highlight w:val="none"/>
          <w:lang w:val="en-US" w:eastAsia="zh-CN"/>
        </w:rPr>
        <w:t>采用德尔菲法、层次分析法、熵值法进行测算。</w:t>
      </w:r>
      <w:r>
        <w:rPr>
          <w:rFonts w:hint="eastAsia" w:ascii="Times New Roman" w:cs="Times New Roman"/>
          <w:i w:val="0"/>
          <w:iCs w:val="0"/>
          <w:highlight w:val="none"/>
          <w:lang w:val="en-US" w:eastAsia="zh-CN"/>
        </w:rPr>
        <w:t>具体方法可按照</w:t>
      </w:r>
      <w:r>
        <w:rPr>
          <w:rFonts w:hint="default" w:ascii="Times New Roman" w:hAnsi="Times New Roman" w:eastAsia="宋体" w:cs="Times New Roman"/>
          <w:i w:val="0"/>
          <w:iCs w:val="0"/>
          <w:highlight w:val="none"/>
          <w:lang w:val="en-US" w:eastAsia="zh-CN"/>
        </w:rPr>
        <w:t>DB32/4867—2024</w:t>
      </w:r>
      <w:r>
        <w:rPr>
          <w:rFonts w:hint="eastAsia" w:ascii="Times New Roman" w:cs="Times New Roman"/>
          <w:i w:val="0"/>
          <w:iCs w:val="0"/>
          <w:highlight w:val="none"/>
          <w:lang w:val="en-US" w:eastAsia="zh-CN"/>
        </w:rPr>
        <w:t>中</w:t>
      </w:r>
      <w:r>
        <w:rPr>
          <w:rFonts w:hint="default" w:ascii="Times New Roman" w:hAnsi="Times New Roman" w:eastAsia="宋体" w:cs="Times New Roman"/>
          <w:i w:val="0"/>
          <w:iCs w:val="0"/>
          <w:highlight w:val="none"/>
          <w:lang w:val="en-US" w:eastAsia="zh-CN"/>
        </w:rPr>
        <w:t>附录B</w:t>
      </w:r>
      <w:r>
        <w:rPr>
          <w:rFonts w:hint="eastAsia" w:ascii="Times New Roman" w:cs="Times New Roman"/>
          <w:i w:val="0"/>
          <w:iCs w:val="0"/>
          <w:highlight w:val="none"/>
          <w:lang w:val="en-US" w:eastAsia="zh-CN"/>
        </w:rPr>
        <w:t>执行</w:t>
      </w:r>
      <w:r>
        <w:rPr>
          <w:rFonts w:hint="default" w:ascii="Times New Roman" w:hAnsi="Times New Roman" w:eastAsia="宋体" w:cs="Times New Roman"/>
          <w:i w:val="0"/>
          <w:iCs w:val="0"/>
          <w:highlight w:val="none"/>
          <w:lang w:val="en-US" w:eastAsia="zh-CN"/>
        </w:rPr>
        <w:t>。</w:t>
      </w:r>
    </w:p>
    <w:p w14:paraId="32E4E2EC">
      <w:pPr>
        <w:pStyle w:val="70"/>
        <w:spacing w:before="312" w:after="312"/>
        <w:rPr>
          <w:rFonts w:hint="eastAsia" w:hAnsi="Times New Roman" w:cs="Times New Roman"/>
          <w:highlight w:val="none"/>
          <w:lang w:val="en-US" w:eastAsia="zh-CN"/>
        </w:rPr>
      </w:pPr>
      <w:bookmarkStart w:id="452" w:name="_Toc15712"/>
      <w:bookmarkStart w:id="453" w:name="_Toc11804"/>
      <w:bookmarkStart w:id="454" w:name="_Toc12221"/>
      <w:bookmarkStart w:id="455" w:name="_Toc27970"/>
      <w:bookmarkStart w:id="456" w:name="_Toc16349"/>
      <w:bookmarkStart w:id="457" w:name="_Toc18488"/>
      <w:bookmarkStart w:id="458" w:name="_Toc8922"/>
      <w:bookmarkStart w:id="459" w:name="_Toc28832"/>
      <w:r>
        <w:rPr>
          <w:rFonts w:hint="eastAsia" w:hAnsi="Times New Roman" w:cs="Times New Roman"/>
          <w:highlight w:val="none"/>
          <w:lang w:val="en-US" w:eastAsia="zh-CN"/>
        </w:rPr>
        <w:t>评价分级</w:t>
      </w:r>
      <w:bookmarkEnd w:id="452"/>
      <w:bookmarkEnd w:id="453"/>
      <w:bookmarkEnd w:id="454"/>
      <w:bookmarkEnd w:id="455"/>
      <w:bookmarkEnd w:id="456"/>
      <w:bookmarkEnd w:id="457"/>
      <w:bookmarkEnd w:id="458"/>
      <w:bookmarkEnd w:id="459"/>
      <w:r>
        <w:rPr>
          <w:rFonts w:hint="eastAsia" w:hAnsi="Times New Roman" w:cs="Times New Roman"/>
          <w:highlight w:val="none"/>
          <w:lang w:val="en-US" w:eastAsia="zh-CN"/>
        </w:rPr>
        <w:t xml:space="preserve"> </w:t>
      </w:r>
    </w:p>
    <w:p w14:paraId="7BC7A9C2">
      <w:pPr>
        <w:keepNext w:val="0"/>
        <w:keepLines w:val="0"/>
        <w:widowControl/>
        <w:suppressLineNumbers w:val="0"/>
        <w:ind w:firstLine="420" w:firstLineChars="200"/>
        <w:jc w:val="left"/>
        <w:rPr>
          <w:rFonts w:hint="default" w:ascii="Times New Roman" w:hAnsi="Times New Roman" w:eastAsia="宋体" w:cs="Times New Roman"/>
          <w:i w:val="0"/>
          <w:iCs w:val="0"/>
          <w:kern w:val="0"/>
          <w:sz w:val="21"/>
          <w:szCs w:val="20"/>
          <w:highlight w:val="none"/>
          <w:lang w:val="en-US" w:eastAsia="zh-CN" w:bidi="ar-SA"/>
        </w:rPr>
      </w:pPr>
      <w:r>
        <w:rPr>
          <w:rFonts w:hint="eastAsia" w:ascii="Times New Roman" w:hAnsi="Times New Roman" w:eastAsia="宋体" w:cs="Times New Roman"/>
          <w:i w:val="0"/>
          <w:iCs w:val="0"/>
          <w:kern w:val="0"/>
          <w:sz w:val="21"/>
          <w:szCs w:val="20"/>
          <w:highlight w:val="none"/>
          <w:lang w:val="en-US" w:eastAsia="zh-CN" w:bidi="ar-SA"/>
        </w:rPr>
        <w:t>根据</w:t>
      </w:r>
      <w:r>
        <w:rPr>
          <w:rFonts w:hint="default" w:ascii="Times New Roman" w:hAnsi="Times New Roman" w:eastAsia="宋体" w:cs="Times New Roman"/>
          <w:i w:val="0"/>
          <w:iCs w:val="0"/>
          <w:highlight w:val="none"/>
          <w:lang w:val="en-US" w:eastAsia="zh-CN"/>
        </w:rPr>
        <w:t>典型生态单元生态现状</w:t>
      </w:r>
      <w:r>
        <w:rPr>
          <w:rFonts w:hint="eastAsia" w:ascii="Times New Roman" w:hAnsi="Times New Roman" w:eastAsia="宋体" w:cs="Times New Roman"/>
          <w:i w:val="0"/>
          <w:iCs w:val="0"/>
          <w:highlight w:val="none"/>
          <w:lang w:val="en-US" w:eastAsia="zh-CN"/>
        </w:rPr>
        <w:t>综合</w:t>
      </w:r>
      <w:r>
        <w:rPr>
          <w:rFonts w:hint="default" w:ascii="Times New Roman" w:hAnsi="Times New Roman" w:eastAsia="宋体" w:cs="Times New Roman"/>
          <w:i w:val="0"/>
          <w:iCs w:val="0"/>
          <w:highlight w:val="none"/>
          <w:lang w:val="en-US" w:eastAsia="zh-CN"/>
        </w:rPr>
        <w:t>评价指数</w:t>
      </w:r>
      <w:r>
        <w:rPr>
          <w:rFonts w:hint="eastAsia" w:ascii="Times New Roman" w:hAnsi="Times New Roman" w:eastAsia="宋体" w:cs="Times New Roman"/>
          <w:i w:val="0"/>
          <w:iCs w:val="0"/>
          <w:kern w:val="0"/>
          <w:sz w:val="21"/>
          <w:szCs w:val="20"/>
          <w:highlight w:val="none"/>
          <w:lang w:val="en-US" w:eastAsia="zh-CN" w:bidi="ar-SA"/>
        </w:rPr>
        <w:t>计算结果，</w:t>
      </w:r>
      <w:r>
        <w:rPr>
          <w:rFonts w:hint="default" w:ascii="Times New Roman" w:hAnsi="Times New Roman" w:eastAsia="宋体" w:cs="Times New Roman"/>
          <w:i w:val="0"/>
          <w:iCs w:val="0"/>
          <w:kern w:val="0"/>
          <w:sz w:val="21"/>
          <w:szCs w:val="20"/>
          <w:highlight w:val="none"/>
          <w:lang w:val="en-US" w:eastAsia="zh-CN" w:bidi="ar-SA"/>
        </w:rPr>
        <w:t>确定</w:t>
      </w:r>
      <w:r>
        <w:rPr>
          <w:rFonts w:hint="eastAsia" w:ascii="Times New Roman" w:hAnsi="Times New Roman" w:eastAsia="宋体" w:cs="Times New Roman"/>
          <w:i w:val="0"/>
          <w:iCs w:val="0"/>
          <w:kern w:val="0"/>
          <w:sz w:val="21"/>
          <w:szCs w:val="20"/>
          <w:highlight w:val="none"/>
          <w:lang w:val="en-US" w:eastAsia="zh-CN" w:bidi="ar-SA"/>
        </w:rPr>
        <w:t>评价等级（见</w:t>
      </w:r>
      <w:r>
        <w:rPr>
          <w:rFonts w:hint="default" w:ascii="Times New Roman" w:hAnsi="Times New Roman" w:eastAsia="宋体" w:cs="Times New Roman"/>
          <w:i w:val="0"/>
          <w:iCs w:val="0"/>
          <w:kern w:val="0"/>
          <w:sz w:val="21"/>
          <w:szCs w:val="20"/>
          <w:highlight w:val="none"/>
          <w:lang w:val="en-US" w:eastAsia="zh-CN" w:bidi="ar-SA"/>
        </w:rPr>
        <w:t>表</w:t>
      </w:r>
      <w:r>
        <w:rPr>
          <w:rFonts w:hint="eastAsia" w:ascii="Times New Roman" w:hAnsi="Times New Roman" w:eastAsia="宋体" w:cs="Times New Roman"/>
          <w:i w:val="0"/>
          <w:iCs w:val="0"/>
          <w:kern w:val="0"/>
          <w:sz w:val="21"/>
          <w:szCs w:val="20"/>
          <w:highlight w:val="none"/>
          <w:lang w:val="en-US" w:eastAsia="zh-CN" w:bidi="ar-SA"/>
        </w:rPr>
        <w:t>C</w:t>
      </w:r>
      <w:r>
        <w:rPr>
          <w:rFonts w:hint="default" w:ascii="Times New Roman" w:hAnsi="Times New Roman" w:eastAsia="宋体" w:cs="Times New Roman"/>
          <w:i w:val="0"/>
          <w:iCs w:val="0"/>
          <w:kern w:val="0"/>
          <w:sz w:val="21"/>
          <w:szCs w:val="20"/>
          <w:highlight w:val="none"/>
          <w:lang w:val="en-US" w:eastAsia="zh-CN" w:bidi="ar-SA"/>
        </w:rPr>
        <w:t>.1</w:t>
      </w:r>
      <w:r>
        <w:rPr>
          <w:rFonts w:hint="eastAsia" w:ascii="Times New Roman" w:hAnsi="Times New Roman" w:eastAsia="宋体" w:cs="Times New Roman"/>
          <w:i w:val="0"/>
          <w:iCs w:val="0"/>
          <w:kern w:val="0"/>
          <w:sz w:val="21"/>
          <w:szCs w:val="20"/>
          <w:highlight w:val="none"/>
          <w:lang w:val="en-US" w:eastAsia="zh-CN" w:bidi="ar-SA"/>
        </w:rPr>
        <w:t>）</w:t>
      </w:r>
      <w:r>
        <w:rPr>
          <w:rFonts w:hint="default" w:ascii="Times New Roman" w:hAnsi="Times New Roman" w:eastAsia="宋体" w:cs="Times New Roman"/>
          <w:i w:val="0"/>
          <w:iCs w:val="0"/>
          <w:kern w:val="0"/>
          <w:sz w:val="21"/>
          <w:szCs w:val="20"/>
          <w:highlight w:val="none"/>
          <w:lang w:val="en-US" w:eastAsia="zh-CN" w:bidi="ar-SA"/>
        </w:rPr>
        <w:t>。</w:t>
      </w:r>
    </w:p>
    <w:p w14:paraId="436C6A4F">
      <w:pPr>
        <w:pStyle w:val="70"/>
        <w:keepNext w:val="0"/>
        <w:keepLines w:val="0"/>
        <w:pageBreakBefore w:val="0"/>
        <w:widowControl/>
        <w:numPr>
          <w:ilvl w:val="0"/>
          <w:numId w:val="0"/>
        </w:numPr>
        <w:kinsoku/>
        <w:wordWrap w:val="0"/>
        <w:overflowPunct w:val="0"/>
        <w:topLinePunct w:val="0"/>
        <w:autoSpaceDE w:val="0"/>
        <w:autoSpaceDN/>
        <w:bidi w:val="0"/>
        <w:adjustRightInd/>
        <w:snapToGrid/>
        <w:spacing w:before="0" w:beforeLines="0" w:after="0" w:afterLines="0"/>
        <w:ind w:leftChars="0"/>
        <w:jc w:val="center"/>
        <w:textAlignment w:val="baseline"/>
        <w:rPr>
          <w:rFonts w:hint="default" w:hAnsi="Times New Roman" w:cs="Times New Roman"/>
          <w:highlight w:val="none"/>
          <w:lang w:val="en-US" w:eastAsia="zh-CN"/>
        </w:rPr>
      </w:pPr>
      <w:bookmarkStart w:id="460" w:name="_Toc13033"/>
      <w:bookmarkStart w:id="461" w:name="_Toc7572"/>
      <w:bookmarkStart w:id="462" w:name="_Toc19583"/>
      <w:bookmarkStart w:id="463" w:name="_Toc2847"/>
      <w:bookmarkStart w:id="464" w:name="_Toc28366"/>
      <w:bookmarkStart w:id="465" w:name="_Toc7956"/>
      <w:bookmarkStart w:id="466" w:name="_Toc21464"/>
      <w:bookmarkStart w:id="467" w:name="_Toc11454"/>
      <w:r>
        <w:rPr>
          <w:rFonts w:hint="eastAsia" w:hAnsi="Times New Roman" w:cs="Times New Roman"/>
          <w:highlight w:val="none"/>
          <w:lang w:val="en-US" w:eastAsia="zh-CN"/>
        </w:rPr>
        <w:t xml:space="preserve">表C,1 </w:t>
      </w:r>
      <w:r>
        <w:rPr>
          <w:rFonts w:hint="default" w:hAnsi="Times New Roman" w:cs="Times New Roman"/>
          <w:highlight w:val="none"/>
          <w:lang w:val="en-US" w:eastAsia="zh-CN"/>
        </w:rPr>
        <w:t>典型生态单元生态现状</w:t>
      </w:r>
      <w:r>
        <w:rPr>
          <w:rFonts w:hint="eastAsia" w:hAnsi="Times New Roman" w:cs="Times New Roman"/>
          <w:highlight w:val="none"/>
          <w:lang w:val="en-US" w:eastAsia="zh-CN"/>
        </w:rPr>
        <w:t>综合</w:t>
      </w:r>
      <w:r>
        <w:rPr>
          <w:rFonts w:hint="default" w:hAnsi="Times New Roman" w:cs="Times New Roman"/>
          <w:highlight w:val="none"/>
          <w:lang w:val="en-US" w:eastAsia="zh-CN"/>
        </w:rPr>
        <w:t>评价指数</w:t>
      </w:r>
      <w:r>
        <w:rPr>
          <w:rFonts w:hint="eastAsia" w:hAnsi="Times New Roman" w:cs="Times New Roman"/>
          <w:highlight w:val="none"/>
          <w:lang w:val="en-US" w:eastAsia="zh-CN"/>
        </w:rPr>
        <w:t>分级表</w:t>
      </w:r>
      <w:bookmarkEnd w:id="460"/>
      <w:bookmarkEnd w:id="461"/>
      <w:bookmarkEnd w:id="462"/>
      <w:bookmarkEnd w:id="463"/>
      <w:bookmarkEnd w:id="464"/>
      <w:bookmarkEnd w:id="465"/>
      <w:bookmarkEnd w:id="466"/>
      <w:bookmarkEnd w:id="467"/>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14:paraId="59EC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403F95E7">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eastAsia" w:ascii="Times New Roman" w:hAnsi="Times New Roman" w:eastAsia="宋体" w:cs="Times New Roman"/>
                <w:i w:val="0"/>
                <w:iCs w:val="0"/>
                <w:kern w:val="0"/>
                <w:sz w:val="21"/>
                <w:szCs w:val="20"/>
                <w:highlight w:val="none"/>
                <w:lang w:val="en-US" w:eastAsia="zh-CN" w:bidi="ar-SA"/>
              </w:rPr>
              <w:t>指数分值范围</w:t>
            </w:r>
          </w:p>
        </w:tc>
        <w:tc>
          <w:tcPr>
            <w:tcW w:w="4786" w:type="dxa"/>
            <w:noWrap w:val="0"/>
            <w:vAlign w:val="top"/>
          </w:tcPr>
          <w:p w14:paraId="3C420BB4">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eastAsia" w:cs="Times New Roman"/>
                <w:i w:val="0"/>
                <w:iCs w:val="0"/>
                <w:kern w:val="0"/>
                <w:sz w:val="21"/>
                <w:szCs w:val="20"/>
                <w:highlight w:val="none"/>
                <w:lang w:val="en-US" w:eastAsia="zh-CN" w:bidi="ar-SA"/>
              </w:rPr>
              <w:t>评价等级</w:t>
            </w:r>
          </w:p>
        </w:tc>
      </w:tr>
      <w:tr w14:paraId="4679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71C45C4C">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eastAsia" w:ascii="Times New Roman" w:hAnsi="Times New Roman" w:eastAsia="宋体" w:cs="Times New Roman"/>
                <w:i w:val="0"/>
                <w:iCs w:val="0"/>
                <w:kern w:val="0"/>
                <w:sz w:val="21"/>
                <w:szCs w:val="20"/>
                <w:highlight w:val="none"/>
                <w:lang w:val="en-US" w:eastAsia="zh-CN" w:bidi="ar-SA"/>
              </w:rPr>
              <w:t>90≤</w:t>
            </w:r>
            <w:r>
              <w:rPr>
                <w:rFonts w:hint="eastAsia" w:ascii="Times New Roman" w:hAnsi="Times New Roman" w:eastAsia="宋体" w:cs="Times New Roman"/>
                <w:i w:val="0"/>
                <w:iCs w:val="0"/>
                <w:highlight w:val="none"/>
                <w:lang w:val="en-US" w:eastAsia="zh-CN"/>
              </w:rPr>
              <w:t>TEU</w:t>
            </w:r>
            <w:r>
              <w:rPr>
                <w:rFonts w:hint="default" w:ascii="Times New Roman" w:hAnsi="Times New Roman" w:eastAsia="宋体" w:cs="Times New Roman"/>
                <w:i w:val="0"/>
                <w:iCs w:val="0"/>
                <w:highlight w:val="none"/>
                <w:lang w:val="en-US" w:eastAsia="zh-CN"/>
              </w:rPr>
              <w:t>EI</w:t>
            </w:r>
            <w:r>
              <w:rPr>
                <w:rFonts w:hint="eastAsia" w:ascii="Times New Roman" w:hAnsi="Times New Roman" w:eastAsia="宋体" w:cs="Times New Roman"/>
                <w:i w:val="0"/>
                <w:iCs w:val="0"/>
                <w:kern w:val="0"/>
                <w:sz w:val="21"/>
                <w:szCs w:val="20"/>
                <w:highlight w:val="none"/>
                <w:lang w:val="en-US" w:eastAsia="zh-CN" w:bidi="ar-SA"/>
              </w:rPr>
              <w:t>&lt;100</w:t>
            </w:r>
          </w:p>
        </w:tc>
        <w:tc>
          <w:tcPr>
            <w:tcW w:w="4786" w:type="dxa"/>
            <w:noWrap w:val="0"/>
            <w:vAlign w:val="top"/>
          </w:tcPr>
          <w:p w14:paraId="09D43E99">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eastAsia" w:ascii="Times New Roman" w:hAnsi="Times New Roman" w:eastAsia="宋体" w:cs="Times New Roman"/>
                <w:i w:val="0"/>
                <w:iCs w:val="0"/>
                <w:kern w:val="0"/>
                <w:sz w:val="21"/>
                <w:szCs w:val="20"/>
                <w:highlight w:val="none"/>
                <w:lang w:val="en-US" w:eastAsia="zh-CN" w:bidi="ar-SA"/>
              </w:rPr>
              <w:t>优秀</w:t>
            </w:r>
          </w:p>
        </w:tc>
      </w:tr>
      <w:tr w14:paraId="69BF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10377D0A">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default" w:ascii="Times New Roman" w:hAnsi="Times New Roman" w:eastAsia="宋体" w:cs="Times New Roman"/>
                <w:i w:val="0"/>
                <w:iCs w:val="0"/>
                <w:kern w:val="0"/>
                <w:sz w:val="21"/>
                <w:szCs w:val="20"/>
                <w:highlight w:val="none"/>
                <w:lang w:val="en-US" w:eastAsia="zh-CN" w:bidi="ar-SA"/>
              </w:rPr>
              <w:t>80</w:t>
            </w:r>
            <w:r>
              <w:rPr>
                <w:rFonts w:hint="eastAsia" w:ascii="Times New Roman" w:hAnsi="Times New Roman" w:eastAsia="宋体" w:cs="Times New Roman"/>
                <w:i w:val="0"/>
                <w:iCs w:val="0"/>
                <w:kern w:val="0"/>
                <w:sz w:val="21"/>
                <w:szCs w:val="20"/>
                <w:highlight w:val="none"/>
                <w:lang w:val="en-US" w:eastAsia="zh-CN" w:bidi="ar-SA"/>
              </w:rPr>
              <w:t>≤</w:t>
            </w:r>
            <w:r>
              <w:rPr>
                <w:rFonts w:hint="eastAsia" w:ascii="Times New Roman" w:hAnsi="Times New Roman" w:eastAsia="宋体" w:cs="Times New Roman"/>
                <w:i w:val="0"/>
                <w:iCs w:val="0"/>
                <w:highlight w:val="none"/>
                <w:lang w:val="en-US" w:eastAsia="zh-CN"/>
              </w:rPr>
              <w:t>TEU</w:t>
            </w:r>
            <w:r>
              <w:rPr>
                <w:rFonts w:hint="default" w:ascii="Times New Roman" w:hAnsi="Times New Roman" w:eastAsia="宋体" w:cs="Times New Roman"/>
                <w:i w:val="0"/>
                <w:iCs w:val="0"/>
                <w:highlight w:val="none"/>
                <w:lang w:val="en-US" w:eastAsia="zh-CN"/>
              </w:rPr>
              <w:t>EI</w:t>
            </w:r>
            <w:r>
              <w:rPr>
                <w:rFonts w:hint="default" w:ascii="Times New Roman" w:hAnsi="Times New Roman" w:eastAsia="宋体" w:cs="Times New Roman"/>
                <w:i w:val="0"/>
                <w:iCs w:val="0"/>
                <w:kern w:val="0"/>
                <w:sz w:val="21"/>
                <w:szCs w:val="20"/>
                <w:highlight w:val="none"/>
                <w:lang w:val="en-US" w:eastAsia="zh-CN" w:bidi="ar-SA"/>
              </w:rPr>
              <w:t>&lt;90</w:t>
            </w:r>
          </w:p>
        </w:tc>
        <w:tc>
          <w:tcPr>
            <w:tcW w:w="4786" w:type="dxa"/>
            <w:noWrap w:val="0"/>
            <w:vAlign w:val="top"/>
          </w:tcPr>
          <w:p w14:paraId="26703BE6">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eastAsia" w:ascii="Times New Roman" w:hAnsi="Times New Roman" w:eastAsia="宋体" w:cs="Times New Roman"/>
                <w:i w:val="0"/>
                <w:iCs w:val="0"/>
                <w:kern w:val="0"/>
                <w:sz w:val="21"/>
                <w:szCs w:val="20"/>
                <w:highlight w:val="none"/>
                <w:lang w:val="en-US" w:eastAsia="zh-CN" w:bidi="ar-SA"/>
              </w:rPr>
              <w:t>良好</w:t>
            </w:r>
          </w:p>
        </w:tc>
      </w:tr>
      <w:tr w14:paraId="0EE7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506053C0">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eastAsia" w:ascii="Times New Roman" w:hAnsi="Times New Roman" w:eastAsia="宋体" w:cs="Times New Roman"/>
                <w:i w:val="0"/>
                <w:iCs w:val="0"/>
                <w:kern w:val="0"/>
                <w:sz w:val="21"/>
                <w:szCs w:val="20"/>
                <w:highlight w:val="none"/>
                <w:lang w:val="en-US" w:eastAsia="zh-CN" w:bidi="ar-SA"/>
              </w:rPr>
              <w:t>70≤</w:t>
            </w:r>
            <w:r>
              <w:rPr>
                <w:rFonts w:hint="eastAsia" w:ascii="Times New Roman" w:hAnsi="Times New Roman" w:eastAsia="宋体" w:cs="Times New Roman"/>
                <w:i w:val="0"/>
                <w:iCs w:val="0"/>
                <w:highlight w:val="none"/>
                <w:lang w:val="en-US" w:eastAsia="zh-CN"/>
              </w:rPr>
              <w:t>TEU</w:t>
            </w:r>
            <w:r>
              <w:rPr>
                <w:rFonts w:hint="default" w:ascii="Times New Roman" w:hAnsi="Times New Roman" w:eastAsia="宋体" w:cs="Times New Roman"/>
                <w:i w:val="0"/>
                <w:iCs w:val="0"/>
                <w:highlight w:val="none"/>
                <w:lang w:val="en-US" w:eastAsia="zh-CN"/>
              </w:rPr>
              <w:t>EI</w:t>
            </w:r>
            <w:r>
              <w:rPr>
                <w:rFonts w:hint="eastAsia" w:ascii="Times New Roman" w:hAnsi="Times New Roman" w:eastAsia="宋体" w:cs="Times New Roman"/>
                <w:i w:val="0"/>
                <w:iCs w:val="0"/>
                <w:kern w:val="0"/>
                <w:sz w:val="21"/>
                <w:szCs w:val="20"/>
                <w:highlight w:val="none"/>
                <w:lang w:val="en-US" w:eastAsia="zh-CN" w:bidi="ar-SA"/>
              </w:rPr>
              <w:t xml:space="preserve">&lt;80 </w:t>
            </w:r>
          </w:p>
        </w:tc>
        <w:tc>
          <w:tcPr>
            <w:tcW w:w="4786" w:type="dxa"/>
            <w:noWrap w:val="0"/>
            <w:vAlign w:val="top"/>
          </w:tcPr>
          <w:p w14:paraId="19AA7118">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eastAsia" w:ascii="Times New Roman" w:hAnsi="Times New Roman" w:eastAsia="宋体" w:cs="Times New Roman"/>
                <w:i w:val="0"/>
                <w:iCs w:val="0"/>
                <w:kern w:val="0"/>
                <w:sz w:val="21"/>
                <w:szCs w:val="20"/>
                <w:highlight w:val="none"/>
                <w:lang w:val="en-US" w:eastAsia="zh-CN" w:bidi="ar-SA"/>
              </w:rPr>
              <w:t>较好</w:t>
            </w:r>
          </w:p>
        </w:tc>
      </w:tr>
      <w:tr w14:paraId="637A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11C98AB6">
            <w:pPr>
              <w:keepNext w:val="0"/>
              <w:keepLines w:val="0"/>
              <w:widowControl/>
              <w:suppressLineNumbers w:val="0"/>
              <w:jc w:val="center"/>
              <w:rPr>
                <w:rFonts w:hint="default" w:ascii="Times New Roman" w:hAnsi="Times New Roman" w:eastAsia="宋体" w:cs="Times New Roman"/>
                <w:i w:val="0"/>
                <w:iCs w:val="0"/>
                <w:kern w:val="0"/>
                <w:sz w:val="21"/>
                <w:szCs w:val="20"/>
                <w:highlight w:val="none"/>
                <w:lang w:val="en-US" w:eastAsia="zh-CN" w:bidi="ar-SA"/>
              </w:rPr>
            </w:pPr>
            <w:r>
              <w:rPr>
                <w:rFonts w:hint="eastAsia" w:ascii="Times New Roman" w:hAnsi="Times New Roman" w:eastAsia="宋体" w:cs="Times New Roman"/>
                <w:i w:val="0"/>
                <w:iCs w:val="0"/>
                <w:kern w:val="0"/>
                <w:sz w:val="21"/>
                <w:szCs w:val="20"/>
                <w:highlight w:val="none"/>
                <w:lang w:val="en-US" w:eastAsia="zh-CN" w:bidi="ar-SA"/>
              </w:rPr>
              <w:t>60≤</w:t>
            </w:r>
            <w:r>
              <w:rPr>
                <w:rFonts w:hint="eastAsia" w:ascii="Times New Roman" w:hAnsi="Times New Roman" w:eastAsia="宋体" w:cs="Times New Roman"/>
                <w:i w:val="0"/>
                <w:iCs w:val="0"/>
                <w:highlight w:val="none"/>
                <w:lang w:val="en-US" w:eastAsia="zh-CN"/>
              </w:rPr>
              <w:t>TEU</w:t>
            </w:r>
            <w:r>
              <w:rPr>
                <w:rFonts w:hint="default" w:ascii="Times New Roman" w:hAnsi="Times New Roman" w:eastAsia="宋体" w:cs="Times New Roman"/>
                <w:i w:val="0"/>
                <w:iCs w:val="0"/>
                <w:highlight w:val="none"/>
                <w:lang w:val="en-US" w:eastAsia="zh-CN"/>
              </w:rPr>
              <w:t>EI</w:t>
            </w:r>
            <w:r>
              <w:rPr>
                <w:rFonts w:hint="eastAsia" w:ascii="Times New Roman" w:hAnsi="Times New Roman" w:eastAsia="宋体" w:cs="Times New Roman"/>
                <w:i w:val="0"/>
                <w:iCs w:val="0"/>
                <w:kern w:val="0"/>
                <w:sz w:val="21"/>
                <w:szCs w:val="20"/>
                <w:highlight w:val="none"/>
                <w:lang w:val="en-US" w:eastAsia="zh-CN" w:bidi="ar-SA"/>
              </w:rPr>
              <w:t xml:space="preserve">&lt;70 </w:t>
            </w:r>
          </w:p>
        </w:tc>
        <w:tc>
          <w:tcPr>
            <w:tcW w:w="4786" w:type="dxa"/>
            <w:noWrap w:val="0"/>
            <w:vAlign w:val="top"/>
          </w:tcPr>
          <w:p w14:paraId="2485BDC7">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eastAsia" w:ascii="Times New Roman" w:hAnsi="Times New Roman" w:eastAsia="宋体" w:cs="Times New Roman"/>
                <w:i w:val="0"/>
                <w:iCs w:val="0"/>
                <w:kern w:val="0"/>
                <w:sz w:val="21"/>
                <w:szCs w:val="20"/>
                <w:highlight w:val="none"/>
                <w:lang w:val="en-US" w:eastAsia="zh-CN" w:bidi="ar-SA"/>
              </w:rPr>
              <w:t>中等</w:t>
            </w:r>
          </w:p>
        </w:tc>
      </w:tr>
      <w:tr w14:paraId="1239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7FC903FB">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default" w:ascii="Times New Roman" w:hAnsi="Times New Roman" w:eastAsia="宋体" w:cs="Times New Roman"/>
                <w:i w:val="0"/>
                <w:iCs w:val="0"/>
                <w:kern w:val="0"/>
                <w:sz w:val="21"/>
                <w:szCs w:val="20"/>
                <w:highlight w:val="none"/>
                <w:lang w:val="en-US" w:eastAsia="zh-CN" w:bidi="ar-SA"/>
              </w:rPr>
              <w:t>0</w:t>
            </w:r>
            <w:r>
              <w:rPr>
                <w:rFonts w:hint="eastAsia" w:ascii="Times New Roman" w:hAnsi="Times New Roman" w:eastAsia="宋体" w:cs="Times New Roman"/>
                <w:i w:val="0"/>
                <w:iCs w:val="0"/>
                <w:kern w:val="0"/>
                <w:sz w:val="21"/>
                <w:szCs w:val="20"/>
                <w:highlight w:val="none"/>
                <w:lang w:val="en-US" w:eastAsia="zh-CN" w:bidi="ar-SA"/>
              </w:rPr>
              <w:t>≤</w:t>
            </w:r>
            <w:r>
              <w:rPr>
                <w:rFonts w:hint="eastAsia" w:ascii="Times New Roman" w:hAnsi="Times New Roman" w:eastAsia="宋体" w:cs="Times New Roman"/>
                <w:i w:val="0"/>
                <w:iCs w:val="0"/>
                <w:highlight w:val="none"/>
                <w:lang w:val="en-US" w:eastAsia="zh-CN"/>
              </w:rPr>
              <w:t>TEU</w:t>
            </w:r>
            <w:r>
              <w:rPr>
                <w:rFonts w:hint="default" w:ascii="Times New Roman" w:hAnsi="Times New Roman" w:eastAsia="宋体" w:cs="Times New Roman"/>
                <w:i w:val="0"/>
                <w:iCs w:val="0"/>
                <w:highlight w:val="none"/>
                <w:lang w:val="en-US" w:eastAsia="zh-CN"/>
              </w:rPr>
              <w:t>EI</w:t>
            </w:r>
            <w:r>
              <w:rPr>
                <w:rFonts w:hint="default" w:ascii="Times New Roman" w:hAnsi="Times New Roman" w:eastAsia="宋体" w:cs="Times New Roman"/>
                <w:i w:val="0"/>
                <w:iCs w:val="0"/>
                <w:kern w:val="0"/>
                <w:sz w:val="21"/>
                <w:szCs w:val="20"/>
                <w:highlight w:val="none"/>
                <w:lang w:val="en-US" w:eastAsia="zh-CN" w:bidi="ar-SA"/>
              </w:rPr>
              <w:t>&lt;60</w:t>
            </w:r>
          </w:p>
        </w:tc>
        <w:tc>
          <w:tcPr>
            <w:tcW w:w="4786" w:type="dxa"/>
            <w:noWrap w:val="0"/>
            <w:vAlign w:val="top"/>
          </w:tcPr>
          <w:p w14:paraId="00C95094">
            <w:pPr>
              <w:keepNext w:val="0"/>
              <w:keepLines w:val="0"/>
              <w:widowControl/>
              <w:suppressLineNumbers w:val="0"/>
              <w:jc w:val="center"/>
              <w:rPr>
                <w:rFonts w:hint="eastAsia" w:ascii="Times New Roman" w:hAnsi="Times New Roman" w:eastAsia="宋体" w:cs="Times New Roman"/>
                <w:i w:val="0"/>
                <w:iCs w:val="0"/>
                <w:kern w:val="0"/>
                <w:sz w:val="21"/>
                <w:szCs w:val="20"/>
                <w:highlight w:val="none"/>
                <w:lang w:val="en-US" w:eastAsia="zh-CN" w:bidi="ar-SA"/>
              </w:rPr>
            </w:pPr>
            <w:r>
              <w:rPr>
                <w:rFonts w:hint="eastAsia" w:ascii="Times New Roman" w:hAnsi="Times New Roman" w:eastAsia="宋体" w:cs="Times New Roman"/>
                <w:i w:val="0"/>
                <w:iCs w:val="0"/>
                <w:kern w:val="0"/>
                <w:sz w:val="21"/>
                <w:szCs w:val="20"/>
                <w:highlight w:val="none"/>
                <w:lang w:val="en-US" w:eastAsia="zh-CN" w:bidi="ar-SA"/>
              </w:rPr>
              <w:t>较差</w:t>
            </w:r>
          </w:p>
        </w:tc>
      </w:tr>
    </w:tbl>
    <w:p w14:paraId="7AE519A2">
      <w:pPr>
        <w:pStyle w:val="70"/>
        <w:spacing w:before="312" w:after="312"/>
        <w:rPr>
          <w:rFonts w:hint="default" w:hAnsi="Times New Roman" w:cs="Times New Roman"/>
          <w:highlight w:val="none"/>
          <w:lang w:val="en-US" w:eastAsia="zh-CN"/>
        </w:rPr>
      </w:pPr>
      <w:bookmarkStart w:id="468" w:name="_Toc28331"/>
      <w:bookmarkStart w:id="469" w:name="_Toc29493"/>
      <w:bookmarkStart w:id="470" w:name="_Toc22828"/>
      <w:bookmarkStart w:id="471" w:name="_Toc1243"/>
      <w:bookmarkStart w:id="472" w:name="_Toc7477"/>
      <w:bookmarkStart w:id="473" w:name="_Toc11564"/>
      <w:bookmarkStart w:id="474" w:name="_Toc13371"/>
      <w:bookmarkStart w:id="475" w:name="_Toc29584"/>
      <w:r>
        <w:rPr>
          <w:rFonts w:hint="eastAsia" w:hAnsi="Times New Roman" w:cs="Times New Roman"/>
          <w:highlight w:val="none"/>
          <w:lang w:val="en-US" w:eastAsia="zh-CN"/>
        </w:rPr>
        <w:t>参考权重细则</w:t>
      </w:r>
      <w:bookmarkEnd w:id="468"/>
      <w:bookmarkEnd w:id="469"/>
      <w:bookmarkEnd w:id="470"/>
      <w:bookmarkEnd w:id="471"/>
      <w:bookmarkEnd w:id="472"/>
      <w:bookmarkEnd w:id="473"/>
      <w:bookmarkEnd w:id="474"/>
      <w:bookmarkEnd w:id="475"/>
    </w:p>
    <w:p w14:paraId="5EA09946">
      <w:pPr>
        <w:pStyle w:val="70"/>
        <w:keepNext w:val="0"/>
        <w:keepLines w:val="0"/>
        <w:pageBreakBefore w:val="0"/>
        <w:widowControl/>
        <w:numPr>
          <w:ilvl w:val="0"/>
          <w:numId w:val="0"/>
        </w:numPr>
        <w:kinsoku/>
        <w:wordWrap w:val="0"/>
        <w:overflowPunct w:val="0"/>
        <w:topLinePunct w:val="0"/>
        <w:autoSpaceDE w:val="0"/>
        <w:autoSpaceDN/>
        <w:bidi w:val="0"/>
        <w:adjustRightInd/>
        <w:snapToGrid/>
        <w:spacing w:before="0" w:beforeLines="0" w:after="0" w:afterLines="0"/>
        <w:ind w:leftChars="0"/>
        <w:jc w:val="center"/>
        <w:textAlignment w:val="baseline"/>
        <w:rPr>
          <w:rFonts w:hint="default" w:hAnsi="Times New Roman" w:cs="Times New Roman"/>
          <w:highlight w:val="none"/>
          <w:lang w:val="en-US" w:eastAsia="zh-CN"/>
        </w:rPr>
      </w:pPr>
      <w:bookmarkStart w:id="476" w:name="_Toc24047"/>
      <w:bookmarkStart w:id="477" w:name="_Toc27323"/>
      <w:bookmarkStart w:id="478" w:name="_Toc25577"/>
      <w:bookmarkStart w:id="479" w:name="_Toc22013"/>
      <w:bookmarkStart w:id="480" w:name="_Toc23487"/>
      <w:bookmarkStart w:id="481" w:name="_Toc19594"/>
      <w:bookmarkStart w:id="482" w:name="_Toc6288"/>
      <w:bookmarkStart w:id="483" w:name="_Toc11610"/>
      <w:r>
        <w:rPr>
          <w:rFonts w:hint="eastAsia" w:hAnsi="Times New Roman" w:cs="Times New Roman"/>
          <w:highlight w:val="none"/>
          <w:lang w:val="en-US" w:eastAsia="zh-CN"/>
        </w:rPr>
        <w:t>表C.2 典型生态单元生态现状综合评价权重细则（参考版）</w:t>
      </w:r>
      <w:bookmarkEnd w:id="476"/>
      <w:bookmarkEnd w:id="477"/>
      <w:bookmarkEnd w:id="478"/>
      <w:bookmarkEnd w:id="479"/>
      <w:bookmarkEnd w:id="480"/>
      <w:bookmarkEnd w:id="481"/>
      <w:bookmarkEnd w:id="482"/>
      <w:bookmarkEnd w:id="483"/>
    </w:p>
    <w:tbl>
      <w:tblPr>
        <w:tblStyle w:val="3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936"/>
        <w:gridCol w:w="2238"/>
        <w:gridCol w:w="916"/>
        <w:gridCol w:w="2902"/>
        <w:gridCol w:w="1062"/>
      </w:tblGrid>
      <w:tr w14:paraId="0E7C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noWrap w:val="0"/>
            <w:vAlign w:val="center"/>
          </w:tcPr>
          <w:p w14:paraId="789D891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一级指标</w:t>
            </w:r>
          </w:p>
        </w:tc>
        <w:tc>
          <w:tcPr>
            <w:tcW w:w="489" w:type="pct"/>
            <w:noWrap w:val="0"/>
            <w:vAlign w:val="center"/>
          </w:tcPr>
          <w:p w14:paraId="356BB5D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Cs w:val="18"/>
                <w:highlight w:val="none"/>
                <w:vertAlign w:val="baseline"/>
                <w:lang w:val="en-US" w:eastAsia="zh-CN"/>
              </w:rPr>
              <w:t>一级指标权重</w:t>
            </w:r>
          </w:p>
        </w:tc>
        <w:tc>
          <w:tcPr>
            <w:tcW w:w="1170" w:type="pct"/>
            <w:noWrap w:val="0"/>
            <w:vAlign w:val="center"/>
          </w:tcPr>
          <w:p w14:paraId="43A0E5B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二级指标</w:t>
            </w:r>
          </w:p>
        </w:tc>
        <w:tc>
          <w:tcPr>
            <w:tcW w:w="479" w:type="pct"/>
            <w:noWrap w:val="0"/>
            <w:vAlign w:val="center"/>
          </w:tcPr>
          <w:p w14:paraId="18F10BF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Cs w:val="18"/>
                <w:highlight w:val="none"/>
                <w:vertAlign w:val="baseline"/>
                <w:lang w:val="en-US" w:eastAsia="zh-CN"/>
              </w:rPr>
              <w:t>二级指标权重</w:t>
            </w:r>
          </w:p>
        </w:tc>
        <w:tc>
          <w:tcPr>
            <w:tcW w:w="1517" w:type="pct"/>
            <w:noWrap w:val="0"/>
            <w:vAlign w:val="center"/>
          </w:tcPr>
          <w:p w14:paraId="25F5125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三级指标</w:t>
            </w:r>
          </w:p>
        </w:tc>
        <w:tc>
          <w:tcPr>
            <w:tcW w:w="555" w:type="pct"/>
            <w:noWrap w:val="0"/>
            <w:vAlign w:val="center"/>
          </w:tcPr>
          <w:p w14:paraId="272D4D2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三级指标权重</w:t>
            </w:r>
          </w:p>
        </w:tc>
      </w:tr>
      <w:tr w14:paraId="3903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87" w:type="pct"/>
            <w:vMerge w:val="restart"/>
            <w:noWrap w:val="0"/>
            <w:vAlign w:val="center"/>
          </w:tcPr>
          <w:p w14:paraId="1ABCE92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lang w:val="en-US" w:eastAsia="zh-CN"/>
              </w:rPr>
              <w:t>生态系统格局</w:t>
            </w:r>
          </w:p>
        </w:tc>
        <w:tc>
          <w:tcPr>
            <w:tcW w:w="489" w:type="pct"/>
            <w:vMerge w:val="restart"/>
            <w:noWrap w:val="0"/>
            <w:vAlign w:val="center"/>
          </w:tcPr>
          <w:p w14:paraId="1479D7BD">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 w:val="21"/>
                <w:szCs w:val="18"/>
                <w:highlight w:val="none"/>
                <w:vertAlign w:val="baseline"/>
                <w:lang w:val="en-US" w:eastAsia="zh-CN" w:bidi="ar-SA"/>
              </w:rPr>
              <w:t>0.25</w:t>
            </w:r>
          </w:p>
        </w:tc>
        <w:tc>
          <w:tcPr>
            <w:tcW w:w="1170" w:type="pct"/>
            <w:vMerge w:val="restart"/>
            <w:noWrap w:val="0"/>
            <w:vAlign w:val="center"/>
          </w:tcPr>
          <w:p w14:paraId="70BE8C7C">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生态系统构成</w:t>
            </w:r>
          </w:p>
        </w:tc>
        <w:tc>
          <w:tcPr>
            <w:tcW w:w="479" w:type="pct"/>
            <w:vMerge w:val="restart"/>
            <w:noWrap w:val="0"/>
            <w:vAlign w:val="center"/>
          </w:tcPr>
          <w:p w14:paraId="6215A848">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hAnsi="Times New Roman" w:eastAsia="宋体" w:cs="Times New Roman"/>
                <w:sz w:val="21"/>
                <w:szCs w:val="18"/>
                <w:highlight w:val="none"/>
                <w:vertAlign w:val="baseline"/>
                <w:lang w:val="en-US" w:eastAsia="zh-CN" w:bidi="ar-SA"/>
              </w:rPr>
              <w:t>1/3</w:t>
            </w:r>
          </w:p>
        </w:tc>
        <w:tc>
          <w:tcPr>
            <w:tcW w:w="1517" w:type="pct"/>
            <w:noWrap w:val="0"/>
            <w:vAlign w:val="center"/>
          </w:tcPr>
          <w:p w14:paraId="30A3E38B">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生态系统类型</w:t>
            </w:r>
          </w:p>
        </w:tc>
        <w:tc>
          <w:tcPr>
            <w:tcW w:w="555" w:type="pct"/>
            <w:noWrap w:val="0"/>
            <w:vAlign w:val="center"/>
          </w:tcPr>
          <w:p w14:paraId="16F7F889">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1/3</w:t>
            </w:r>
          </w:p>
        </w:tc>
      </w:tr>
      <w:tr w14:paraId="76D3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87" w:type="pct"/>
            <w:vMerge w:val="continue"/>
            <w:noWrap w:val="0"/>
            <w:vAlign w:val="center"/>
          </w:tcPr>
          <w:p w14:paraId="333E778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3C91399C">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2A3494C1">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5DDD642A">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286DF472">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生态系统面积</w:t>
            </w:r>
          </w:p>
        </w:tc>
        <w:tc>
          <w:tcPr>
            <w:tcW w:w="555" w:type="pct"/>
            <w:noWrap w:val="0"/>
            <w:vAlign w:val="center"/>
          </w:tcPr>
          <w:p w14:paraId="71CD600E">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1/3</w:t>
            </w:r>
          </w:p>
        </w:tc>
      </w:tr>
      <w:tr w14:paraId="56BB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7" w:type="pct"/>
            <w:vMerge w:val="continue"/>
            <w:noWrap w:val="0"/>
            <w:vAlign w:val="center"/>
          </w:tcPr>
          <w:p w14:paraId="72A8BE5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4C614C18">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52DDA6EC">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3288FD66">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00B22364">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生态系统类型构成比例</w:t>
            </w:r>
          </w:p>
        </w:tc>
        <w:tc>
          <w:tcPr>
            <w:tcW w:w="555" w:type="pct"/>
            <w:noWrap w:val="0"/>
            <w:vAlign w:val="center"/>
          </w:tcPr>
          <w:p w14:paraId="21ECDCF7">
            <w:pPr>
              <w:pStyle w:val="25"/>
              <w:keepNext w:val="0"/>
              <w:keepLines w:val="0"/>
              <w:pageBreakBefore w:val="0"/>
              <w:widowControl/>
              <w:kinsoku/>
              <w:wordWrap/>
              <w:overflowPunct/>
              <w:topLinePunct w:val="0"/>
              <w:autoSpaceDE w:val="0"/>
              <w:autoSpaceDN w:val="0"/>
              <w:bidi w:val="0"/>
              <w:adjustRightInd/>
              <w:snapToGrid/>
              <w:ind w:left="0" w:leftChars="0"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1/3</w:t>
            </w:r>
          </w:p>
        </w:tc>
      </w:tr>
      <w:tr w14:paraId="77FF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1C53870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2324F68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7C8B0BB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生态系统空间格局</w:t>
            </w:r>
          </w:p>
        </w:tc>
        <w:tc>
          <w:tcPr>
            <w:tcW w:w="479" w:type="pct"/>
            <w:vMerge w:val="restart"/>
            <w:noWrap w:val="0"/>
            <w:vAlign w:val="center"/>
          </w:tcPr>
          <w:p w14:paraId="44B1741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hAnsi="Times New Roman" w:eastAsia="宋体" w:cs="Times New Roman"/>
                <w:sz w:val="21"/>
                <w:szCs w:val="18"/>
                <w:highlight w:val="none"/>
                <w:vertAlign w:val="baseline"/>
                <w:lang w:val="en-US" w:eastAsia="zh-CN" w:bidi="ar-SA"/>
              </w:rPr>
              <w:t>1/3</w:t>
            </w:r>
          </w:p>
        </w:tc>
        <w:tc>
          <w:tcPr>
            <w:tcW w:w="1517" w:type="pct"/>
            <w:noWrap w:val="0"/>
            <w:vAlign w:val="center"/>
          </w:tcPr>
          <w:p w14:paraId="292C21F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eastAsia="zh-CN"/>
              </w:rPr>
              <w:t>生境丰富度</w:t>
            </w:r>
          </w:p>
        </w:tc>
        <w:tc>
          <w:tcPr>
            <w:tcW w:w="555" w:type="pct"/>
            <w:noWrap w:val="0"/>
            <w:vAlign w:val="center"/>
          </w:tcPr>
          <w:p w14:paraId="7283B90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p>
        </w:tc>
      </w:tr>
      <w:tr w14:paraId="4C15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3BC1FC1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7C5590E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46F6D12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4CF1775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420C825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eastAsia="zh-CN"/>
              </w:rPr>
              <w:t>生境破碎度</w:t>
            </w:r>
          </w:p>
        </w:tc>
        <w:tc>
          <w:tcPr>
            <w:tcW w:w="555" w:type="pct"/>
            <w:noWrap w:val="0"/>
            <w:vAlign w:val="center"/>
          </w:tcPr>
          <w:p w14:paraId="0B344C7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p>
        </w:tc>
      </w:tr>
      <w:tr w14:paraId="5546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787" w:type="pct"/>
            <w:vMerge w:val="continue"/>
            <w:noWrap w:val="0"/>
            <w:vAlign w:val="center"/>
          </w:tcPr>
          <w:p w14:paraId="470B071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p>
        </w:tc>
        <w:tc>
          <w:tcPr>
            <w:tcW w:w="489" w:type="pct"/>
            <w:vMerge w:val="continue"/>
            <w:noWrap w:val="0"/>
            <w:vAlign w:val="center"/>
          </w:tcPr>
          <w:p w14:paraId="337026C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0CD8723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00F1356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4FE7E3F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eastAsia="zh-CN"/>
              </w:rPr>
              <w:t>平均斑块面积</w:t>
            </w:r>
          </w:p>
        </w:tc>
        <w:tc>
          <w:tcPr>
            <w:tcW w:w="555" w:type="pct"/>
            <w:noWrap w:val="0"/>
            <w:vAlign w:val="center"/>
          </w:tcPr>
          <w:p w14:paraId="1777261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p>
        </w:tc>
      </w:tr>
      <w:tr w14:paraId="3D1B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65A5D29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p>
        </w:tc>
        <w:tc>
          <w:tcPr>
            <w:tcW w:w="489" w:type="pct"/>
            <w:vMerge w:val="continue"/>
            <w:noWrap w:val="0"/>
            <w:vAlign w:val="center"/>
          </w:tcPr>
          <w:p w14:paraId="249F019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796E634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7CCEAAC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5547DBB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77DBA27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w:t>
            </w:r>
          </w:p>
        </w:tc>
      </w:tr>
      <w:tr w14:paraId="0B8B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09FB011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5DB09C2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7151825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030B3C4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5A153B8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指标</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p>
        </w:tc>
        <w:tc>
          <w:tcPr>
            <w:tcW w:w="555" w:type="pct"/>
            <w:noWrap w:val="0"/>
            <w:vAlign w:val="center"/>
          </w:tcPr>
          <w:p w14:paraId="37709B8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p>
        </w:tc>
      </w:tr>
      <w:tr w14:paraId="0AE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5DF48F6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lang w:val="en-US" w:eastAsia="zh-CN"/>
              </w:rPr>
            </w:pPr>
          </w:p>
        </w:tc>
        <w:tc>
          <w:tcPr>
            <w:tcW w:w="489" w:type="pct"/>
            <w:vMerge w:val="continue"/>
            <w:noWrap w:val="0"/>
            <w:vAlign w:val="center"/>
          </w:tcPr>
          <w:p w14:paraId="67BCA22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51B1930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生态连通性</w:t>
            </w:r>
          </w:p>
        </w:tc>
        <w:tc>
          <w:tcPr>
            <w:tcW w:w="479" w:type="pct"/>
            <w:vMerge w:val="restart"/>
            <w:noWrap w:val="0"/>
            <w:vAlign w:val="center"/>
          </w:tcPr>
          <w:p w14:paraId="6D15A0C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hAnsi="Times New Roman" w:eastAsia="宋体" w:cs="Times New Roman"/>
                <w:sz w:val="21"/>
                <w:szCs w:val="18"/>
                <w:highlight w:val="none"/>
                <w:vertAlign w:val="baseline"/>
                <w:lang w:val="en-US" w:eastAsia="zh-CN" w:bidi="ar-SA"/>
              </w:rPr>
              <w:t>1/3</w:t>
            </w:r>
          </w:p>
        </w:tc>
        <w:tc>
          <w:tcPr>
            <w:tcW w:w="1517" w:type="pct"/>
            <w:noWrap w:val="0"/>
            <w:vAlign w:val="center"/>
          </w:tcPr>
          <w:p w14:paraId="7FE9566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eastAsia="zh-CN"/>
              </w:rPr>
            </w:pPr>
            <w:r>
              <w:rPr>
                <w:rFonts w:hint="eastAsia" w:hAnsi="Times New Roman" w:cs="Times New Roman"/>
                <w:szCs w:val="18"/>
                <w:highlight w:val="none"/>
                <w:lang w:val="en-US" w:eastAsia="zh-CN"/>
              </w:rPr>
              <w:t>聚集度指数</w:t>
            </w:r>
          </w:p>
        </w:tc>
        <w:tc>
          <w:tcPr>
            <w:tcW w:w="555" w:type="pct"/>
            <w:noWrap w:val="0"/>
            <w:vAlign w:val="center"/>
          </w:tcPr>
          <w:p w14:paraId="363FC5D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0.5</w:t>
            </w:r>
          </w:p>
        </w:tc>
      </w:tr>
      <w:tr w14:paraId="64AE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03E4AB4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lang w:val="en-US" w:eastAsia="zh-CN"/>
              </w:rPr>
            </w:pPr>
          </w:p>
        </w:tc>
        <w:tc>
          <w:tcPr>
            <w:tcW w:w="489" w:type="pct"/>
            <w:vMerge w:val="continue"/>
            <w:noWrap w:val="0"/>
            <w:vAlign w:val="center"/>
          </w:tcPr>
          <w:p w14:paraId="6729055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0CA556C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4DA187B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25F53ED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eastAsia="zh-CN"/>
              </w:rPr>
            </w:pPr>
            <w:r>
              <w:rPr>
                <w:rFonts w:hint="eastAsia" w:hAnsi="Times New Roman" w:cs="Times New Roman"/>
                <w:szCs w:val="18"/>
                <w:highlight w:val="none"/>
                <w:lang w:val="en-US" w:eastAsia="zh-CN"/>
              </w:rPr>
              <w:t>连接度指数</w:t>
            </w:r>
          </w:p>
        </w:tc>
        <w:tc>
          <w:tcPr>
            <w:tcW w:w="555" w:type="pct"/>
            <w:noWrap w:val="0"/>
            <w:vAlign w:val="center"/>
          </w:tcPr>
          <w:p w14:paraId="7764B7E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0.5</w:t>
            </w:r>
          </w:p>
        </w:tc>
      </w:tr>
      <w:tr w14:paraId="52B3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restart"/>
            <w:noWrap w:val="0"/>
            <w:vAlign w:val="center"/>
          </w:tcPr>
          <w:p w14:paraId="4F76D09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lang w:val="en-US" w:eastAsia="zh-CN"/>
              </w:rPr>
              <w:t>生态系统质量</w:t>
            </w:r>
          </w:p>
        </w:tc>
        <w:tc>
          <w:tcPr>
            <w:tcW w:w="489" w:type="pct"/>
            <w:vMerge w:val="restart"/>
            <w:noWrap w:val="0"/>
            <w:vAlign w:val="center"/>
          </w:tcPr>
          <w:p w14:paraId="096EBD8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 w:val="21"/>
                <w:szCs w:val="18"/>
                <w:highlight w:val="none"/>
                <w:vertAlign w:val="baseline"/>
                <w:lang w:val="en-US" w:eastAsia="zh-CN" w:bidi="ar-SA"/>
              </w:rPr>
              <w:t>0.25</w:t>
            </w:r>
          </w:p>
        </w:tc>
        <w:tc>
          <w:tcPr>
            <w:tcW w:w="1170" w:type="pct"/>
            <w:vMerge w:val="restart"/>
            <w:noWrap w:val="0"/>
            <w:vAlign w:val="center"/>
          </w:tcPr>
          <w:p w14:paraId="1EEA299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水环境质量</w:t>
            </w:r>
          </w:p>
        </w:tc>
        <w:tc>
          <w:tcPr>
            <w:tcW w:w="479" w:type="pct"/>
            <w:vMerge w:val="restart"/>
            <w:noWrap w:val="0"/>
            <w:vAlign w:val="center"/>
          </w:tcPr>
          <w:p w14:paraId="29868EC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 w:val="21"/>
                <w:szCs w:val="18"/>
                <w:highlight w:val="none"/>
                <w:vertAlign w:val="baseline"/>
                <w:lang w:val="en-US" w:eastAsia="zh-CN" w:bidi="ar-SA"/>
              </w:rPr>
              <w:t>0.25</w:t>
            </w:r>
          </w:p>
        </w:tc>
        <w:tc>
          <w:tcPr>
            <w:tcW w:w="1517" w:type="pct"/>
            <w:noWrap w:val="0"/>
            <w:vAlign w:val="center"/>
          </w:tcPr>
          <w:p w14:paraId="51865E6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eastAsia" w:hAnsi="Times New Roman" w:cs="Times New Roman"/>
                <w:color w:val="000000"/>
                <w:szCs w:val="18"/>
                <w:highlight w:val="none"/>
                <w:lang w:val="en-US" w:eastAsia="zh-CN"/>
              </w:rPr>
              <w:t>水质指数</w:t>
            </w:r>
          </w:p>
        </w:tc>
        <w:tc>
          <w:tcPr>
            <w:tcW w:w="555" w:type="pct"/>
            <w:noWrap w:val="0"/>
            <w:vAlign w:val="center"/>
          </w:tcPr>
          <w:p w14:paraId="568A1EE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i w:val="0"/>
                <w:iCs w:val="0"/>
                <w:szCs w:val="18"/>
                <w:highlight w:val="none"/>
                <w:vertAlign w:val="subscript"/>
                <w:lang w:val="en-US" w:eastAsia="zh-CN"/>
              </w:rPr>
              <w:t>2</w:t>
            </w:r>
          </w:p>
        </w:tc>
      </w:tr>
      <w:tr w14:paraId="3993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691F2A1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lang w:val="en-US" w:eastAsia="zh-CN"/>
              </w:rPr>
            </w:pPr>
          </w:p>
        </w:tc>
        <w:tc>
          <w:tcPr>
            <w:tcW w:w="489" w:type="pct"/>
            <w:vMerge w:val="continue"/>
            <w:noWrap w:val="0"/>
            <w:vAlign w:val="center"/>
          </w:tcPr>
          <w:p w14:paraId="53B21AF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155CEC0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792BAE3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4EA8D33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val="en-US" w:eastAsia="zh-CN"/>
              </w:rPr>
              <w:t xml:space="preserve">地下水水位 </w:t>
            </w:r>
          </w:p>
        </w:tc>
        <w:tc>
          <w:tcPr>
            <w:tcW w:w="555" w:type="pct"/>
            <w:noWrap w:val="0"/>
            <w:vAlign w:val="center"/>
          </w:tcPr>
          <w:p w14:paraId="58E0763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i w:val="0"/>
                <w:iCs w:val="0"/>
                <w:szCs w:val="18"/>
                <w:highlight w:val="none"/>
                <w:vertAlign w:val="subscript"/>
                <w:lang w:val="en-US" w:eastAsia="zh-CN"/>
              </w:rPr>
              <w:t>2</w:t>
            </w:r>
          </w:p>
        </w:tc>
      </w:tr>
      <w:tr w14:paraId="79B2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64A2DA6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lang w:val="en-US" w:eastAsia="zh-CN"/>
              </w:rPr>
            </w:pPr>
          </w:p>
        </w:tc>
        <w:tc>
          <w:tcPr>
            <w:tcW w:w="489" w:type="pct"/>
            <w:vMerge w:val="continue"/>
            <w:noWrap w:val="0"/>
            <w:vAlign w:val="center"/>
          </w:tcPr>
          <w:p w14:paraId="3AB974A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01E7956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29624E0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77EF8F0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5257F0D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r>
      <w:tr w14:paraId="7EA8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6467EC2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lang w:val="en-US" w:eastAsia="zh-CN"/>
              </w:rPr>
            </w:pPr>
          </w:p>
        </w:tc>
        <w:tc>
          <w:tcPr>
            <w:tcW w:w="489" w:type="pct"/>
            <w:vMerge w:val="continue"/>
            <w:noWrap w:val="0"/>
            <w:vAlign w:val="center"/>
          </w:tcPr>
          <w:p w14:paraId="6946AF7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59E1911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67CEFD6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1F68693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Cs w:val="18"/>
                <w:highlight w:val="none"/>
                <w:vertAlign w:val="baseline"/>
                <w:lang w:val="en-US" w:eastAsia="zh-CN"/>
              </w:rPr>
            </w:pPr>
            <w:r>
              <w:rPr>
                <w:rFonts w:hint="default" w:ascii="Times New Roman" w:hAnsi="Times New Roman" w:eastAsia="宋体" w:cs="Times New Roman"/>
                <w:color w:val="000000"/>
                <w:szCs w:val="18"/>
                <w:highlight w:val="none"/>
                <w:vertAlign w:val="baseline"/>
                <w:lang w:val="en-US" w:eastAsia="zh-CN"/>
              </w:rPr>
              <w:t>指标</w:t>
            </w:r>
            <w:r>
              <w:rPr>
                <w:rFonts w:hint="default" w:ascii="Times New Roman" w:hAnsi="Times New Roman" w:eastAsia="宋体" w:cs="Times New Roman"/>
                <w:i/>
                <w:iCs/>
                <w:color w:val="000000"/>
                <w:szCs w:val="18"/>
                <w:highlight w:val="none"/>
                <w:vertAlign w:val="baseline"/>
                <w:lang w:val="en-US" w:eastAsia="zh-CN"/>
              </w:rPr>
              <w:t>k</w:t>
            </w:r>
            <w:r>
              <w:rPr>
                <w:rFonts w:hint="default" w:ascii="Times New Roman" w:hAnsi="Times New Roman" w:eastAsia="宋体" w:cs="Times New Roman"/>
                <w:color w:val="000000"/>
                <w:szCs w:val="18"/>
                <w:highlight w:val="none"/>
                <w:vertAlign w:val="subscript"/>
                <w:lang w:val="en-US" w:eastAsia="zh-CN"/>
              </w:rPr>
              <w:t>2</w:t>
            </w:r>
          </w:p>
        </w:tc>
        <w:tc>
          <w:tcPr>
            <w:tcW w:w="555" w:type="pct"/>
            <w:noWrap w:val="0"/>
            <w:vAlign w:val="center"/>
          </w:tcPr>
          <w:p w14:paraId="5215EDB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color w:val="000000"/>
                <w:szCs w:val="18"/>
                <w:highlight w:val="none"/>
                <w:vertAlign w:val="baseline"/>
                <w:lang w:val="en-US" w:eastAsia="zh-CN"/>
              </w:rPr>
              <w:t>1/</w:t>
            </w:r>
            <w:r>
              <w:rPr>
                <w:rFonts w:hint="default" w:ascii="Times New Roman" w:hAnsi="Times New Roman" w:eastAsia="宋体" w:cs="Times New Roman"/>
                <w:i/>
                <w:iCs/>
                <w:color w:val="000000"/>
                <w:szCs w:val="18"/>
                <w:highlight w:val="none"/>
                <w:vertAlign w:val="baseline"/>
                <w:lang w:val="en-US" w:eastAsia="zh-CN"/>
              </w:rPr>
              <w:t>k</w:t>
            </w:r>
            <w:r>
              <w:rPr>
                <w:rFonts w:hint="default" w:ascii="Times New Roman" w:hAnsi="Times New Roman" w:eastAsia="宋体" w:cs="Times New Roman"/>
                <w:color w:val="000000"/>
                <w:szCs w:val="18"/>
                <w:highlight w:val="none"/>
                <w:vertAlign w:val="subscript"/>
                <w:lang w:val="en-US" w:eastAsia="zh-CN"/>
              </w:rPr>
              <w:t>2</w:t>
            </w:r>
          </w:p>
        </w:tc>
      </w:tr>
      <w:tr w14:paraId="017D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4B123EC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0154782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7DAF57A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大气环境质量指标</w:t>
            </w:r>
          </w:p>
        </w:tc>
        <w:tc>
          <w:tcPr>
            <w:tcW w:w="479" w:type="pct"/>
            <w:vMerge w:val="restart"/>
            <w:noWrap w:val="0"/>
            <w:vAlign w:val="center"/>
          </w:tcPr>
          <w:p w14:paraId="077A03B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 w:val="21"/>
                <w:szCs w:val="18"/>
                <w:highlight w:val="none"/>
                <w:vertAlign w:val="baseline"/>
                <w:lang w:val="en-US" w:eastAsia="zh-CN" w:bidi="ar-SA"/>
              </w:rPr>
              <w:t>0.25</w:t>
            </w:r>
          </w:p>
        </w:tc>
        <w:tc>
          <w:tcPr>
            <w:tcW w:w="1517" w:type="pct"/>
            <w:noWrap w:val="0"/>
            <w:vAlign w:val="center"/>
          </w:tcPr>
          <w:p w14:paraId="32665DF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环境空气质量指数</w:t>
            </w:r>
          </w:p>
        </w:tc>
        <w:tc>
          <w:tcPr>
            <w:tcW w:w="555" w:type="pct"/>
            <w:noWrap w:val="0"/>
            <w:vAlign w:val="center"/>
          </w:tcPr>
          <w:p w14:paraId="490F3EC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i w:val="0"/>
                <w:iCs w:val="0"/>
                <w:szCs w:val="18"/>
                <w:highlight w:val="none"/>
                <w:vertAlign w:val="subscript"/>
                <w:lang w:val="en-US" w:eastAsia="zh-CN"/>
              </w:rPr>
              <w:t>3</w:t>
            </w:r>
          </w:p>
        </w:tc>
      </w:tr>
      <w:tr w14:paraId="477B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7C0EADD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29DEB91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1F9D99F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3BCCA9B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404519B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02BA812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r>
      <w:tr w14:paraId="6D81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377E434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5044264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6531B15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21D5BD6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203025C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color w:val="000000"/>
                <w:szCs w:val="18"/>
                <w:highlight w:val="none"/>
                <w:vertAlign w:val="baseline"/>
                <w:lang w:val="en-US" w:eastAsia="zh-CN"/>
              </w:rPr>
              <w:t>指标</w:t>
            </w:r>
            <w:r>
              <w:rPr>
                <w:rFonts w:hint="default" w:ascii="Times New Roman" w:hAnsi="Times New Roman" w:eastAsia="宋体" w:cs="Times New Roman"/>
                <w:i/>
                <w:iCs/>
                <w:color w:val="000000"/>
                <w:szCs w:val="18"/>
                <w:highlight w:val="none"/>
                <w:vertAlign w:val="baseline"/>
                <w:lang w:val="en-US" w:eastAsia="zh-CN"/>
              </w:rPr>
              <w:t>k</w:t>
            </w:r>
            <w:r>
              <w:rPr>
                <w:rFonts w:hint="eastAsia" w:ascii="Times New Roman" w:hAnsi="Times New Roman" w:eastAsia="宋体" w:cs="Times New Roman"/>
                <w:color w:val="000000"/>
                <w:szCs w:val="18"/>
                <w:highlight w:val="none"/>
                <w:vertAlign w:val="subscript"/>
                <w:lang w:val="en-US" w:eastAsia="zh-CN"/>
              </w:rPr>
              <w:t>3</w:t>
            </w:r>
          </w:p>
        </w:tc>
        <w:tc>
          <w:tcPr>
            <w:tcW w:w="555" w:type="pct"/>
            <w:noWrap w:val="0"/>
            <w:vAlign w:val="center"/>
          </w:tcPr>
          <w:p w14:paraId="56B2E13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color w:val="000000"/>
                <w:szCs w:val="18"/>
                <w:highlight w:val="none"/>
                <w:vertAlign w:val="baseline"/>
                <w:lang w:val="en-US" w:eastAsia="zh-CN"/>
              </w:rPr>
              <w:t>1/</w:t>
            </w:r>
            <w:r>
              <w:rPr>
                <w:rFonts w:hint="default" w:ascii="Times New Roman" w:hAnsi="Times New Roman" w:eastAsia="宋体" w:cs="Times New Roman"/>
                <w:i/>
                <w:iCs/>
                <w:color w:val="000000"/>
                <w:szCs w:val="18"/>
                <w:highlight w:val="none"/>
                <w:vertAlign w:val="baseline"/>
                <w:lang w:val="en-US" w:eastAsia="zh-CN"/>
              </w:rPr>
              <w:t>k</w:t>
            </w:r>
            <w:r>
              <w:rPr>
                <w:rFonts w:hint="eastAsia" w:ascii="Times New Roman" w:hAnsi="Times New Roman" w:eastAsia="宋体" w:cs="Times New Roman"/>
                <w:color w:val="000000"/>
                <w:szCs w:val="18"/>
                <w:highlight w:val="none"/>
                <w:vertAlign w:val="subscript"/>
                <w:lang w:val="en-US" w:eastAsia="zh-CN"/>
              </w:rPr>
              <w:t>3</w:t>
            </w:r>
          </w:p>
        </w:tc>
      </w:tr>
      <w:tr w14:paraId="57BA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483975B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770EC61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777A38E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土壤环境质量指标</w:t>
            </w:r>
          </w:p>
        </w:tc>
        <w:tc>
          <w:tcPr>
            <w:tcW w:w="479" w:type="pct"/>
            <w:vMerge w:val="restart"/>
            <w:noWrap w:val="0"/>
            <w:vAlign w:val="center"/>
          </w:tcPr>
          <w:p w14:paraId="4DE7F6C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 w:val="21"/>
                <w:szCs w:val="18"/>
                <w:highlight w:val="none"/>
                <w:vertAlign w:val="baseline"/>
                <w:lang w:val="en-US" w:eastAsia="zh-CN" w:bidi="ar-SA"/>
              </w:rPr>
              <w:t>0.25</w:t>
            </w:r>
          </w:p>
        </w:tc>
        <w:tc>
          <w:tcPr>
            <w:tcW w:w="1517" w:type="pct"/>
            <w:noWrap w:val="0"/>
            <w:vAlign w:val="center"/>
          </w:tcPr>
          <w:p w14:paraId="2C6E518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val="en-US" w:eastAsia="zh-CN"/>
              </w:rPr>
              <w:t>土壤类型</w:t>
            </w:r>
          </w:p>
        </w:tc>
        <w:tc>
          <w:tcPr>
            <w:tcW w:w="555" w:type="pct"/>
            <w:noWrap w:val="0"/>
            <w:vAlign w:val="center"/>
          </w:tcPr>
          <w:p w14:paraId="07178D0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i w:val="0"/>
                <w:iCs w:val="0"/>
                <w:szCs w:val="18"/>
                <w:highlight w:val="none"/>
                <w:vertAlign w:val="subscript"/>
                <w:lang w:val="en-US" w:eastAsia="zh-CN"/>
              </w:rPr>
              <w:t>4</w:t>
            </w:r>
          </w:p>
        </w:tc>
      </w:tr>
      <w:tr w14:paraId="1D29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1A4FBDF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3FEF23A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0023793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513E4FB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6B5C02F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val="en-US" w:eastAsia="zh-CN"/>
              </w:rPr>
              <w:t>土壤综合污染指数</w:t>
            </w:r>
          </w:p>
        </w:tc>
        <w:tc>
          <w:tcPr>
            <w:tcW w:w="555" w:type="pct"/>
            <w:noWrap w:val="0"/>
            <w:vAlign w:val="center"/>
          </w:tcPr>
          <w:p w14:paraId="7021484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i w:val="0"/>
                <w:iCs w:val="0"/>
                <w:szCs w:val="18"/>
                <w:highlight w:val="none"/>
                <w:vertAlign w:val="subscript"/>
                <w:lang w:val="en-US" w:eastAsia="zh-CN"/>
              </w:rPr>
              <w:t>4</w:t>
            </w:r>
          </w:p>
        </w:tc>
      </w:tr>
      <w:tr w14:paraId="0AFD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291778A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30E5650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5F4AD5D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6938B9A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6720D63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0B30324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r>
      <w:tr w14:paraId="3EC4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4224BF8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3495872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69471F4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1B897BE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5A86150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color w:val="000000"/>
                <w:szCs w:val="18"/>
                <w:highlight w:val="none"/>
                <w:vertAlign w:val="baseline"/>
                <w:lang w:val="en-US" w:eastAsia="zh-CN"/>
              </w:rPr>
              <w:t>指标</w:t>
            </w:r>
            <w:r>
              <w:rPr>
                <w:rFonts w:hint="default" w:ascii="Times New Roman" w:hAnsi="Times New Roman" w:eastAsia="宋体" w:cs="Times New Roman"/>
                <w:i/>
                <w:iCs/>
                <w:color w:val="000000"/>
                <w:szCs w:val="18"/>
                <w:highlight w:val="none"/>
                <w:vertAlign w:val="baseline"/>
                <w:lang w:val="en-US" w:eastAsia="zh-CN"/>
              </w:rPr>
              <w:t>k</w:t>
            </w:r>
            <w:r>
              <w:rPr>
                <w:rFonts w:hint="eastAsia" w:ascii="Times New Roman" w:hAnsi="Times New Roman" w:eastAsia="宋体" w:cs="Times New Roman"/>
                <w:color w:val="000000"/>
                <w:szCs w:val="18"/>
                <w:highlight w:val="none"/>
                <w:vertAlign w:val="subscript"/>
                <w:lang w:val="en-US" w:eastAsia="zh-CN"/>
              </w:rPr>
              <w:t>4</w:t>
            </w:r>
          </w:p>
        </w:tc>
        <w:tc>
          <w:tcPr>
            <w:tcW w:w="555" w:type="pct"/>
            <w:noWrap w:val="0"/>
            <w:vAlign w:val="center"/>
          </w:tcPr>
          <w:p w14:paraId="2A2D8FD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color w:val="000000"/>
                <w:szCs w:val="18"/>
                <w:highlight w:val="none"/>
                <w:vertAlign w:val="baseline"/>
                <w:lang w:val="en-US" w:eastAsia="zh-CN"/>
              </w:rPr>
              <w:t>1/</w:t>
            </w:r>
            <w:r>
              <w:rPr>
                <w:rFonts w:hint="default" w:ascii="Times New Roman" w:hAnsi="Times New Roman" w:eastAsia="宋体" w:cs="Times New Roman"/>
                <w:i/>
                <w:iCs/>
                <w:color w:val="000000"/>
                <w:szCs w:val="18"/>
                <w:highlight w:val="none"/>
                <w:vertAlign w:val="baseline"/>
                <w:lang w:val="en-US" w:eastAsia="zh-CN"/>
              </w:rPr>
              <w:t>k</w:t>
            </w:r>
            <w:r>
              <w:rPr>
                <w:rFonts w:hint="eastAsia" w:ascii="Times New Roman" w:hAnsi="Times New Roman" w:eastAsia="宋体" w:cs="Times New Roman"/>
                <w:color w:val="000000"/>
                <w:szCs w:val="18"/>
                <w:highlight w:val="none"/>
                <w:vertAlign w:val="subscript"/>
                <w:lang w:val="en-US" w:eastAsia="zh-CN"/>
              </w:rPr>
              <w:t>4</w:t>
            </w:r>
          </w:p>
        </w:tc>
      </w:tr>
      <w:tr w14:paraId="118C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0E1CDA6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3B48530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1E73C2A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cs="Times New Roman"/>
                <w:szCs w:val="18"/>
                <w:highlight w:val="none"/>
                <w:vertAlign w:val="baseline"/>
                <w:lang w:val="en-US" w:eastAsia="zh-CN"/>
              </w:rPr>
              <w:t>生物环境质量</w:t>
            </w:r>
          </w:p>
        </w:tc>
        <w:tc>
          <w:tcPr>
            <w:tcW w:w="479" w:type="pct"/>
            <w:vMerge w:val="restart"/>
            <w:noWrap w:val="0"/>
            <w:vAlign w:val="center"/>
          </w:tcPr>
          <w:p w14:paraId="4138EDD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 w:val="21"/>
                <w:szCs w:val="18"/>
                <w:highlight w:val="none"/>
                <w:vertAlign w:val="baseline"/>
                <w:lang w:val="en-US" w:eastAsia="zh-CN" w:bidi="ar-SA"/>
              </w:rPr>
              <w:t>0.25</w:t>
            </w:r>
          </w:p>
        </w:tc>
        <w:tc>
          <w:tcPr>
            <w:tcW w:w="1517" w:type="pct"/>
            <w:noWrap w:val="0"/>
            <w:vAlign w:val="center"/>
          </w:tcPr>
          <w:p w14:paraId="3AFAA2C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生境不可替代性指数</w:t>
            </w:r>
          </w:p>
        </w:tc>
        <w:tc>
          <w:tcPr>
            <w:tcW w:w="555" w:type="pct"/>
            <w:noWrap w:val="0"/>
            <w:vAlign w:val="center"/>
          </w:tcPr>
          <w:p w14:paraId="6F02110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5</w:t>
            </w:r>
          </w:p>
        </w:tc>
      </w:tr>
      <w:tr w14:paraId="78BD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0A7FD33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51FE86E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58B7F26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514BEA8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5227CEB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物种丰富度</w:t>
            </w:r>
          </w:p>
        </w:tc>
        <w:tc>
          <w:tcPr>
            <w:tcW w:w="555" w:type="pct"/>
            <w:noWrap w:val="0"/>
            <w:vAlign w:val="center"/>
          </w:tcPr>
          <w:p w14:paraId="69E93DF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5</w:t>
            </w:r>
          </w:p>
        </w:tc>
      </w:tr>
      <w:tr w14:paraId="18EF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6C96D3A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59AE5C5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4967131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7DB9448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shd w:val="clear" w:color="auto" w:fill="auto"/>
            <w:noWrap w:val="0"/>
            <w:vAlign w:val="center"/>
          </w:tcPr>
          <w:p w14:paraId="680DC39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Cs w:val="18"/>
                <w:highlight w:val="none"/>
                <w:vertAlign w:val="baseline"/>
                <w:lang w:val="en-US" w:eastAsia="zh-CN"/>
              </w:rPr>
              <w:t>植被覆盖度</w:t>
            </w:r>
          </w:p>
        </w:tc>
        <w:tc>
          <w:tcPr>
            <w:tcW w:w="555" w:type="pct"/>
            <w:noWrap w:val="0"/>
            <w:vAlign w:val="center"/>
          </w:tcPr>
          <w:p w14:paraId="12B1F15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5</w:t>
            </w:r>
          </w:p>
        </w:tc>
      </w:tr>
      <w:tr w14:paraId="6DE1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122EB70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44E00DA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2D78018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54F47C4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shd w:val="clear" w:color="auto" w:fill="auto"/>
            <w:noWrap w:val="0"/>
            <w:vAlign w:val="center"/>
          </w:tcPr>
          <w:p w14:paraId="5350D1D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Cs w:val="18"/>
                <w:highlight w:val="none"/>
                <w:vertAlign w:val="baseline"/>
                <w:lang w:val="en-US" w:eastAsia="zh-CN"/>
              </w:rPr>
              <w:t>叶面积指数</w:t>
            </w:r>
          </w:p>
        </w:tc>
        <w:tc>
          <w:tcPr>
            <w:tcW w:w="555" w:type="pct"/>
            <w:noWrap w:val="0"/>
            <w:vAlign w:val="center"/>
          </w:tcPr>
          <w:p w14:paraId="72C8CBD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5</w:t>
            </w:r>
          </w:p>
        </w:tc>
      </w:tr>
      <w:tr w14:paraId="565F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70D4206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33FEFDD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4168A48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67E4F1E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5442E4E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1278E06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w:t>
            </w:r>
          </w:p>
        </w:tc>
      </w:tr>
      <w:tr w14:paraId="0EC2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29EB244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109490E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726520D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0048D3B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3F56CDC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指标</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5</w:t>
            </w:r>
          </w:p>
        </w:tc>
        <w:tc>
          <w:tcPr>
            <w:tcW w:w="555" w:type="pct"/>
            <w:noWrap w:val="0"/>
            <w:vAlign w:val="center"/>
          </w:tcPr>
          <w:p w14:paraId="7AC4E55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5</w:t>
            </w:r>
          </w:p>
        </w:tc>
      </w:tr>
      <w:tr w14:paraId="27A7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restart"/>
            <w:noWrap w:val="0"/>
            <w:vAlign w:val="center"/>
          </w:tcPr>
          <w:p w14:paraId="06772F5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lang w:val="en-US" w:eastAsia="zh-CN"/>
              </w:rPr>
              <w:t>生态系统服务</w:t>
            </w:r>
          </w:p>
        </w:tc>
        <w:tc>
          <w:tcPr>
            <w:tcW w:w="489" w:type="pct"/>
            <w:vMerge w:val="restart"/>
            <w:noWrap w:val="0"/>
            <w:vAlign w:val="center"/>
          </w:tcPr>
          <w:p w14:paraId="5D5DA72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 w:val="21"/>
                <w:szCs w:val="18"/>
                <w:highlight w:val="none"/>
                <w:vertAlign w:val="baseline"/>
                <w:lang w:val="en-US" w:eastAsia="zh-CN" w:bidi="ar-SA"/>
              </w:rPr>
              <w:t>0.25</w:t>
            </w:r>
          </w:p>
        </w:tc>
        <w:tc>
          <w:tcPr>
            <w:tcW w:w="1170" w:type="pct"/>
            <w:vMerge w:val="restart"/>
            <w:noWrap w:val="0"/>
            <w:vAlign w:val="center"/>
          </w:tcPr>
          <w:p w14:paraId="5D97AC9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水源涵养能力</w:t>
            </w:r>
          </w:p>
        </w:tc>
        <w:tc>
          <w:tcPr>
            <w:tcW w:w="479" w:type="pct"/>
            <w:vMerge w:val="restart"/>
            <w:noWrap w:val="0"/>
            <w:vAlign w:val="center"/>
          </w:tcPr>
          <w:p w14:paraId="5AD92C9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cs="Times New Roman"/>
                <w:sz w:val="21"/>
                <w:szCs w:val="18"/>
                <w:highlight w:val="none"/>
                <w:vertAlign w:val="baseline"/>
                <w:lang w:val="en-US" w:eastAsia="zh-CN" w:bidi="ar-SA"/>
              </w:rPr>
              <w:t>0.125</w:t>
            </w:r>
          </w:p>
        </w:tc>
        <w:tc>
          <w:tcPr>
            <w:tcW w:w="1517" w:type="pct"/>
            <w:noWrap w:val="0"/>
            <w:vAlign w:val="center"/>
          </w:tcPr>
          <w:p w14:paraId="29B773F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水源涵养量</w:t>
            </w:r>
          </w:p>
        </w:tc>
        <w:tc>
          <w:tcPr>
            <w:tcW w:w="555" w:type="pct"/>
            <w:noWrap w:val="0"/>
            <w:vAlign w:val="center"/>
          </w:tcPr>
          <w:p w14:paraId="45E3222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6</w:t>
            </w:r>
          </w:p>
        </w:tc>
      </w:tr>
      <w:tr w14:paraId="110F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1A7C79A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557256F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6FF591D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4EA4E6C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7434ED4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13756A0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w:t>
            </w:r>
          </w:p>
        </w:tc>
      </w:tr>
      <w:tr w14:paraId="7BAB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27A8206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3779E6A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noWrap w:val="0"/>
            <w:vAlign w:val="center"/>
          </w:tcPr>
          <w:p w14:paraId="2DC94FF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防风固沙能力</w:t>
            </w:r>
          </w:p>
        </w:tc>
        <w:tc>
          <w:tcPr>
            <w:tcW w:w="479" w:type="pct"/>
            <w:noWrap w:val="0"/>
            <w:vAlign w:val="center"/>
          </w:tcPr>
          <w:p w14:paraId="2ED6D2E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cs="Times New Roman"/>
                <w:sz w:val="21"/>
                <w:szCs w:val="18"/>
                <w:highlight w:val="none"/>
                <w:vertAlign w:val="baseline"/>
                <w:lang w:val="en-US" w:eastAsia="zh-CN" w:bidi="ar-SA"/>
              </w:rPr>
              <w:t>0.125</w:t>
            </w:r>
          </w:p>
        </w:tc>
        <w:tc>
          <w:tcPr>
            <w:tcW w:w="1517" w:type="pct"/>
            <w:noWrap w:val="0"/>
            <w:vAlign w:val="center"/>
          </w:tcPr>
          <w:p w14:paraId="738B194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防风固沙量</w:t>
            </w:r>
          </w:p>
        </w:tc>
        <w:tc>
          <w:tcPr>
            <w:tcW w:w="555" w:type="pct"/>
            <w:noWrap w:val="0"/>
            <w:vAlign w:val="center"/>
          </w:tcPr>
          <w:p w14:paraId="52AF6A7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1</w:t>
            </w:r>
          </w:p>
        </w:tc>
      </w:tr>
      <w:tr w14:paraId="48FB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30BE446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563CD55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noWrap w:val="0"/>
            <w:vAlign w:val="center"/>
          </w:tcPr>
          <w:p w14:paraId="4A08CF5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土壤保持能力</w:t>
            </w:r>
          </w:p>
        </w:tc>
        <w:tc>
          <w:tcPr>
            <w:tcW w:w="479" w:type="pct"/>
            <w:noWrap w:val="0"/>
            <w:vAlign w:val="center"/>
          </w:tcPr>
          <w:p w14:paraId="63773DD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cs="Times New Roman"/>
                <w:sz w:val="21"/>
                <w:szCs w:val="18"/>
                <w:highlight w:val="none"/>
                <w:vertAlign w:val="baseline"/>
                <w:lang w:val="en-US" w:eastAsia="zh-CN" w:bidi="ar-SA"/>
              </w:rPr>
              <w:t>0.125</w:t>
            </w:r>
          </w:p>
        </w:tc>
        <w:tc>
          <w:tcPr>
            <w:tcW w:w="1517" w:type="pct"/>
            <w:noWrap w:val="0"/>
            <w:vAlign w:val="center"/>
          </w:tcPr>
          <w:p w14:paraId="355674E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土壤保持量</w:t>
            </w:r>
          </w:p>
        </w:tc>
        <w:tc>
          <w:tcPr>
            <w:tcW w:w="555" w:type="pct"/>
            <w:noWrap w:val="0"/>
            <w:vAlign w:val="center"/>
          </w:tcPr>
          <w:p w14:paraId="1700982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1</w:t>
            </w:r>
          </w:p>
        </w:tc>
      </w:tr>
      <w:tr w14:paraId="0A60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7E35B2E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7B689BB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4D7008E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生态碳汇能力</w:t>
            </w:r>
          </w:p>
        </w:tc>
        <w:tc>
          <w:tcPr>
            <w:tcW w:w="479" w:type="pct"/>
            <w:vMerge w:val="restart"/>
            <w:noWrap w:val="0"/>
            <w:vAlign w:val="center"/>
          </w:tcPr>
          <w:p w14:paraId="5EFFB2A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cs="Times New Roman"/>
                <w:sz w:val="21"/>
                <w:szCs w:val="18"/>
                <w:highlight w:val="none"/>
                <w:vertAlign w:val="baseline"/>
                <w:lang w:val="en-US" w:eastAsia="zh-CN" w:bidi="ar-SA"/>
              </w:rPr>
              <w:t>0.125</w:t>
            </w:r>
          </w:p>
        </w:tc>
        <w:tc>
          <w:tcPr>
            <w:tcW w:w="1517" w:type="pct"/>
            <w:noWrap w:val="0"/>
            <w:vAlign w:val="center"/>
          </w:tcPr>
          <w:p w14:paraId="4A13579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固碳量</w:t>
            </w:r>
          </w:p>
        </w:tc>
        <w:tc>
          <w:tcPr>
            <w:tcW w:w="555" w:type="pct"/>
            <w:noWrap w:val="0"/>
            <w:vAlign w:val="center"/>
          </w:tcPr>
          <w:p w14:paraId="39E894B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7</w:t>
            </w:r>
          </w:p>
        </w:tc>
      </w:tr>
      <w:tr w14:paraId="10D9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537C469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6161F18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5240E07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0E9CCF6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7B015CD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2EB57DD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r>
      <w:tr w14:paraId="69D7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01789DE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27EE217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060BD9B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09AFA71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4512D00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指标</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7</w:t>
            </w:r>
          </w:p>
        </w:tc>
        <w:tc>
          <w:tcPr>
            <w:tcW w:w="555" w:type="pct"/>
            <w:noWrap w:val="0"/>
            <w:vAlign w:val="center"/>
          </w:tcPr>
          <w:p w14:paraId="55135BD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7</w:t>
            </w:r>
          </w:p>
        </w:tc>
      </w:tr>
      <w:tr w14:paraId="14C6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20CC27A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6557B03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6B520EF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cs="Times New Roman"/>
                <w:szCs w:val="18"/>
                <w:highlight w:val="none"/>
                <w:vertAlign w:val="baseline"/>
                <w:lang w:val="en-US" w:eastAsia="zh-CN"/>
              </w:rPr>
              <w:t>污染净化能力</w:t>
            </w:r>
          </w:p>
        </w:tc>
        <w:tc>
          <w:tcPr>
            <w:tcW w:w="479" w:type="pct"/>
            <w:vMerge w:val="restart"/>
            <w:noWrap w:val="0"/>
            <w:vAlign w:val="center"/>
          </w:tcPr>
          <w:p w14:paraId="705111A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cs="Times New Roman"/>
                <w:sz w:val="21"/>
                <w:szCs w:val="18"/>
                <w:highlight w:val="none"/>
                <w:vertAlign w:val="baseline"/>
                <w:lang w:val="en-US" w:eastAsia="zh-CN" w:bidi="ar-SA"/>
              </w:rPr>
              <w:t>0.125</w:t>
            </w:r>
          </w:p>
        </w:tc>
        <w:tc>
          <w:tcPr>
            <w:tcW w:w="1517" w:type="pct"/>
            <w:noWrap w:val="0"/>
            <w:vAlign w:val="center"/>
          </w:tcPr>
          <w:p w14:paraId="6710F8E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hAnsi="Times New Roman" w:cs="Times New Roman"/>
                <w:szCs w:val="18"/>
                <w:highlight w:val="none"/>
                <w:lang w:val="en-US" w:eastAsia="zh-CN"/>
              </w:rPr>
            </w:pPr>
            <w:r>
              <w:rPr>
                <w:rFonts w:hint="eastAsia" w:cs="Times New Roman"/>
                <w:szCs w:val="18"/>
                <w:highlight w:val="none"/>
                <w:vertAlign w:val="baseline"/>
                <w:lang w:val="en-US" w:eastAsia="zh-CN"/>
              </w:rPr>
              <w:t>空气净化量</w:t>
            </w:r>
          </w:p>
        </w:tc>
        <w:tc>
          <w:tcPr>
            <w:tcW w:w="555" w:type="pct"/>
            <w:shd w:val="clear" w:color="auto" w:fill="auto"/>
            <w:noWrap w:val="0"/>
            <w:vAlign w:val="center"/>
          </w:tcPr>
          <w:p w14:paraId="1DDC12B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8</w:t>
            </w:r>
          </w:p>
        </w:tc>
      </w:tr>
      <w:tr w14:paraId="2998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56FBDF0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182ED5F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351DFFA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3FBD7FE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316EC04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hAnsi="Times New Roman" w:cs="Times New Roman"/>
                <w:szCs w:val="18"/>
                <w:highlight w:val="none"/>
                <w:lang w:val="en-US" w:eastAsia="zh-CN"/>
              </w:rPr>
            </w:pPr>
            <w:r>
              <w:rPr>
                <w:rFonts w:hint="default" w:ascii="Times New Roman" w:hAnsi="Times New Roman" w:eastAsia="宋体" w:cs="Times New Roman"/>
                <w:szCs w:val="18"/>
                <w:highlight w:val="none"/>
                <w:vertAlign w:val="baseline"/>
                <w:lang w:val="en-US" w:eastAsia="zh-CN"/>
              </w:rPr>
              <w:t>指标</w:t>
            </w:r>
            <w:r>
              <w:rPr>
                <w:rFonts w:hint="default" w:ascii="Times New Roman" w:hAnsi="Times New Roman" w:eastAsia="宋体" w:cs="Times New Roman"/>
                <w:i/>
                <w:iCs/>
                <w:szCs w:val="18"/>
                <w:highlight w:val="none"/>
                <w:vertAlign w:val="baseline"/>
                <w:lang w:val="en-US" w:eastAsia="zh-CN"/>
              </w:rPr>
              <w:t>k</w:t>
            </w:r>
            <w:r>
              <w:rPr>
                <w:rFonts w:hint="eastAsia" w:ascii="Times New Roman" w:cs="Times New Roman"/>
                <w:szCs w:val="18"/>
                <w:highlight w:val="none"/>
                <w:vertAlign w:val="subscript"/>
                <w:lang w:val="en-US" w:eastAsia="zh-CN"/>
              </w:rPr>
              <w:t>8</w:t>
            </w:r>
          </w:p>
        </w:tc>
        <w:tc>
          <w:tcPr>
            <w:tcW w:w="555" w:type="pct"/>
            <w:shd w:val="clear" w:color="auto" w:fill="auto"/>
            <w:noWrap w:val="0"/>
            <w:vAlign w:val="center"/>
          </w:tcPr>
          <w:p w14:paraId="5DBC5C9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8</w:t>
            </w:r>
          </w:p>
        </w:tc>
      </w:tr>
      <w:tr w14:paraId="34BE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072A69D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6DDC6D4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7D10D11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生物多样性维护能力</w:t>
            </w:r>
          </w:p>
        </w:tc>
        <w:tc>
          <w:tcPr>
            <w:tcW w:w="479" w:type="pct"/>
            <w:vMerge w:val="restart"/>
            <w:noWrap w:val="0"/>
            <w:vAlign w:val="center"/>
          </w:tcPr>
          <w:p w14:paraId="77952C7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cs="Times New Roman"/>
                <w:sz w:val="21"/>
                <w:szCs w:val="18"/>
                <w:highlight w:val="none"/>
                <w:vertAlign w:val="baseline"/>
                <w:lang w:val="en-US" w:eastAsia="zh-CN" w:bidi="ar-SA"/>
              </w:rPr>
              <w:t>0.125</w:t>
            </w:r>
          </w:p>
        </w:tc>
        <w:tc>
          <w:tcPr>
            <w:tcW w:w="1517" w:type="pct"/>
            <w:noWrap w:val="0"/>
            <w:vAlign w:val="center"/>
          </w:tcPr>
          <w:p w14:paraId="6751924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eastAsia" w:hAnsi="Times New Roman" w:cs="Times New Roman"/>
                <w:szCs w:val="18"/>
                <w:highlight w:val="none"/>
                <w:lang w:val="en-US" w:eastAsia="zh-CN"/>
              </w:rPr>
              <w:t>本地物种数目</w:t>
            </w:r>
          </w:p>
        </w:tc>
        <w:tc>
          <w:tcPr>
            <w:tcW w:w="555" w:type="pct"/>
            <w:noWrap w:val="0"/>
            <w:vAlign w:val="center"/>
          </w:tcPr>
          <w:p w14:paraId="554FF72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cs="Times New Roman"/>
                <w:szCs w:val="18"/>
                <w:highlight w:val="none"/>
                <w:vertAlign w:val="subscript"/>
                <w:lang w:val="en-US" w:eastAsia="zh-CN"/>
              </w:rPr>
              <w:t>9</w:t>
            </w:r>
          </w:p>
        </w:tc>
      </w:tr>
      <w:tr w14:paraId="348A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1DE516E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022ADF2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08221D6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78BC9B1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1716675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520A5ED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p>
        </w:tc>
      </w:tr>
      <w:tr w14:paraId="7EB9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3D2FC81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7D20A1B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4677D08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3D3B0AB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203359F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3727559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r>
      <w:tr w14:paraId="61E1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7F5260A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0CC7271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0F76782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25B2D88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2C6375C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指标</w:t>
            </w:r>
            <w:r>
              <w:rPr>
                <w:rFonts w:hint="default" w:ascii="Times New Roman" w:hAnsi="Times New Roman" w:eastAsia="宋体" w:cs="Times New Roman"/>
                <w:i/>
                <w:iCs/>
                <w:szCs w:val="18"/>
                <w:highlight w:val="none"/>
                <w:vertAlign w:val="baseline"/>
                <w:lang w:val="en-US" w:eastAsia="zh-CN"/>
              </w:rPr>
              <w:t>k</w:t>
            </w:r>
            <w:r>
              <w:rPr>
                <w:rFonts w:hint="eastAsia" w:ascii="Times New Roman" w:cs="Times New Roman"/>
                <w:szCs w:val="18"/>
                <w:highlight w:val="none"/>
                <w:vertAlign w:val="subscript"/>
                <w:lang w:val="en-US" w:eastAsia="zh-CN"/>
              </w:rPr>
              <w:t>9</w:t>
            </w:r>
          </w:p>
        </w:tc>
        <w:tc>
          <w:tcPr>
            <w:tcW w:w="555" w:type="pct"/>
            <w:noWrap w:val="0"/>
            <w:vAlign w:val="center"/>
          </w:tcPr>
          <w:p w14:paraId="10F74D9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cs="Times New Roman"/>
                <w:szCs w:val="18"/>
                <w:highlight w:val="none"/>
                <w:vertAlign w:val="subscript"/>
                <w:lang w:val="en-US" w:eastAsia="zh-CN"/>
              </w:rPr>
              <w:t>9</w:t>
            </w:r>
          </w:p>
        </w:tc>
      </w:tr>
      <w:tr w14:paraId="3996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1F9D712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2CECDEB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50D4406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cs="Times New Roman"/>
                <w:szCs w:val="18"/>
                <w:highlight w:val="none"/>
                <w:vertAlign w:val="baseline"/>
                <w:lang w:val="en-US" w:eastAsia="zh-CN"/>
              </w:rPr>
              <w:t>供给服务能力</w:t>
            </w:r>
          </w:p>
        </w:tc>
        <w:tc>
          <w:tcPr>
            <w:tcW w:w="479" w:type="pct"/>
            <w:vMerge w:val="restart"/>
            <w:noWrap w:val="0"/>
            <w:vAlign w:val="center"/>
          </w:tcPr>
          <w:p w14:paraId="11640C7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cs="Times New Roman"/>
                <w:sz w:val="21"/>
                <w:szCs w:val="18"/>
                <w:highlight w:val="none"/>
                <w:vertAlign w:val="baseline"/>
                <w:lang w:val="en-US" w:eastAsia="zh-CN" w:bidi="ar-SA"/>
              </w:rPr>
              <w:t>0.125</w:t>
            </w:r>
          </w:p>
        </w:tc>
        <w:tc>
          <w:tcPr>
            <w:tcW w:w="1517" w:type="pct"/>
            <w:noWrap w:val="0"/>
            <w:vAlign w:val="center"/>
          </w:tcPr>
          <w:p w14:paraId="5018F28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水资源利用量</w:t>
            </w:r>
          </w:p>
        </w:tc>
        <w:tc>
          <w:tcPr>
            <w:tcW w:w="555" w:type="pct"/>
            <w:noWrap w:val="0"/>
            <w:vAlign w:val="center"/>
          </w:tcPr>
          <w:p w14:paraId="54865FE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cs="Times New Roman"/>
                <w:szCs w:val="18"/>
                <w:highlight w:val="none"/>
                <w:vertAlign w:val="subscript"/>
                <w:lang w:val="en-US" w:eastAsia="zh-CN"/>
              </w:rPr>
              <w:t>10</w:t>
            </w:r>
          </w:p>
        </w:tc>
      </w:tr>
      <w:tr w14:paraId="14D2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57C24D3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0E1A265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299FACA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2B6AD93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6EA148C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6D3AEAF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r>
      <w:tr w14:paraId="21C8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87" w:type="pct"/>
            <w:vMerge w:val="continue"/>
            <w:noWrap w:val="0"/>
            <w:vAlign w:val="center"/>
          </w:tcPr>
          <w:p w14:paraId="5F3E05B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71D2D1D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73238EA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241A3CD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6FA17DA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指标</w:t>
            </w:r>
            <w:r>
              <w:rPr>
                <w:rFonts w:hint="default" w:ascii="Times New Roman" w:hAnsi="Times New Roman" w:eastAsia="宋体" w:cs="Times New Roman"/>
                <w:i/>
                <w:iCs/>
                <w:szCs w:val="18"/>
                <w:highlight w:val="none"/>
                <w:vertAlign w:val="baseline"/>
                <w:lang w:val="en-US" w:eastAsia="zh-CN"/>
              </w:rPr>
              <w:t>k</w:t>
            </w:r>
            <w:r>
              <w:rPr>
                <w:rFonts w:hint="eastAsia" w:ascii="Times New Roman" w:cs="Times New Roman"/>
                <w:szCs w:val="18"/>
                <w:highlight w:val="none"/>
                <w:vertAlign w:val="subscript"/>
                <w:lang w:val="en-US" w:eastAsia="zh-CN"/>
              </w:rPr>
              <w:t>10</w:t>
            </w:r>
          </w:p>
        </w:tc>
        <w:tc>
          <w:tcPr>
            <w:tcW w:w="555" w:type="pct"/>
            <w:noWrap w:val="0"/>
            <w:vAlign w:val="center"/>
          </w:tcPr>
          <w:p w14:paraId="270D956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cs="Times New Roman"/>
                <w:szCs w:val="18"/>
                <w:highlight w:val="none"/>
                <w:vertAlign w:val="subscript"/>
                <w:lang w:val="en-US" w:eastAsia="zh-CN"/>
              </w:rPr>
              <w:t>10</w:t>
            </w:r>
          </w:p>
        </w:tc>
      </w:tr>
      <w:tr w14:paraId="0529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130A4B9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1D3CE4F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584CEFB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cs="Times New Roman"/>
                <w:szCs w:val="18"/>
                <w:highlight w:val="none"/>
                <w:vertAlign w:val="baseline"/>
                <w:lang w:val="en-US" w:eastAsia="zh-CN"/>
              </w:rPr>
              <w:t>文化服务能力</w:t>
            </w:r>
          </w:p>
        </w:tc>
        <w:tc>
          <w:tcPr>
            <w:tcW w:w="479" w:type="pct"/>
            <w:vMerge w:val="restart"/>
            <w:noWrap w:val="0"/>
            <w:vAlign w:val="center"/>
          </w:tcPr>
          <w:p w14:paraId="01ACAEF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cs="Times New Roman"/>
                <w:sz w:val="21"/>
                <w:szCs w:val="18"/>
                <w:highlight w:val="none"/>
                <w:vertAlign w:val="baseline"/>
                <w:lang w:val="en-US" w:eastAsia="zh-CN" w:bidi="ar-SA"/>
              </w:rPr>
              <w:t>0.125</w:t>
            </w:r>
          </w:p>
        </w:tc>
        <w:tc>
          <w:tcPr>
            <w:tcW w:w="1517" w:type="pct"/>
            <w:noWrap w:val="0"/>
            <w:vAlign w:val="center"/>
          </w:tcPr>
          <w:p w14:paraId="774C70A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景观受益面积</w:t>
            </w:r>
          </w:p>
        </w:tc>
        <w:tc>
          <w:tcPr>
            <w:tcW w:w="555" w:type="pct"/>
            <w:noWrap w:val="0"/>
            <w:vAlign w:val="center"/>
          </w:tcPr>
          <w:p w14:paraId="283B09C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cs="Times New Roman"/>
                <w:szCs w:val="18"/>
                <w:highlight w:val="none"/>
                <w:vertAlign w:val="baseline"/>
                <w:lang w:val="en-US" w:eastAsia="zh-CN"/>
              </w:rPr>
              <w:t>1/2</w:t>
            </w:r>
          </w:p>
        </w:tc>
      </w:tr>
      <w:tr w14:paraId="4779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517B288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4860B31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7E6DF6E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cs="Times New Roman"/>
                <w:szCs w:val="18"/>
                <w:highlight w:val="none"/>
                <w:vertAlign w:val="baseline"/>
                <w:lang w:val="en-US" w:eastAsia="zh-CN"/>
              </w:rPr>
            </w:pPr>
          </w:p>
        </w:tc>
        <w:tc>
          <w:tcPr>
            <w:tcW w:w="479" w:type="pct"/>
            <w:vMerge w:val="continue"/>
            <w:noWrap w:val="0"/>
            <w:vAlign w:val="center"/>
          </w:tcPr>
          <w:p w14:paraId="24AEC06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640DE11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cs="Times New Roman"/>
                <w:szCs w:val="18"/>
                <w:highlight w:val="none"/>
                <w:vertAlign w:val="baseline"/>
                <w:lang w:val="en-US" w:eastAsia="zh-CN"/>
              </w:rPr>
              <w:t>年游憩人次</w:t>
            </w:r>
          </w:p>
        </w:tc>
        <w:tc>
          <w:tcPr>
            <w:tcW w:w="555" w:type="pct"/>
            <w:noWrap w:val="0"/>
            <w:vAlign w:val="center"/>
          </w:tcPr>
          <w:p w14:paraId="28366FE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cs="Times New Roman"/>
                <w:szCs w:val="18"/>
                <w:highlight w:val="none"/>
                <w:vertAlign w:val="baseline"/>
                <w:lang w:val="en-US" w:eastAsia="zh-CN"/>
              </w:rPr>
              <w:t>1/2</w:t>
            </w:r>
          </w:p>
        </w:tc>
      </w:tr>
      <w:tr w14:paraId="45A1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restart"/>
            <w:noWrap w:val="0"/>
            <w:vAlign w:val="center"/>
          </w:tcPr>
          <w:p w14:paraId="1ECD1DF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lang w:val="en-US" w:eastAsia="zh-CN"/>
              </w:rPr>
              <w:t>生态胁迫</w:t>
            </w:r>
          </w:p>
        </w:tc>
        <w:tc>
          <w:tcPr>
            <w:tcW w:w="489" w:type="pct"/>
            <w:vMerge w:val="restart"/>
            <w:noWrap w:val="0"/>
            <w:vAlign w:val="center"/>
          </w:tcPr>
          <w:p w14:paraId="7992514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 w:val="21"/>
                <w:szCs w:val="18"/>
                <w:highlight w:val="none"/>
                <w:vertAlign w:val="baseline"/>
                <w:lang w:val="en-US" w:eastAsia="zh-CN" w:bidi="ar-SA"/>
              </w:rPr>
              <w:t>0.25</w:t>
            </w:r>
          </w:p>
        </w:tc>
        <w:tc>
          <w:tcPr>
            <w:tcW w:w="1170" w:type="pct"/>
            <w:vMerge w:val="restart"/>
            <w:noWrap w:val="0"/>
            <w:vAlign w:val="center"/>
          </w:tcPr>
          <w:p w14:paraId="01658BF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地质</w:t>
            </w:r>
            <w:r>
              <w:rPr>
                <w:rFonts w:hint="eastAsia" w:ascii="Times New Roman" w:cs="Times New Roman"/>
                <w:szCs w:val="18"/>
                <w:highlight w:val="none"/>
                <w:vertAlign w:val="baseline"/>
                <w:lang w:val="en-US" w:eastAsia="zh-CN"/>
              </w:rPr>
              <w:t>灾害易发性</w:t>
            </w:r>
          </w:p>
        </w:tc>
        <w:tc>
          <w:tcPr>
            <w:tcW w:w="479" w:type="pct"/>
            <w:vMerge w:val="restart"/>
            <w:noWrap w:val="0"/>
            <w:vAlign w:val="center"/>
          </w:tcPr>
          <w:p w14:paraId="6F3353C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hAnsi="Times New Roman" w:eastAsia="宋体" w:cs="Times New Roman"/>
                <w:sz w:val="21"/>
                <w:szCs w:val="18"/>
                <w:highlight w:val="none"/>
                <w:vertAlign w:val="baseline"/>
                <w:lang w:val="en-US" w:eastAsia="zh-CN" w:bidi="ar-SA"/>
              </w:rPr>
              <w:t>1/6</w:t>
            </w:r>
          </w:p>
        </w:tc>
        <w:tc>
          <w:tcPr>
            <w:tcW w:w="1517" w:type="pct"/>
            <w:noWrap w:val="0"/>
            <w:vAlign w:val="center"/>
          </w:tcPr>
          <w:p w14:paraId="36E65AA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eastAsia" w:ascii="Times New Roman" w:cs="Times New Roman"/>
                <w:szCs w:val="18"/>
                <w:highlight w:val="none"/>
                <w:vertAlign w:val="baseline"/>
                <w:lang w:val="en-US" w:eastAsia="zh-CN"/>
              </w:rPr>
              <w:t>地质安全隐患点数量</w:t>
            </w:r>
          </w:p>
        </w:tc>
        <w:tc>
          <w:tcPr>
            <w:tcW w:w="555" w:type="pct"/>
            <w:noWrap w:val="0"/>
            <w:vAlign w:val="center"/>
          </w:tcPr>
          <w:p w14:paraId="5500C2A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cs="Times New Roman"/>
                <w:szCs w:val="18"/>
                <w:highlight w:val="none"/>
                <w:vertAlign w:val="baseline"/>
                <w:lang w:val="en-US" w:eastAsia="zh-CN"/>
              </w:rPr>
              <w:t>1/2</w:t>
            </w:r>
          </w:p>
        </w:tc>
      </w:tr>
      <w:tr w14:paraId="07E4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3CBC831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7A1C063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38FF14C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6A57D57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1EA1CC9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cs="Times New Roman"/>
                <w:szCs w:val="18"/>
                <w:highlight w:val="none"/>
                <w:vertAlign w:val="baseline"/>
                <w:lang w:val="en-US" w:eastAsia="zh-CN"/>
              </w:rPr>
              <w:t>地质灾害易发区占比</w:t>
            </w:r>
          </w:p>
        </w:tc>
        <w:tc>
          <w:tcPr>
            <w:tcW w:w="555" w:type="pct"/>
            <w:noWrap w:val="0"/>
            <w:vAlign w:val="center"/>
          </w:tcPr>
          <w:p w14:paraId="51F54D5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cs="Times New Roman"/>
                <w:szCs w:val="18"/>
                <w:highlight w:val="none"/>
                <w:vertAlign w:val="baseline"/>
                <w:lang w:val="en-US" w:eastAsia="zh-CN"/>
              </w:rPr>
              <w:t>1/2</w:t>
            </w:r>
          </w:p>
        </w:tc>
      </w:tr>
      <w:tr w14:paraId="18CF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09B309E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76D9836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7656D34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水土流失程度</w:t>
            </w:r>
          </w:p>
        </w:tc>
        <w:tc>
          <w:tcPr>
            <w:tcW w:w="479" w:type="pct"/>
            <w:vMerge w:val="restart"/>
            <w:noWrap w:val="0"/>
            <w:vAlign w:val="center"/>
          </w:tcPr>
          <w:p w14:paraId="4131434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hAnsi="Times New Roman" w:eastAsia="宋体" w:cs="Times New Roman"/>
                <w:sz w:val="21"/>
                <w:szCs w:val="18"/>
                <w:highlight w:val="none"/>
                <w:vertAlign w:val="baseline"/>
                <w:lang w:val="en-US" w:eastAsia="zh-CN" w:bidi="ar-SA"/>
              </w:rPr>
              <w:t>1/6</w:t>
            </w:r>
          </w:p>
        </w:tc>
        <w:tc>
          <w:tcPr>
            <w:tcW w:w="1517" w:type="pct"/>
            <w:noWrap w:val="0"/>
            <w:vAlign w:val="center"/>
          </w:tcPr>
          <w:p w14:paraId="7246F9C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eastAsia" w:hAnsi="Times New Roman" w:cs="Times New Roman"/>
                <w:szCs w:val="18"/>
                <w:highlight w:val="none"/>
                <w:lang w:val="en-US" w:eastAsia="zh-CN"/>
              </w:rPr>
              <w:t>土壤可蚀性因子</w:t>
            </w:r>
          </w:p>
        </w:tc>
        <w:tc>
          <w:tcPr>
            <w:tcW w:w="555" w:type="pct"/>
            <w:noWrap w:val="0"/>
            <w:vAlign w:val="center"/>
          </w:tcPr>
          <w:p w14:paraId="13F1299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cs="Times New Roman"/>
                <w:szCs w:val="18"/>
                <w:highlight w:val="none"/>
                <w:vertAlign w:val="subscript"/>
                <w:lang w:val="en-US" w:eastAsia="zh-CN"/>
              </w:rPr>
              <w:t>11</w:t>
            </w:r>
          </w:p>
        </w:tc>
      </w:tr>
      <w:tr w14:paraId="4110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6707CAF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1C47DB3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3CD55E2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64BEB82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226076E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0BAB3F4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r>
      <w:tr w14:paraId="710A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16FC080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4524D93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5E5F0A2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4207A09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5313D88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指标</w:t>
            </w:r>
            <w:r>
              <w:rPr>
                <w:rFonts w:hint="default" w:ascii="Times New Roman" w:hAnsi="Times New Roman" w:eastAsia="宋体" w:cs="Times New Roman"/>
                <w:i/>
                <w:iCs/>
                <w:szCs w:val="18"/>
                <w:highlight w:val="none"/>
                <w:vertAlign w:val="baseline"/>
                <w:lang w:val="en-US" w:eastAsia="zh-CN"/>
              </w:rPr>
              <w:t>k</w:t>
            </w:r>
            <w:r>
              <w:rPr>
                <w:rFonts w:hint="eastAsia" w:ascii="Times New Roman" w:cs="Times New Roman"/>
                <w:szCs w:val="18"/>
                <w:highlight w:val="none"/>
                <w:vertAlign w:val="subscript"/>
                <w:lang w:val="en-US" w:eastAsia="zh-CN"/>
              </w:rPr>
              <w:t>11</w:t>
            </w:r>
          </w:p>
        </w:tc>
        <w:tc>
          <w:tcPr>
            <w:tcW w:w="555" w:type="pct"/>
            <w:noWrap w:val="0"/>
            <w:vAlign w:val="center"/>
          </w:tcPr>
          <w:p w14:paraId="209734D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cs="Times New Roman"/>
                <w:szCs w:val="18"/>
                <w:highlight w:val="none"/>
                <w:vertAlign w:val="subscript"/>
                <w:lang w:val="en-US" w:eastAsia="zh-CN"/>
              </w:rPr>
              <w:t>11</w:t>
            </w:r>
          </w:p>
        </w:tc>
      </w:tr>
      <w:tr w14:paraId="1412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78375C1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33B5EE3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12E3288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生物灾害</w:t>
            </w:r>
          </w:p>
        </w:tc>
        <w:tc>
          <w:tcPr>
            <w:tcW w:w="479" w:type="pct"/>
            <w:vMerge w:val="restart"/>
            <w:noWrap w:val="0"/>
            <w:vAlign w:val="center"/>
          </w:tcPr>
          <w:p w14:paraId="4405969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hAnsi="Times New Roman" w:eastAsia="宋体" w:cs="Times New Roman"/>
                <w:sz w:val="21"/>
                <w:szCs w:val="18"/>
                <w:highlight w:val="none"/>
                <w:vertAlign w:val="baseline"/>
                <w:lang w:val="en-US" w:eastAsia="zh-CN" w:bidi="ar-SA"/>
              </w:rPr>
              <w:t>1/6</w:t>
            </w:r>
          </w:p>
        </w:tc>
        <w:tc>
          <w:tcPr>
            <w:tcW w:w="1517" w:type="pct"/>
            <w:noWrap w:val="0"/>
            <w:vAlign w:val="center"/>
          </w:tcPr>
          <w:p w14:paraId="4E86635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外来入侵物种种类与数目</w:t>
            </w:r>
          </w:p>
        </w:tc>
        <w:tc>
          <w:tcPr>
            <w:tcW w:w="555" w:type="pct"/>
            <w:noWrap w:val="0"/>
            <w:vAlign w:val="center"/>
          </w:tcPr>
          <w:p w14:paraId="583B781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r>
              <w:rPr>
                <w:rFonts w:hint="eastAsia" w:ascii="Times New Roman" w:cs="Times New Roman"/>
                <w:szCs w:val="18"/>
                <w:highlight w:val="none"/>
                <w:vertAlign w:val="subscript"/>
                <w:lang w:val="en-US" w:eastAsia="zh-CN"/>
              </w:rPr>
              <w:t>2</w:t>
            </w:r>
          </w:p>
        </w:tc>
      </w:tr>
      <w:tr w14:paraId="770F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7B11936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5B0B659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45470B5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74E4BE2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53CD674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604FCC5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w:t>
            </w:r>
          </w:p>
        </w:tc>
      </w:tr>
      <w:tr w14:paraId="1B80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16AA238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4361097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770575E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7CC592A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7869687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指标</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r>
              <w:rPr>
                <w:rFonts w:hint="eastAsia" w:ascii="Times New Roman" w:cs="Times New Roman"/>
                <w:szCs w:val="18"/>
                <w:highlight w:val="none"/>
                <w:vertAlign w:val="subscript"/>
                <w:lang w:val="en-US" w:eastAsia="zh-CN"/>
              </w:rPr>
              <w:t>2</w:t>
            </w:r>
          </w:p>
        </w:tc>
        <w:tc>
          <w:tcPr>
            <w:tcW w:w="555" w:type="pct"/>
            <w:noWrap w:val="0"/>
            <w:vAlign w:val="center"/>
          </w:tcPr>
          <w:p w14:paraId="329F315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r>
              <w:rPr>
                <w:rFonts w:hint="eastAsia" w:ascii="Times New Roman" w:cs="Times New Roman"/>
                <w:szCs w:val="18"/>
                <w:highlight w:val="none"/>
                <w:vertAlign w:val="subscript"/>
                <w:lang w:val="en-US" w:eastAsia="zh-CN"/>
              </w:rPr>
              <w:t>2</w:t>
            </w:r>
          </w:p>
        </w:tc>
      </w:tr>
      <w:tr w14:paraId="2476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5086F77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7147230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41F9F2F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生态系统退化程度</w:t>
            </w:r>
          </w:p>
        </w:tc>
        <w:tc>
          <w:tcPr>
            <w:tcW w:w="479" w:type="pct"/>
            <w:vMerge w:val="restart"/>
            <w:noWrap w:val="0"/>
            <w:vAlign w:val="center"/>
          </w:tcPr>
          <w:p w14:paraId="4AE9D74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hAnsi="Times New Roman" w:eastAsia="宋体" w:cs="Times New Roman"/>
                <w:sz w:val="21"/>
                <w:szCs w:val="18"/>
                <w:highlight w:val="none"/>
                <w:vertAlign w:val="baseline"/>
                <w:lang w:val="en-US" w:eastAsia="zh-CN" w:bidi="ar-SA"/>
              </w:rPr>
              <w:t>1/6</w:t>
            </w:r>
          </w:p>
        </w:tc>
        <w:tc>
          <w:tcPr>
            <w:tcW w:w="1517" w:type="pct"/>
            <w:noWrap w:val="0"/>
            <w:vAlign w:val="center"/>
          </w:tcPr>
          <w:p w14:paraId="75965F7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eastAsia" w:ascii="宋体" w:hAnsi="Times New Roman" w:eastAsia="宋体" w:cs="Times New Roman"/>
                <w:szCs w:val="18"/>
                <w:highlight w:val="none"/>
                <w:vertAlign w:val="baseline"/>
                <w:lang w:val="en-US" w:eastAsia="zh-CN"/>
              </w:rPr>
              <w:t>森林退化指数</w:t>
            </w:r>
          </w:p>
        </w:tc>
        <w:tc>
          <w:tcPr>
            <w:tcW w:w="555" w:type="pct"/>
            <w:noWrap w:val="0"/>
            <w:vAlign w:val="center"/>
          </w:tcPr>
          <w:p w14:paraId="7BF9797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r>
              <w:rPr>
                <w:rFonts w:hint="eastAsia" w:ascii="Times New Roman" w:cs="Times New Roman"/>
                <w:szCs w:val="18"/>
                <w:highlight w:val="none"/>
                <w:vertAlign w:val="subscript"/>
                <w:lang w:val="en-US" w:eastAsia="zh-CN"/>
              </w:rPr>
              <w:t>3</w:t>
            </w:r>
          </w:p>
        </w:tc>
      </w:tr>
      <w:tr w14:paraId="7FB3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2DB7C17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26B0BCA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0EBA456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65C34E1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0150F1E8">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4974A84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w:t>
            </w:r>
          </w:p>
        </w:tc>
      </w:tr>
      <w:tr w14:paraId="111B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1B3D388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1DB377A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1985DE2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1092350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2600BCC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指标</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r>
              <w:rPr>
                <w:rFonts w:hint="eastAsia" w:ascii="Times New Roman" w:cs="Times New Roman"/>
                <w:szCs w:val="18"/>
                <w:highlight w:val="none"/>
                <w:vertAlign w:val="subscript"/>
                <w:lang w:val="en-US" w:eastAsia="zh-CN"/>
              </w:rPr>
              <w:t>3</w:t>
            </w:r>
          </w:p>
        </w:tc>
        <w:tc>
          <w:tcPr>
            <w:tcW w:w="555" w:type="pct"/>
            <w:noWrap w:val="0"/>
            <w:vAlign w:val="center"/>
          </w:tcPr>
          <w:p w14:paraId="2F0F913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r>
              <w:rPr>
                <w:rFonts w:hint="eastAsia" w:ascii="Times New Roman" w:cs="Times New Roman"/>
                <w:szCs w:val="18"/>
                <w:highlight w:val="none"/>
                <w:vertAlign w:val="subscript"/>
                <w:lang w:val="en-US" w:eastAsia="zh-CN"/>
              </w:rPr>
              <w:t>3</w:t>
            </w:r>
          </w:p>
        </w:tc>
      </w:tr>
      <w:tr w14:paraId="22C7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4545A3C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475491E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noWrap w:val="0"/>
            <w:vAlign w:val="center"/>
          </w:tcPr>
          <w:p w14:paraId="41E50C5D">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val="en-US" w:eastAsia="zh-CN"/>
              </w:rPr>
            </w:pPr>
            <w:r>
              <w:rPr>
                <w:rFonts w:hint="eastAsia" w:cs="Times New Roman"/>
                <w:szCs w:val="18"/>
                <w:highlight w:val="none"/>
                <w:vertAlign w:val="baseline"/>
                <w:lang w:val="en-US" w:eastAsia="zh-CN"/>
              </w:rPr>
              <w:t>气候灾害</w:t>
            </w:r>
          </w:p>
        </w:tc>
        <w:tc>
          <w:tcPr>
            <w:tcW w:w="479" w:type="pct"/>
            <w:noWrap w:val="0"/>
            <w:vAlign w:val="center"/>
          </w:tcPr>
          <w:p w14:paraId="009BDD57">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cs="Times New Roman"/>
                <w:sz w:val="21"/>
                <w:szCs w:val="18"/>
                <w:highlight w:val="none"/>
                <w:vertAlign w:val="baseline"/>
                <w:lang w:val="en-US" w:eastAsia="zh-CN" w:bidi="ar-SA"/>
              </w:rPr>
              <w:t>1/6</w:t>
            </w:r>
          </w:p>
        </w:tc>
        <w:tc>
          <w:tcPr>
            <w:tcW w:w="1517" w:type="pct"/>
            <w:shd w:val="clear" w:color="auto" w:fill="auto"/>
            <w:noWrap w:val="0"/>
            <w:vAlign w:val="center"/>
          </w:tcPr>
          <w:p w14:paraId="2E9415D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kern w:val="0"/>
                <w:sz w:val="21"/>
                <w:szCs w:val="18"/>
                <w:highlight w:val="none"/>
                <w:lang w:val="en-US" w:eastAsia="zh-CN" w:bidi="ar"/>
              </w:rPr>
              <w:t>极端天气发生的频次</w:t>
            </w:r>
          </w:p>
        </w:tc>
        <w:tc>
          <w:tcPr>
            <w:tcW w:w="555" w:type="pct"/>
            <w:shd w:val="clear" w:color="auto" w:fill="auto"/>
            <w:noWrap w:val="0"/>
            <w:vAlign w:val="center"/>
          </w:tcPr>
          <w:p w14:paraId="2429D39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Times New Roman" w:eastAsia="宋体" w:cs="Times New Roman"/>
                <w:sz w:val="21"/>
                <w:szCs w:val="18"/>
                <w:highlight w:val="none"/>
                <w:vertAlign w:val="baseline"/>
                <w:lang w:val="en-US" w:eastAsia="zh-CN" w:bidi="ar-SA"/>
              </w:rPr>
            </w:pPr>
            <w:r>
              <w:rPr>
                <w:rFonts w:hint="default" w:ascii="Times New Roman" w:cs="Times New Roman"/>
                <w:sz w:val="21"/>
                <w:szCs w:val="18"/>
                <w:highlight w:val="none"/>
                <w:vertAlign w:val="baseline"/>
                <w:lang w:val="en-US" w:eastAsia="zh-CN" w:bidi="ar-SA"/>
              </w:rPr>
              <w:t>1</w:t>
            </w:r>
          </w:p>
        </w:tc>
      </w:tr>
      <w:tr w14:paraId="4D30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6EAB429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6E76F96E">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restart"/>
            <w:noWrap w:val="0"/>
            <w:vAlign w:val="center"/>
          </w:tcPr>
          <w:p w14:paraId="2958779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Times New Roman" w:hAnsi="Times New Roman" w:eastAsia="宋体" w:cs="Times New Roman"/>
                <w:szCs w:val="18"/>
                <w:highlight w:val="none"/>
                <w:vertAlign w:val="baseline"/>
                <w:lang w:val="en-US" w:eastAsia="zh-CN"/>
              </w:rPr>
              <w:t>人为活动影响</w:t>
            </w:r>
          </w:p>
        </w:tc>
        <w:tc>
          <w:tcPr>
            <w:tcW w:w="479" w:type="pct"/>
            <w:vMerge w:val="restart"/>
            <w:noWrap w:val="0"/>
            <w:vAlign w:val="center"/>
          </w:tcPr>
          <w:p w14:paraId="4C50A97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eastAsia" w:ascii="Times New Roman" w:hAnsi="Times New Roman" w:eastAsia="宋体" w:cs="Times New Roman"/>
                <w:sz w:val="21"/>
                <w:szCs w:val="18"/>
                <w:highlight w:val="none"/>
                <w:vertAlign w:val="baseline"/>
                <w:lang w:val="en-US" w:eastAsia="zh-CN" w:bidi="ar-SA"/>
              </w:rPr>
              <w:t>1/6</w:t>
            </w:r>
          </w:p>
        </w:tc>
        <w:tc>
          <w:tcPr>
            <w:tcW w:w="1517" w:type="pct"/>
            <w:noWrap w:val="0"/>
            <w:vAlign w:val="center"/>
          </w:tcPr>
          <w:p w14:paraId="50937B3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人类活动用地类型与面积</w:t>
            </w:r>
          </w:p>
        </w:tc>
        <w:tc>
          <w:tcPr>
            <w:tcW w:w="555" w:type="pct"/>
            <w:noWrap w:val="0"/>
            <w:vAlign w:val="center"/>
          </w:tcPr>
          <w:p w14:paraId="7894247C">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r>
              <w:rPr>
                <w:rFonts w:hint="eastAsia" w:ascii="Times New Roman" w:cs="Times New Roman"/>
                <w:szCs w:val="18"/>
                <w:highlight w:val="none"/>
                <w:vertAlign w:val="subscript"/>
                <w:lang w:val="en-US" w:eastAsia="zh-CN"/>
              </w:rPr>
              <w:t>4</w:t>
            </w:r>
          </w:p>
        </w:tc>
      </w:tr>
      <w:tr w14:paraId="00DF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743AED1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1C2F5E2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67F9F60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48D8F449">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36AFD5E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r>
              <w:rPr>
                <w:rFonts w:hint="eastAsia" w:ascii="宋体" w:hAnsi="Times New Roman" w:eastAsia="宋体" w:cs="Times New Roman"/>
                <w:szCs w:val="18"/>
                <w:highlight w:val="none"/>
                <w:vertAlign w:val="baseline"/>
                <w:lang w:val="en-US" w:eastAsia="zh-CN"/>
              </w:rPr>
              <w:t>人为活动用地综合强度指数</w:t>
            </w:r>
          </w:p>
        </w:tc>
        <w:tc>
          <w:tcPr>
            <w:tcW w:w="555" w:type="pct"/>
            <w:noWrap w:val="0"/>
            <w:vAlign w:val="center"/>
          </w:tcPr>
          <w:p w14:paraId="15715D7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r>
              <w:rPr>
                <w:rFonts w:hint="eastAsia" w:ascii="Times New Roman" w:cs="Times New Roman"/>
                <w:szCs w:val="18"/>
                <w:highlight w:val="none"/>
                <w:vertAlign w:val="subscript"/>
                <w:lang w:val="en-US" w:eastAsia="zh-CN"/>
              </w:rPr>
              <w:t>4</w:t>
            </w:r>
          </w:p>
        </w:tc>
      </w:tr>
      <w:tr w14:paraId="7AD0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48369E24">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7B66432F">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55635E72">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3C767AB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5E1A91F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Cs w:val="18"/>
                <w:highlight w:val="none"/>
                <w:vertAlign w:val="baseline"/>
                <w:lang w:val="en-US" w:eastAsia="zh-CN"/>
              </w:rPr>
              <w:t>……</w:t>
            </w:r>
          </w:p>
        </w:tc>
        <w:tc>
          <w:tcPr>
            <w:tcW w:w="555" w:type="pct"/>
            <w:noWrap w:val="0"/>
            <w:vAlign w:val="center"/>
          </w:tcPr>
          <w:p w14:paraId="5E548506">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r>
              <w:rPr>
                <w:rFonts w:hint="default" w:ascii="Times New Roman" w:hAnsi="Times New Roman" w:eastAsia="宋体" w:cs="Times New Roman"/>
                <w:szCs w:val="18"/>
                <w:highlight w:val="none"/>
                <w:vertAlign w:val="baseline"/>
                <w:lang w:val="en-US" w:eastAsia="zh-CN"/>
              </w:rPr>
              <w:t>……</w:t>
            </w:r>
          </w:p>
        </w:tc>
      </w:tr>
      <w:tr w14:paraId="767D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pct"/>
            <w:vMerge w:val="continue"/>
            <w:noWrap w:val="0"/>
            <w:vAlign w:val="center"/>
          </w:tcPr>
          <w:p w14:paraId="6958232A">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89" w:type="pct"/>
            <w:vMerge w:val="continue"/>
            <w:noWrap w:val="0"/>
            <w:vAlign w:val="center"/>
          </w:tcPr>
          <w:p w14:paraId="421E3775">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170" w:type="pct"/>
            <w:vMerge w:val="continue"/>
            <w:noWrap w:val="0"/>
            <w:vAlign w:val="center"/>
          </w:tcPr>
          <w:p w14:paraId="5CFB6BAB">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val="en-US" w:eastAsia="zh-CN"/>
              </w:rPr>
            </w:pPr>
          </w:p>
        </w:tc>
        <w:tc>
          <w:tcPr>
            <w:tcW w:w="479" w:type="pct"/>
            <w:vMerge w:val="continue"/>
            <w:noWrap w:val="0"/>
            <w:vAlign w:val="center"/>
          </w:tcPr>
          <w:p w14:paraId="122C8BE0">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18"/>
                <w:highlight w:val="none"/>
                <w:vertAlign w:val="baseline"/>
                <w:lang w:val="en-US" w:eastAsia="zh-CN" w:bidi="ar-SA"/>
              </w:rPr>
            </w:pPr>
          </w:p>
        </w:tc>
        <w:tc>
          <w:tcPr>
            <w:tcW w:w="1517" w:type="pct"/>
            <w:noWrap w:val="0"/>
            <w:vAlign w:val="center"/>
          </w:tcPr>
          <w:p w14:paraId="6D2C7E41">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指标</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r>
              <w:rPr>
                <w:rFonts w:hint="eastAsia" w:ascii="Times New Roman" w:cs="Times New Roman"/>
                <w:szCs w:val="18"/>
                <w:highlight w:val="none"/>
                <w:vertAlign w:val="subscript"/>
                <w:lang w:val="en-US" w:eastAsia="zh-CN"/>
              </w:rPr>
              <w:t>4</w:t>
            </w:r>
          </w:p>
        </w:tc>
        <w:tc>
          <w:tcPr>
            <w:tcW w:w="555" w:type="pct"/>
            <w:noWrap w:val="0"/>
            <w:vAlign w:val="center"/>
          </w:tcPr>
          <w:p w14:paraId="4A009883">
            <w:pPr>
              <w:pStyle w:val="2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Cs w:val="18"/>
                <w:highlight w:val="none"/>
                <w:vertAlign w:val="baseline"/>
                <w:lang w:eastAsia="zh-CN"/>
              </w:rPr>
            </w:pPr>
            <w:r>
              <w:rPr>
                <w:rFonts w:hint="default" w:ascii="Times New Roman" w:hAnsi="Times New Roman" w:eastAsia="宋体" w:cs="Times New Roman"/>
                <w:szCs w:val="18"/>
                <w:highlight w:val="none"/>
                <w:vertAlign w:val="baseline"/>
                <w:lang w:val="en-US" w:eastAsia="zh-CN"/>
              </w:rPr>
              <w:t>1/</w:t>
            </w:r>
            <w:r>
              <w:rPr>
                <w:rFonts w:hint="default" w:ascii="Times New Roman" w:hAnsi="Times New Roman" w:eastAsia="宋体" w:cs="Times New Roman"/>
                <w:i/>
                <w:iCs/>
                <w:szCs w:val="18"/>
                <w:highlight w:val="none"/>
                <w:vertAlign w:val="baseline"/>
                <w:lang w:val="en-US" w:eastAsia="zh-CN"/>
              </w:rPr>
              <w:t>k</w:t>
            </w:r>
            <w:r>
              <w:rPr>
                <w:rFonts w:hint="eastAsia" w:ascii="Times New Roman" w:hAnsi="Times New Roman" w:eastAsia="宋体" w:cs="Times New Roman"/>
                <w:szCs w:val="18"/>
                <w:highlight w:val="none"/>
                <w:vertAlign w:val="subscript"/>
                <w:lang w:val="en-US" w:eastAsia="zh-CN"/>
              </w:rPr>
              <w:t>1</w:t>
            </w:r>
            <w:r>
              <w:rPr>
                <w:rFonts w:hint="eastAsia" w:ascii="Times New Roman" w:cs="Times New Roman"/>
                <w:szCs w:val="18"/>
                <w:highlight w:val="none"/>
                <w:vertAlign w:val="subscript"/>
                <w:lang w:val="en-US" w:eastAsia="zh-CN"/>
              </w:rPr>
              <w:t>4</w:t>
            </w:r>
          </w:p>
        </w:tc>
      </w:tr>
    </w:tbl>
    <w:p w14:paraId="6F2B2690">
      <w:pPr>
        <w:pStyle w:val="25"/>
        <w:ind w:left="0" w:leftChars="0" w:firstLine="0" w:firstLineChars="0"/>
        <w:rPr>
          <w:rFonts w:hint="default" w:ascii="Times New Roman" w:hAnsi="Times New Roman" w:cs="Times New Roman"/>
          <w:i w:val="0"/>
          <w:iCs w:val="0"/>
          <w:highlight w:val="none"/>
          <w:lang w:val="en-US" w:eastAsia="zh-CN"/>
        </w:rPr>
      </w:pPr>
    </w:p>
    <w:p w14:paraId="3E69942E">
      <w:pPr>
        <w:pStyle w:val="25"/>
        <w:ind w:left="0" w:leftChars="0" w:firstLine="0" w:firstLineChars="0"/>
        <w:rPr>
          <w:rFonts w:hint="default" w:ascii="Times New Roman" w:hAnsi="Times New Roman" w:cs="Times New Roman"/>
          <w:i w:val="0"/>
          <w:iCs w:val="0"/>
          <w:highlight w:val="none"/>
          <w:vertAlign w:val="baseline"/>
          <w:lang w:val="en-US" w:eastAsia="zh-CN"/>
        </w:rPr>
      </w:pPr>
      <w:r>
        <w:rPr>
          <w:rFonts w:hint="default" w:ascii="Times New Roman" w:hAnsi="Times New Roman" w:cs="Times New Roman"/>
          <w:i w:val="0"/>
          <w:iCs w:val="0"/>
          <w:highlight w:val="none"/>
          <w:lang w:val="en-US" w:eastAsia="zh-CN"/>
        </w:rPr>
        <w:t>注：（1）</w:t>
      </w:r>
      <w:r>
        <w:rPr>
          <w:rFonts w:hint="eastAsia" w:ascii="Times New Roman" w:hAnsi="Times New Roman" w:cs="Times New Roman"/>
          <w:i/>
          <w:iCs/>
          <w:highlight w:val="none"/>
          <w:lang w:val="en-US" w:eastAsia="zh-CN"/>
        </w:rPr>
        <w:t>k</w:t>
      </w:r>
      <w:r>
        <w:rPr>
          <w:rFonts w:hint="default" w:ascii="Times New Roman" w:hAnsi="Times New Roman" w:cs="Times New Roman"/>
          <w:i w:val="0"/>
          <w:iCs w:val="0"/>
          <w:highlight w:val="none"/>
          <w:vertAlign w:val="subscript"/>
          <w:lang w:val="en-US" w:eastAsia="zh-CN"/>
        </w:rPr>
        <w:t xml:space="preserve">m </w:t>
      </w:r>
      <w:r>
        <w:rPr>
          <w:rFonts w:hint="default" w:ascii="Times New Roman" w:hAnsi="Times New Roman" w:cs="Times New Roman"/>
          <w:i w:val="0"/>
          <w:iCs w:val="0"/>
          <w:highlight w:val="none"/>
          <w:vertAlign w:val="baseline"/>
          <w:lang w:val="en-US" w:eastAsia="zh-CN"/>
        </w:rPr>
        <w:t>代表第m个二级指标的第</w:t>
      </w:r>
      <w:r>
        <w:rPr>
          <w:rFonts w:hint="eastAsia" w:ascii="Times New Roman" w:hAnsi="Times New Roman" w:cs="Times New Roman"/>
          <w:i/>
          <w:iCs/>
          <w:highlight w:val="none"/>
          <w:lang w:val="en-US" w:eastAsia="zh-CN"/>
        </w:rPr>
        <w:t>k</w:t>
      </w:r>
      <w:r>
        <w:rPr>
          <w:rFonts w:hint="default" w:ascii="Times New Roman" w:hAnsi="Times New Roman" w:cs="Times New Roman"/>
          <w:i w:val="0"/>
          <w:iCs w:val="0"/>
          <w:highlight w:val="none"/>
          <w:vertAlign w:val="baseline"/>
          <w:lang w:val="en-US" w:eastAsia="zh-CN"/>
        </w:rPr>
        <w:t>项三级指标。</w:t>
      </w:r>
    </w:p>
    <w:p w14:paraId="5F8D76BA">
      <w:pPr>
        <w:pStyle w:val="25"/>
        <w:numPr>
          <w:ilvl w:val="-1"/>
          <w:numId w:val="0"/>
        </w:numPr>
        <w:ind w:left="420" w:leftChars="200" w:firstLine="0" w:firstLineChars="0"/>
        <w:rPr>
          <w:rFonts w:hint="default" w:ascii="Times New Roman" w:hAnsi="Times New Roman" w:cs="Times New Roman"/>
          <w:i w:val="0"/>
          <w:iCs w:val="0"/>
          <w:highlight w:val="none"/>
          <w:vertAlign w:val="baseline"/>
          <w:lang w:val="en-US" w:eastAsia="zh-CN"/>
        </w:rPr>
      </w:pPr>
      <w:r>
        <w:rPr>
          <w:rFonts w:hint="eastAsia" w:ascii="Times New Roman" w:cs="Times New Roman"/>
          <w:i w:val="0"/>
          <w:iCs w:val="0"/>
          <w:highlight w:val="none"/>
          <w:vertAlign w:val="baseline"/>
          <w:lang w:val="en-US" w:eastAsia="zh-CN"/>
        </w:rPr>
        <w:t>（2）一般情况下，假定</w:t>
      </w:r>
      <w:r>
        <w:rPr>
          <w:rFonts w:hint="default" w:ascii="Times New Roman" w:hAnsi="Times New Roman" w:eastAsia="宋体" w:cs="Times New Roman"/>
          <w:szCs w:val="18"/>
          <w:highlight w:val="none"/>
          <w:lang w:val="en-US" w:eastAsia="zh-CN"/>
        </w:rPr>
        <w:t>生态系统格局</w:t>
      </w:r>
      <w:r>
        <w:rPr>
          <w:rFonts w:hint="eastAsia" w:ascii="Times New Roman" w:cs="Times New Roman"/>
          <w:szCs w:val="18"/>
          <w:highlight w:val="none"/>
          <w:lang w:val="en-US" w:eastAsia="zh-CN"/>
        </w:rPr>
        <w:t>、</w:t>
      </w:r>
      <w:r>
        <w:rPr>
          <w:rFonts w:hint="default" w:ascii="Times New Roman" w:hAnsi="Times New Roman" w:eastAsia="宋体" w:cs="Times New Roman"/>
          <w:szCs w:val="18"/>
          <w:highlight w:val="none"/>
          <w:lang w:val="en-US" w:eastAsia="zh-CN"/>
        </w:rPr>
        <w:t>生态系统质量</w:t>
      </w:r>
      <w:r>
        <w:rPr>
          <w:rFonts w:hint="eastAsia" w:ascii="Times New Roman" w:cs="Times New Roman"/>
          <w:szCs w:val="18"/>
          <w:highlight w:val="none"/>
          <w:lang w:val="en-US" w:eastAsia="zh-CN"/>
        </w:rPr>
        <w:t>、</w:t>
      </w:r>
      <w:r>
        <w:rPr>
          <w:rFonts w:hint="default" w:ascii="Times New Roman" w:hAnsi="Times New Roman" w:eastAsia="宋体" w:cs="Times New Roman"/>
          <w:szCs w:val="18"/>
          <w:highlight w:val="none"/>
          <w:lang w:val="en-US" w:eastAsia="zh-CN"/>
        </w:rPr>
        <w:t>生态系统服务</w:t>
      </w:r>
      <w:r>
        <w:rPr>
          <w:rFonts w:hint="eastAsia" w:ascii="Times New Roman" w:cs="Times New Roman"/>
          <w:szCs w:val="18"/>
          <w:highlight w:val="none"/>
          <w:lang w:val="en-US" w:eastAsia="zh-CN"/>
        </w:rPr>
        <w:t>和生态胁迫4个一级指标同等重要，权重平分，即均为0.25。</w:t>
      </w:r>
    </w:p>
    <w:p w14:paraId="7AF944FA">
      <w:pPr>
        <w:pStyle w:val="25"/>
        <w:numPr>
          <w:ilvl w:val="-1"/>
          <w:numId w:val="0"/>
        </w:numPr>
        <w:ind w:left="420" w:leftChars="200" w:firstLine="0" w:firstLineChars="0"/>
        <w:rPr>
          <w:rFonts w:hint="default" w:ascii="Times New Roman" w:hAnsi="Times New Roman" w:cs="Times New Roman"/>
          <w:i w:val="0"/>
          <w:iCs w:val="0"/>
          <w:highlight w:val="none"/>
          <w:vertAlign w:val="baseline"/>
          <w:lang w:val="en-US" w:eastAsia="zh-CN"/>
        </w:rPr>
      </w:pPr>
      <w:r>
        <w:rPr>
          <w:rFonts w:hint="eastAsia" w:ascii="Times New Roman" w:cs="Times New Roman"/>
          <w:i w:val="0"/>
          <w:iCs w:val="0"/>
          <w:highlight w:val="none"/>
          <w:vertAlign w:val="baseline"/>
          <w:lang w:val="en-US" w:eastAsia="zh-CN"/>
        </w:rPr>
        <w:t>（3）一般情况下，假定每个一级指标下的二级指标同等重要，平均分配权重。</w:t>
      </w:r>
    </w:p>
    <w:p w14:paraId="400FBE07">
      <w:pPr>
        <w:pStyle w:val="25"/>
        <w:numPr>
          <w:ilvl w:val="-1"/>
          <w:numId w:val="0"/>
        </w:numPr>
        <w:ind w:left="420" w:leftChars="200" w:firstLine="0" w:firstLineChars="0"/>
        <w:rPr>
          <w:rFonts w:hint="eastAsia" w:ascii="Times New Roman" w:cs="Times New Roman"/>
          <w:i w:val="0"/>
          <w:iCs w:val="0"/>
          <w:highlight w:val="none"/>
          <w:vertAlign w:val="baseline"/>
          <w:lang w:val="en-US" w:eastAsia="zh-CN"/>
        </w:rPr>
      </w:pPr>
      <w:r>
        <w:rPr>
          <w:rFonts w:hint="eastAsia" w:ascii="Times New Roman" w:cs="Times New Roman"/>
          <w:i w:val="0"/>
          <w:iCs w:val="0"/>
          <w:highlight w:val="none"/>
          <w:vertAlign w:val="baseline"/>
          <w:lang w:val="en-US" w:eastAsia="zh-CN"/>
        </w:rPr>
        <w:t>（4）</w:t>
      </w:r>
      <w:r>
        <w:rPr>
          <w:rFonts w:hint="default" w:ascii="Times New Roman" w:hAnsi="Times New Roman" w:cs="Times New Roman"/>
          <w:i w:val="0"/>
          <w:iCs w:val="0"/>
          <w:highlight w:val="none"/>
          <w:vertAlign w:val="baseline"/>
          <w:lang w:val="en-US" w:eastAsia="zh-CN"/>
        </w:rPr>
        <w:t>三级指标包含了约束性指标和参考性指标，参考指标需要根据不同典型生态单元的特征进行选择使用。</w:t>
      </w:r>
      <w:r>
        <w:rPr>
          <w:rFonts w:hint="eastAsia" w:ascii="Times New Roman" w:cs="Times New Roman"/>
          <w:i w:val="0"/>
          <w:iCs w:val="0"/>
          <w:highlight w:val="none"/>
          <w:vertAlign w:val="baseline"/>
          <w:lang w:val="en-US" w:eastAsia="zh-CN"/>
        </w:rPr>
        <w:t>一般情况下，假定每个二级权重下的三级指标同等重要，平均分配权重。</w:t>
      </w:r>
    </w:p>
    <w:p w14:paraId="0830271B">
      <w:pPr>
        <w:pStyle w:val="25"/>
        <w:numPr>
          <w:ilvl w:val="-1"/>
          <w:numId w:val="0"/>
        </w:numPr>
        <w:ind w:left="420" w:leftChars="200" w:firstLine="0" w:firstLineChars="0"/>
        <w:rPr>
          <w:rFonts w:hint="default" w:ascii="Times New Roman" w:cs="Times New Roman"/>
          <w:i w:val="0"/>
          <w:iCs w:val="0"/>
          <w:highlight w:val="none"/>
          <w:vertAlign w:val="baseline"/>
          <w:lang w:val="en-US" w:eastAsia="zh-CN"/>
        </w:rPr>
      </w:pPr>
      <w:r>
        <w:rPr>
          <w:rFonts w:hint="eastAsia" w:ascii="Times New Roman" w:cs="Times New Roman"/>
          <w:i w:val="0"/>
          <w:iCs w:val="0"/>
          <w:highlight w:val="none"/>
          <w:vertAlign w:val="baseline"/>
          <w:lang w:val="en-US" w:eastAsia="zh-CN"/>
        </w:rPr>
        <w:t>（5）如有特殊需要，也可考虑结合三级指标调查数据，进一步利用统计学方法测算权重。</w:t>
      </w:r>
    </w:p>
    <w:p w14:paraId="599AB45D">
      <w:pPr>
        <w:pStyle w:val="25"/>
        <w:ind w:left="0" w:leftChars="0" w:firstLine="420" w:firstLineChars="200"/>
        <w:rPr>
          <w:rFonts w:hint="eastAsia"/>
          <w:i w:val="0"/>
          <w:iCs w:val="0"/>
          <w:highlight w:val="none"/>
          <w:vertAlign w:val="baseline"/>
          <w:lang w:val="en-US" w:eastAsia="zh-CN"/>
        </w:rPr>
      </w:pPr>
    </w:p>
    <w:p w14:paraId="5A47A92C">
      <w:pPr>
        <w:pStyle w:val="25"/>
        <w:ind w:left="0" w:leftChars="0" w:firstLine="420" w:firstLineChars="200"/>
        <w:rPr>
          <w:rFonts w:hint="eastAsia"/>
          <w:i w:val="0"/>
          <w:iCs w:val="0"/>
          <w:highlight w:val="none"/>
          <w:vertAlign w:val="baseline"/>
          <w:lang w:val="en-US" w:eastAsia="zh-CN"/>
        </w:rPr>
      </w:pPr>
    </w:p>
    <w:p w14:paraId="2E867823">
      <w:pPr>
        <w:pStyle w:val="25"/>
        <w:ind w:left="0" w:leftChars="0" w:firstLine="420" w:firstLineChars="200"/>
        <w:rPr>
          <w:rFonts w:hint="default"/>
          <w:i w:val="0"/>
          <w:iCs w:val="0"/>
          <w:highlight w:val="none"/>
          <w:vertAlign w:val="baseline"/>
          <w:lang w:val="en-US" w:eastAsia="zh-CN"/>
        </w:rPr>
        <w:sectPr>
          <w:pgSz w:w="11906" w:h="16838"/>
          <w:pgMar w:top="567" w:right="1134" w:bottom="1134" w:left="1417" w:header="1418" w:footer="1134" w:gutter="0"/>
          <w:cols w:space="720" w:num="1"/>
          <w:formProt w:val="0"/>
          <w:docGrid w:type="lines" w:linePitch="312" w:charSpace="0"/>
        </w:sectPr>
      </w:pPr>
    </w:p>
    <w:p w14:paraId="0650CF75">
      <w:pPr>
        <w:pStyle w:val="140"/>
        <w:rPr>
          <w:rFonts w:hint="eastAsia"/>
          <w:highlight w:val="none"/>
        </w:rPr>
      </w:pPr>
      <w:bookmarkStart w:id="484" w:name="_Toc27310"/>
      <w:bookmarkStart w:id="485" w:name="_Toc28662"/>
      <w:bookmarkStart w:id="486" w:name="_Toc20952"/>
      <w:bookmarkStart w:id="487" w:name="_Toc16034"/>
      <w:bookmarkStart w:id="488" w:name="_Toc12696"/>
      <w:bookmarkStart w:id="489" w:name="_Toc14105"/>
      <w:bookmarkStart w:id="490" w:name="_Toc28537"/>
      <w:bookmarkStart w:id="491" w:name="_Toc11839"/>
      <w:bookmarkStart w:id="492" w:name="_Toc1356"/>
      <w:r>
        <w:rPr>
          <w:highlight w:val="none"/>
        </w:rPr>
        <w:br w:type="textWrapping"/>
      </w:r>
      <w:r>
        <w:rPr>
          <w:rFonts w:hint="eastAsia"/>
          <w:highlight w:val="none"/>
        </w:rPr>
        <w:t>（</w:t>
      </w:r>
      <w:r>
        <w:rPr>
          <w:rFonts w:hint="eastAsia"/>
          <w:highlight w:val="none"/>
          <w:lang w:eastAsia="zh-CN"/>
        </w:rPr>
        <w:t>规范性</w:t>
      </w:r>
      <w:r>
        <w:rPr>
          <w:rFonts w:hint="eastAsia"/>
          <w:highlight w:val="none"/>
        </w:rPr>
        <w:t>）</w:t>
      </w:r>
      <w:r>
        <w:rPr>
          <w:highlight w:val="none"/>
        </w:rPr>
        <w:br w:type="textWrapping"/>
      </w:r>
      <w:r>
        <w:rPr>
          <w:rFonts w:hint="eastAsia"/>
          <w:highlight w:val="none"/>
          <w:lang w:eastAsia="zh-CN"/>
        </w:rPr>
        <w:t>生态单元生态现状调查评价报告编写提纲</w:t>
      </w:r>
      <w:bookmarkEnd w:id="484"/>
      <w:bookmarkEnd w:id="485"/>
      <w:bookmarkEnd w:id="486"/>
      <w:bookmarkEnd w:id="487"/>
      <w:bookmarkEnd w:id="488"/>
      <w:bookmarkEnd w:id="489"/>
      <w:bookmarkEnd w:id="490"/>
      <w:bookmarkEnd w:id="491"/>
      <w:bookmarkEnd w:id="492"/>
    </w:p>
    <w:p w14:paraId="33D1821C">
      <w:pPr>
        <w:pStyle w:val="70"/>
        <w:spacing w:before="312" w:after="312"/>
        <w:rPr>
          <w:rFonts w:hint="default" w:hAnsi="Times New Roman" w:cs="Times New Roman"/>
          <w:highlight w:val="none"/>
          <w:lang w:val="en-US" w:eastAsia="zh-CN"/>
        </w:rPr>
      </w:pPr>
      <w:bookmarkStart w:id="493" w:name="_Toc26743"/>
      <w:bookmarkStart w:id="494" w:name="_Toc31317"/>
      <w:bookmarkStart w:id="495" w:name="_Toc27819"/>
      <w:bookmarkStart w:id="496" w:name="_Toc21421"/>
      <w:bookmarkStart w:id="497" w:name="_Toc28303"/>
      <w:bookmarkStart w:id="498" w:name="_Toc22657"/>
      <w:bookmarkStart w:id="499" w:name="_Toc23633"/>
      <w:bookmarkStart w:id="500" w:name="_Toc1178"/>
      <w:bookmarkStart w:id="501" w:name="_Toc12873"/>
      <w:bookmarkStart w:id="502" w:name="_Toc7622"/>
      <w:bookmarkStart w:id="503" w:name="_Toc19829"/>
      <w:bookmarkStart w:id="504" w:name="_Toc3133"/>
      <w:bookmarkStart w:id="505" w:name="_Toc10587"/>
      <w:r>
        <w:rPr>
          <w:rFonts w:hint="eastAsia" w:hAnsi="Times New Roman" w:cs="Times New Roman"/>
          <w:highlight w:val="none"/>
          <w:lang w:val="en-US" w:eastAsia="zh-CN"/>
        </w:rPr>
        <w:t>摘要</w:t>
      </w:r>
      <w:bookmarkEnd w:id="493"/>
      <w:bookmarkEnd w:id="494"/>
      <w:bookmarkEnd w:id="495"/>
      <w:bookmarkEnd w:id="496"/>
      <w:bookmarkEnd w:id="497"/>
      <w:bookmarkEnd w:id="498"/>
      <w:bookmarkEnd w:id="499"/>
      <w:bookmarkEnd w:id="500"/>
      <w:bookmarkEnd w:id="501"/>
      <w:bookmarkEnd w:id="502"/>
      <w:bookmarkEnd w:id="503"/>
      <w:bookmarkEnd w:id="504"/>
      <w:bookmarkEnd w:id="505"/>
    </w:p>
    <w:p w14:paraId="13D3EC09">
      <w:pPr>
        <w:ind w:firstLine="420" w:firstLineChars="200"/>
        <w:rPr>
          <w:rFonts w:hint="default" w:ascii="宋体" w:hAnsi="Times New Roman" w:cs="Times New Roman"/>
          <w:kern w:val="0"/>
          <w:szCs w:val="20"/>
          <w:highlight w:val="none"/>
          <w:lang w:val="en-US" w:eastAsia="zh-CN"/>
        </w:rPr>
      </w:pPr>
      <w:r>
        <w:rPr>
          <w:rFonts w:hint="eastAsia" w:ascii="宋体"/>
          <w:kern w:val="0"/>
          <w:szCs w:val="20"/>
          <w:highlight w:val="none"/>
        </w:rPr>
        <w:t>简述生态单元所属行政区域、地理区位、生态类型、四至范围及面积、生态功能定位；明确调查评价的时段、核心内容、技术方法与数据尺度；量化阐明生态单元的整体评价等级、各核心指标现状水平，简要指出主要生态问题、演变特征及关键生态胁迫因素，凝练核心结论。</w:t>
      </w:r>
    </w:p>
    <w:p w14:paraId="38B18F89">
      <w:pPr>
        <w:pStyle w:val="70"/>
        <w:spacing w:before="312" w:after="312"/>
        <w:rPr>
          <w:rFonts w:hint="default" w:hAnsi="Times New Roman" w:cs="Times New Roman"/>
          <w:highlight w:val="none"/>
          <w:lang w:val="en-US" w:eastAsia="zh-CN"/>
        </w:rPr>
      </w:pPr>
      <w:bookmarkStart w:id="506" w:name="_Toc8837"/>
      <w:bookmarkStart w:id="507" w:name="_Toc10317"/>
      <w:bookmarkStart w:id="508" w:name="_Toc8865"/>
      <w:bookmarkStart w:id="509" w:name="_Toc12598"/>
      <w:bookmarkStart w:id="510" w:name="_Toc255"/>
      <w:bookmarkStart w:id="511" w:name="_Toc28048"/>
      <w:bookmarkStart w:id="512" w:name="_Toc32000"/>
      <w:bookmarkStart w:id="513" w:name="_Toc544"/>
      <w:bookmarkStart w:id="514" w:name="_Toc17427"/>
      <w:bookmarkStart w:id="515" w:name="_Toc9343"/>
      <w:bookmarkStart w:id="516" w:name="_Toc1001"/>
      <w:bookmarkStart w:id="517" w:name="_Toc17330"/>
      <w:bookmarkStart w:id="518" w:name="_Toc30028"/>
      <w:r>
        <w:rPr>
          <w:rFonts w:hint="eastAsia" w:hAnsi="Times New Roman" w:cs="Times New Roman"/>
          <w:highlight w:val="none"/>
          <w:lang w:val="en-US" w:eastAsia="zh-CN"/>
        </w:rPr>
        <w:t>前言</w:t>
      </w:r>
      <w:bookmarkEnd w:id="506"/>
      <w:bookmarkEnd w:id="507"/>
      <w:bookmarkEnd w:id="508"/>
      <w:bookmarkEnd w:id="509"/>
      <w:bookmarkEnd w:id="510"/>
      <w:bookmarkEnd w:id="511"/>
      <w:bookmarkEnd w:id="512"/>
      <w:bookmarkEnd w:id="513"/>
      <w:bookmarkEnd w:id="514"/>
      <w:bookmarkEnd w:id="515"/>
      <w:bookmarkEnd w:id="516"/>
      <w:bookmarkEnd w:id="517"/>
      <w:bookmarkEnd w:id="518"/>
    </w:p>
    <w:p w14:paraId="6C42FF17">
      <w:pPr>
        <w:ind w:firstLine="420" w:firstLineChars="200"/>
        <w:rPr>
          <w:rFonts w:ascii="宋体"/>
          <w:kern w:val="0"/>
          <w:szCs w:val="20"/>
          <w:highlight w:val="none"/>
        </w:rPr>
      </w:pPr>
      <w:r>
        <w:rPr>
          <w:rFonts w:hint="eastAsia" w:ascii="宋体"/>
          <w:kern w:val="0"/>
          <w:szCs w:val="20"/>
          <w:highlight w:val="none"/>
          <w:lang w:eastAsia="zh-CN"/>
        </w:rPr>
        <w:t>介绍</w:t>
      </w:r>
      <w:r>
        <w:rPr>
          <w:rFonts w:ascii="宋体"/>
          <w:kern w:val="0"/>
          <w:szCs w:val="20"/>
          <w:highlight w:val="none"/>
        </w:rPr>
        <w:t>调查评价工作的立项背景、政策依据及工作目的；介绍调查评价的组织实施单位、技术支撑单位及工作团队构成；简述工作开展的时间节点、现场调查流程、室内数据处理与分析等全工作过程；明确报告编制的适用范围与使用说明。</w:t>
      </w:r>
    </w:p>
    <w:p w14:paraId="67EC65C2">
      <w:pPr>
        <w:pStyle w:val="70"/>
        <w:spacing w:before="312" w:after="312"/>
        <w:rPr>
          <w:rFonts w:hint="default" w:hAnsi="Times New Roman" w:cs="Times New Roman"/>
          <w:highlight w:val="none"/>
          <w:lang w:val="en-US" w:eastAsia="zh-CN"/>
        </w:rPr>
      </w:pPr>
      <w:bookmarkStart w:id="519" w:name="_Toc12872"/>
      <w:bookmarkStart w:id="520" w:name="_Toc8139"/>
      <w:bookmarkStart w:id="521" w:name="_Toc225"/>
      <w:bookmarkStart w:id="522" w:name="_Toc17381"/>
      <w:bookmarkStart w:id="523" w:name="_Toc19777"/>
      <w:bookmarkStart w:id="524" w:name="_Toc953"/>
      <w:bookmarkStart w:id="525" w:name="_Toc1015"/>
      <w:bookmarkStart w:id="526" w:name="_Toc1733"/>
      <w:bookmarkStart w:id="527" w:name="_Toc17983"/>
      <w:bookmarkStart w:id="528" w:name="_Toc25799"/>
      <w:bookmarkStart w:id="529" w:name="_Toc27074"/>
      <w:bookmarkStart w:id="530" w:name="_Toc30124"/>
      <w:bookmarkStart w:id="531" w:name="_Toc4119"/>
      <w:r>
        <w:rPr>
          <w:rFonts w:hint="eastAsia" w:hAnsi="Times New Roman" w:cs="Times New Roman"/>
          <w:highlight w:val="none"/>
          <w:lang w:val="en-US" w:eastAsia="zh-CN"/>
        </w:rPr>
        <w:t>调查评价过程</w:t>
      </w:r>
      <w:bookmarkEnd w:id="519"/>
      <w:bookmarkEnd w:id="520"/>
      <w:bookmarkEnd w:id="521"/>
      <w:bookmarkEnd w:id="522"/>
      <w:bookmarkEnd w:id="523"/>
      <w:bookmarkEnd w:id="524"/>
      <w:bookmarkEnd w:id="525"/>
      <w:bookmarkEnd w:id="526"/>
      <w:bookmarkEnd w:id="527"/>
      <w:bookmarkEnd w:id="528"/>
      <w:bookmarkEnd w:id="529"/>
      <w:bookmarkEnd w:id="530"/>
      <w:bookmarkEnd w:id="531"/>
    </w:p>
    <w:p w14:paraId="26BDB760">
      <w:pPr>
        <w:pStyle w:val="61"/>
        <w:widowControl/>
        <w:numPr>
          <w:ilvl w:val="2"/>
          <w:numId w:val="0"/>
        </w:numPr>
        <w:spacing w:before="156" w:after="156"/>
        <w:outlineLvl w:val="9"/>
        <w:rPr>
          <w:rFonts w:hint="eastAsia"/>
          <w:color w:val="000000"/>
          <w:highlight w:val="none"/>
        </w:rPr>
      </w:pPr>
      <w:r>
        <w:rPr>
          <w:rFonts w:hint="eastAsia"/>
          <w:color w:val="000000"/>
          <w:highlight w:val="none"/>
        </w:rPr>
        <w:t>D.3.1 调查评价指标体系构建</w:t>
      </w:r>
    </w:p>
    <w:p w14:paraId="11B8259B">
      <w:pPr>
        <w:ind w:firstLine="420" w:firstLineChars="200"/>
        <w:rPr>
          <w:rFonts w:ascii="宋体"/>
          <w:kern w:val="0"/>
          <w:szCs w:val="20"/>
          <w:highlight w:val="none"/>
        </w:rPr>
      </w:pPr>
      <w:r>
        <w:rPr>
          <w:rFonts w:ascii="宋体"/>
          <w:kern w:val="0"/>
          <w:szCs w:val="20"/>
          <w:highlight w:val="none"/>
        </w:rPr>
        <w:t>阐明指标体系的构建原则；分层次列出调查评价指标体系，明确各层级指标的内涵与对应关系。</w:t>
      </w:r>
    </w:p>
    <w:p w14:paraId="0DF719E9">
      <w:pPr>
        <w:pStyle w:val="61"/>
        <w:widowControl/>
        <w:numPr>
          <w:ilvl w:val="2"/>
          <w:numId w:val="0"/>
        </w:numPr>
        <w:spacing w:before="156" w:after="156"/>
        <w:outlineLvl w:val="9"/>
        <w:rPr>
          <w:rFonts w:hint="eastAsia"/>
          <w:color w:val="000000"/>
          <w:highlight w:val="none"/>
        </w:rPr>
      </w:pPr>
      <w:r>
        <w:rPr>
          <w:rFonts w:hint="eastAsia"/>
          <w:color w:val="000000"/>
          <w:highlight w:val="none"/>
        </w:rPr>
        <w:t>D.3.2 指标选取依据与说明</w:t>
      </w:r>
    </w:p>
    <w:p w14:paraId="7D965CDA">
      <w:pPr>
        <w:ind w:firstLine="420" w:firstLineChars="200"/>
        <w:rPr>
          <w:rFonts w:ascii="宋体"/>
          <w:kern w:val="0"/>
          <w:szCs w:val="20"/>
          <w:highlight w:val="none"/>
        </w:rPr>
      </w:pPr>
      <w:r>
        <w:rPr>
          <w:rFonts w:ascii="宋体"/>
          <w:kern w:val="0"/>
          <w:szCs w:val="20"/>
          <w:highlight w:val="none"/>
        </w:rPr>
        <w:t>逐一说明各评价指标选取的依据；重点说明特色指标、区域针对性指标的选取理由，明确排除部分指标的原因。</w:t>
      </w:r>
    </w:p>
    <w:p w14:paraId="1CCD34AB">
      <w:pPr>
        <w:pStyle w:val="61"/>
        <w:widowControl/>
        <w:numPr>
          <w:ilvl w:val="2"/>
          <w:numId w:val="0"/>
        </w:numPr>
        <w:spacing w:before="156" w:after="156"/>
        <w:outlineLvl w:val="9"/>
        <w:rPr>
          <w:rFonts w:hint="eastAsia"/>
          <w:color w:val="000000"/>
          <w:highlight w:val="none"/>
        </w:rPr>
      </w:pPr>
      <w:r>
        <w:rPr>
          <w:rFonts w:hint="eastAsia"/>
          <w:color w:val="000000"/>
          <w:highlight w:val="none"/>
        </w:rPr>
        <w:t>D.3.3 数据来源与质量控制</w:t>
      </w:r>
    </w:p>
    <w:p w14:paraId="4BE83787">
      <w:pPr>
        <w:ind w:firstLine="420" w:firstLineChars="200"/>
        <w:rPr>
          <w:rFonts w:ascii="宋体"/>
          <w:kern w:val="0"/>
          <w:szCs w:val="20"/>
          <w:highlight w:val="none"/>
        </w:rPr>
      </w:pPr>
      <w:r>
        <w:rPr>
          <w:rFonts w:ascii="宋体"/>
          <w:kern w:val="0"/>
          <w:szCs w:val="20"/>
          <w:highlight w:val="none"/>
        </w:rPr>
        <w:t>分类列明各指标数据的具体来源；阐述数据质量控制措施，明确数据的精度与可靠性。</w:t>
      </w:r>
    </w:p>
    <w:p w14:paraId="4B5969C4">
      <w:pPr>
        <w:pStyle w:val="61"/>
        <w:widowControl/>
        <w:numPr>
          <w:ilvl w:val="2"/>
          <w:numId w:val="0"/>
        </w:numPr>
        <w:spacing w:before="156" w:after="156"/>
        <w:outlineLvl w:val="9"/>
        <w:rPr>
          <w:rFonts w:hint="eastAsia"/>
          <w:color w:val="000000"/>
          <w:highlight w:val="none"/>
        </w:rPr>
      </w:pPr>
      <w:r>
        <w:rPr>
          <w:rFonts w:hint="eastAsia"/>
          <w:color w:val="000000"/>
          <w:highlight w:val="none"/>
        </w:rPr>
        <w:t>D.3.4 指标赋分与分级规则</w:t>
      </w:r>
    </w:p>
    <w:p w14:paraId="6D795A5A">
      <w:pPr>
        <w:ind w:firstLine="420" w:firstLineChars="200"/>
        <w:rPr>
          <w:rFonts w:ascii="宋体"/>
          <w:kern w:val="0"/>
          <w:szCs w:val="20"/>
          <w:highlight w:val="none"/>
        </w:rPr>
      </w:pPr>
      <w:r>
        <w:rPr>
          <w:rFonts w:ascii="宋体"/>
          <w:kern w:val="0"/>
          <w:szCs w:val="20"/>
          <w:highlight w:val="none"/>
        </w:rPr>
        <w:t>说明各评价指标的量化分级标准，明确各级别的阈值范围；阐述指标赋分的方法，说明定性指标的量化转化方式，明确赋分过程的合理性与客观性。</w:t>
      </w:r>
    </w:p>
    <w:p w14:paraId="2F82D636">
      <w:pPr>
        <w:pStyle w:val="61"/>
        <w:widowControl/>
        <w:numPr>
          <w:ilvl w:val="2"/>
          <w:numId w:val="0"/>
        </w:numPr>
        <w:spacing w:before="156" w:after="156"/>
        <w:outlineLvl w:val="9"/>
        <w:rPr>
          <w:rFonts w:hint="eastAsia"/>
          <w:color w:val="000000"/>
          <w:highlight w:val="none"/>
        </w:rPr>
      </w:pPr>
      <w:r>
        <w:rPr>
          <w:rFonts w:hint="eastAsia"/>
          <w:color w:val="000000"/>
          <w:highlight w:val="none"/>
        </w:rPr>
        <w:t>D.3.5 权重确定与综合计算方法</w:t>
      </w:r>
    </w:p>
    <w:p w14:paraId="37FB0F29">
      <w:pPr>
        <w:ind w:firstLine="420" w:firstLineChars="200"/>
        <w:rPr>
          <w:rFonts w:ascii="宋体"/>
          <w:kern w:val="0"/>
          <w:szCs w:val="20"/>
          <w:highlight w:val="none"/>
        </w:rPr>
      </w:pPr>
      <w:r>
        <w:rPr>
          <w:rFonts w:ascii="宋体"/>
          <w:kern w:val="0"/>
          <w:szCs w:val="20"/>
          <w:highlight w:val="none"/>
        </w:rPr>
        <w:t>阐明各指标及准则层权重的确定方法，列出权重计算过程与结果；明确生态单元综合评价指数的计算方法，给出具体计算公式，说明计算过程中的关键参数与取值依据。</w:t>
      </w:r>
    </w:p>
    <w:p w14:paraId="6A87B122">
      <w:pPr>
        <w:pStyle w:val="70"/>
        <w:spacing w:before="312" w:after="312"/>
        <w:rPr>
          <w:rFonts w:hint="default" w:hAnsi="Times New Roman" w:cs="Times New Roman"/>
          <w:highlight w:val="none"/>
          <w:lang w:val="en-US" w:eastAsia="zh-CN"/>
        </w:rPr>
      </w:pPr>
      <w:bookmarkStart w:id="532" w:name="_Toc29995"/>
      <w:bookmarkStart w:id="533" w:name="_Toc14378"/>
      <w:bookmarkStart w:id="534" w:name="_Toc17142"/>
      <w:bookmarkStart w:id="535" w:name="_Toc19300"/>
      <w:bookmarkStart w:id="536" w:name="_Toc15810"/>
      <w:bookmarkStart w:id="537" w:name="_Toc21010"/>
      <w:bookmarkStart w:id="538" w:name="_Toc21851"/>
      <w:bookmarkStart w:id="539" w:name="_Toc13941"/>
      <w:bookmarkStart w:id="540" w:name="_Toc20862"/>
      <w:bookmarkStart w:id="541" w:name="_Toc25343"/>
      <w:bookmarkStart w:id="542" w:name="_Toc20373"/>
      <w:bookmarkStart w:id="543" w:name="_Toc10742"/>
      <w:bookmarkStart w:id="544" w:name="_Toc15602"/>
      <w:r>
        <w:rPr>
          <w:rFonts w:hint="eastAsia" w:hAnsi="Times New Roman" w:cs="Times New Roman"/>
          <w:highlight w:val="none"/>
          <w:lang w:val="en-US" w:eastAsia="zh-CN"/>
        </w:rPr>
        <w:t>调查评价结果</w:t>
      </w:r>
      <w:bookmarkEnd w:id="532"/>
      <w:bookmarkEnd w:id="533"/>
      <w:bookmarkEnd w:id="534"/>
      <w:bookmarkEnd w:id="535"/>
      <w:bookmarkEnd w:id="536"/>
      <w:bookmarkEnd w:id="537"/>
      <w:bookmarkEnd w:id="538"/>
      <w:bookmarkEnd w:id="539"/>
      <w:bookmarkEnd w:id="540"/>
      <w:bookmarkEnd w:id="541"/>
      <w:bookmarkEnd w:id="542"/>
      <w:bookmarkEnd w:id="543"/>
      <w:bookmarkEnd w:id="544"/>
    </w:p>
    <w:p w14:paraId="41826F7E">
      <w:pPr>
        <w:pStyle w:val="61"/>
        <w:widowControl/>
        <w:numPr>
          <w:ilvl w:val="2"/>
          <w:numId w:val="0"/>
        </w:numPr>
        <w:spacing w:before="156" w:after="156"/>
        <w:outlineLvl w:val="9"/>
        <w:rPr>
          <w:rFonts w:hint="eastAsia"/>
          <w:color w:val="000000"/>
          <w:highlight w:val="none"/>
        </w:rPr>
      </w:pPr>
      <w:r>
        <w:rPr>
          <w:rFonts w:hint="eastAsia"/>
          <w:color w:val="000000"/>
          <w:highlight w:val="none"/>
        </w:rPr>
        <w:t xml:space="preserve">D.4.1 </w:t>
      </w:r>
      <w:r>
        <w:rPr>
          <w:rFonts w:hint="eastAsia"/>
          <w:color w:val="000000"/>
          <w:highlight w:val="none"/>
          <w:lang w:eastAsia="zh-CN"/>
        </w:rPr>
        <w:t>三级</w:t>
      </w:r>
      <w:r>
        <w:rPr>
          <w:rFonts w:hint="eastAsia"/>
          <w:color w:val="000000"/>
          <w:highlight w:val="none"/>
        </w:rPr>
        <w:t>单指标现状分析</w:t>
      </w:r>
    </w:p>
    <w:p w14:paraId="6ED6C89F">
      <w:pPr>
        <w:ind w:firstLine="420" w:firstLineChars="200"/>
        <w:rPr>
          <w:rFonts w:hint="eastAsia" w:ascii="宋体"/>
          <w:kern w:val="0"/>
          <w:szCs w:val="20"/>
          <w:highlight w:val="none"/>
        </w:rPr>
      </w:pPr>
      <w:r>
        <w:rPr>
          <w:rFonts w:hint="eastAsia" w:ascii="宋体"/>
          <w:kern w:val="0"/>
          <w:szCs w:val="20"/>
          <w:highlight w:val="none"/>
        </w:rPr>
        <w:t>逐一阐述各评价指标的现状数值/分级结果，分析指标的现状水平；对异常指标、短板指标进行重点分析，说明其形成的直接原因。</w:t>
      </w:r>
    </w:p>
    <w:p w14:paraId="63143DFF">
      <w:pPr>
        <w:pStyle w:val="61"/>
        <w:widowControl/>
        <w:numPr>
          <w:ilvl w:val="2"/>
          <w:numId w:val="0"/>
        </w:numPr>
        <w:spacing w:before="156" w:after="156"/>
        <w:outlineLvl w:val="9"/>
        <w:rPr>
          <w:rFonts w:hint="eastAsia"/>
          <w:color w:val="000000"/>
          <w:highlight w:val="none"/>
        </w:rPr>
      </w:pPr>
      <w:r>
        <w:rPr>
          <w:rFonts w:hint="eastAsia"/>
          <w:color w:val="000000"/>
          <w:highlight w:val="none"/>
        </w:rPr>
        <w:t xml:space="preserve">D.4.2 </w:t>
      </w:r>
      <w:r>
        <w:rPr>
          <w:rFonts w:hint="eastAsia"/>
          <w:color w:val="000000"/>
          <w:highlight w:val="none"/>
          <w:lang w:eastAsia="zh-CN"/>
        </w:rPr>
        <w:t>一级、二级指标</w:t>
      </w:r>
      <w:r>
        <w:rPr>
          <w:rFonts w:hint="eastAsia"/>
          <w:color w:val="000000"/>
          <w:highlight w:val="none"/>
        </w:rPr>
        <w:t>综合评价</w:t>
      </w:r>
    </w:p>
    <w:p w14:paraId="48AEC4EA">
      <w:pPr>
        <w:ind w:firstLine="420" w:firstLineChars="200"/>
        <w:rPr>
          <w:rFonts w:hint="eastAsia" w:ascii="宋体"/>
          <w:kern w:val="0"/>
          <w:szCs w:val="20"/>
          <w:highlight w:val="none"/>
        </w:rPr>
      </w:pPr>
      <w:r>
        <w:rPr>
          <w:rFonts w:hint="eastAsia" w:ascii="宋体"/>
          <w:kern w:val="0"/>
          <w:szCs w:val="20"/>
          <w:highlight w:val="none"/>
        </w:rPr>
        <w:t>分别对</w:t>
      </w:r>
      <w:r>
        <w:rPr>
          <w:rFonts w:hint="eastAsia" w:ascii="宋体"/>
          <w:kern w:val="0"/>
          <w:szCs w:val="20"/>
          <w:highlight w:val="none"/>
          <w:lang w:eastAsia="zh-CN"/>
        </w:rPr>
        <w:t>生态系统格局</w:t>
      </w:r>
      <w:r>
        <w:rPr>
          <w:rFonts w:hint="eastAsia" w:ascii="宋体"/>
          <w:kern w:val="0"/>
          <w:szCs w:val="20"/>
          <w:highlight w:val="none"/>
        </w:rPr>
        <w:t>、生态</w:t>
      </w:r>
      <w:r>
        <w:rPr>
          <w:rFonts w:hint="eastAsia" w:ascii="宋体"/>
          <w:kern w:val="0"/>
          <w:szCs w:val="20"/>
          <w:highlight w:val="none"/>
          <w:lang w:eastAsia="zh-CN"/>
        </w:rPr>
        <w:t>系统质量</w:t>
      </w:r>
      <w:r>
        <w:rPr>
          <w:rFonts w:hint="eastAsia" w:ascii="宋体"/>
          <w:kern w:val="0"/>
          <w:szCs w:val="20"/>
          <w:highlight w:val="none"/>
        </w:rPr>
        <w:t>、</w:t>
      </w:r>
      <w:r>
        <w:rPr>
          <w:rFonts w:hint="eastAsia" w:ascii="宋体"/>
          <w:kern w:val="0"/>
          <w:szCs w:val="20"/>
          <w:highlight w:val="none"/>
          <w:lang w:eastAsia="zh-CN"/>
        </w:rPr>
        <w:t>生态系统服务和生态胁迫四方面一级指标</w:t>
      </w:r>
      <w:r>
        <w:rPr>
          <w:rFonts w:hint="eastAsia" w:ascii="宋体"/>
          <w:kern w:val="0"/>
          <w:szCs w:val="20"/>
          <w:highlight w:val="none"/>
        </w:rPr>
        <w:t>进行综合评价；分析各</w:t>
      </w:r>
      <w:r>
        <w:rPr>
          <w:rFonts w:hint="eastAsia" w:ascii="宋体"/>
          <w:kern w:val="0"/>
          <w:szCs w:val="20"/>
          <w:highlight w:val="none"/>
          <w:lang w:eastAsia="zh-CN"/>
        </w:rPr>
        <w:t>一级指标</w:t>
      </w:r>
      <w:r>
        <w:rPr>
          <w:rFonts w:hint="eastAsia" w:ascii="宋体"/>
          <w:kern w:val="0"/>
          <w:szCs w:val="20"/>
          <w:highlight w:val="none"/>
        </w:rPr>
        <w:t>内部</w:t>
      </w:r>
      <w:r>
        <w:rPr>
          <w:rFonts w:hint="eastAsia" w:ascii="宋体"/>
          <w:kern w:val="0"/>
          <w:szCs w:val="20"/>
          <w:highlight w:val="none"/>
          <w:lang w:eastAsia="zh-CN"/>
        </w:rPr>
        <w:t>二级</w:t>
      </w:r>
      <w:r>
        <w:rPr>
          <w:rFonts w:hint="eastAsia" w:ascii="宋体"/>
          <w:kern w:val="0"/>
          <w:szCs w:val="20"/>
          <w:highlight w:val="none"/>
        </w:rPr>
        <w:t>指标的协同性与差异性，阐述生态现状特征与主要问题。</w:t>
      </w:r>
    </w:p>
    <w:p w14:paraId="17039B12">
      <w:pPr>
        <w:pStyle w:val="61"/>
        <w:widowControl/>
        <w:numPr>
          <w:ilvl w:val="2"/>
          <w:numId w:val="0"/>
        </w:numPr>
        <w:spacing w:before="156" w:after="156"/>
        <w:outlineLvl w:val="9"/>
        <w:rPr>
          <w:rFonts w:hint="eastAsia"/>
          <w:color w:val="000000"/>
          <w:highlight w:val="none"/>
        </w:rPr>
      </w:pPr>
      <w:r>
        <w:rPr>
          <w:rFonts w:hint="eastAsia"/>
          <w:color w:val="000000"/>
          <w:highlight w:val="none"/>
        </w:rPr>
        <w:t>D.4.3 整体综合评价</w:t>
      </w:r>
    </w:p>
    <w:p w14:paraId="13C25944">
      <w:pPr>
        <w:ind w:firstLine="420" w:firstLineChars="200"/>
        <w:rPr>
          <w:rFonts w:hint="eastAsia"/>
        </w:rPr>
      </w:pPr>
      <w:r>
        <w:rPr>
          <w:rFonts w:hint="eastAsia" w:ascii="宋体"/>
          <w:kern w:val="0"/>
          <w:szCs w:val="20"/>
          <w:highlight w:val="none"/>
        </w:rPr>
        <w:t>给出生态单元的整体综合评价指数与评价等级，定性结合定量阐明生态单元的整体生态现状；对比分析与周边同类型生态单元、区域生态平均水平的差异，明确本生态单元的生态优势与核心短板。</w:t>
      </w:r>
    </w:p>
    <w:p w14:paraId="38301C2F">
      <w:pPr>
        <w:pStyle w:val="61"/>
        <w:widowControl/>
        <w:numPr>
          <w:ilvl w:val="2"/>
          <w:numId w:val="0"/>
        </w:numPr>
        <w:spacing w:before="156" w:after="156"/>
        <w:outlineLvl w:val="9"/>
        <w:rPr>
          <w:rFonts w:hint="eastAsia"/>
          <w:color w:val="000000"/>
          <w:highlight w:val="none"/>
        </w:rPr>
      </w:pPr>
      <w:r>
        <w:rPr>
          <w:rFonts w:hint="eastAsia"/>
          <w:color w:val="000000"/>
          <w:highlight w:val="none"/>
        </w:rPr>
        <w:t>D.4.4 生态演变趋势研判</w:t>
      </w:r>
    </w:p>
    <w:p w14:paraId="02063EAF">
      <w:pPr>
        <w:ind w:firstLine="420" w:firstLineChars="200"/>
        <w:rPr>
          <w:rFonts w:hint="eastAsia"/>
        </w:rPr>
      </w:pPr>
      <w:r>
        <w:rPr>
          <w:rFonts w:hint="eastAsia"/>
        </w:rPr>
        <w:t>结合长时序监测数据、遥感解译结果及区域生态发展背景，分析生态单元生态演变趋势；识别影响生态演变的关键驱动因素，预判未来一段时期内生态单元的生态演变趋势，明确趋势研判的依据与不确定性。</w:t>
      </w:r>
    </w:p>
    <w:p w14:paraId="2EC00E0F">
      <w:pPr>
        <w:pStyle w:val="61"/>
        <w:widowControl/>
        <w:numPr>
          <w:ilvl w:val="2"/>
          <w:numId w:val="0"/>
        </w:numPr>
        <w:spacing w:before="156" w:after="156"/>
        <w:outlineLvl w:val="9"/>
        <w:rPr>
          <w:rFonts w:hint="eastAsia"/>
          <w:color w:val="000000"/>
          <w:highlight w:val="none"/>
        </w:rPr>
      </w:pPr>
      <w:r>
        <w:rPr>
          <w:rFonts w:hint="eastAsia"/>
          <w:color w:val="000000"/>
          <w:highlight w:val="none"/>
        </w:rPr>
        <w:t>D.4.5 生态胁迫专项分析</w:t>
      </w:r>
    </w:p>
    <w:p w14:paraId="06175028">
      <w:pPr>
        <w:ind w:firstLine="420" w:firstLineChars="200"/>
        <w:rPr>
          <w:rFonts w:hint="eastAsia"/>
        </w:rPr>
      </w:pPr>
      <w:r>
        <w:rPr>
          <w:rFonts w:hint="eastAsia"/>
        </w:rPr>
        <w:t>重点阐述生态单元面临的主要生态胁迫类型，明确主要胁迫因素的作用机制与传导路径。</w:t>
      </w:r>
    </w:p>
    <w:p w14:paraId="58443593">
      <w:pPr>
        <w:pStyle w:val="70"/>
        <w:spacing w:before="312" w:after="312"/>
        <w:rPr>
          <w:rFonts w:hint="default" w:hAnsi="Times New Roman" w:cs="Times New Roman"/>
          <w:highlight w:val="none"/>
          <w:lang w:val="en-US" w:eastAsia="zh-CN"/>
        </w:rPr>
      </w:pPr>
      <w:bookmarkStart w:id="545" w:name="_Toc19796"/>
      <w:bookmarkStart w:id="546" w:name="_Toc978"/>
      <w:bookmarkStart w:id="547" w:name="_Toc28866"/>
      <w:bookmarkStart w:id="548" w:name="_Toc21896"/>
      <w:bookmarkStart w:id="549" w:name="_Toc2220"/>
      <w:bookmarkStart w:id="550" w:name="_Toc26924"/>
      <w:bookmarkStart w:id="551" w:name="_Toc27353"/>
      <w:bookmarkStart w:id="552" w:name="_Toc15667"/>
      <w:bookmarkStart w:id="553" w:name="_Toc23709"/>
      <w:bookmarkStart w:id="554" w:name="_Toc15680"/>
      <w:bookmarkStart w:id="555" w:name="_Toc32657"/>
      <w:bookmarkStart w:id="556" w:name="_Toc3520"/>
      <w:bookmarkStart w:id="557" w:name="_Toc5721"/>
      <w:r>
        <w:rPr>
          <w:rFonts w:hint="eastAsia" w:hAnsi="Times New Roman" w:cs="Times New Roman"/>
          <w:highlight w:val="none"/>
          <w:lang w:val="en-US" w:eastAsia="zh-CN"/>
        </w:rPr>
        <w:t>结论与建议</w:t>
      </w:r>
      <w:bookmarkEnd w:id="545"/>
      <w:bookmarkEnd w:id="546"/>
      <w:bookmarkEnd w:id="547"/>
      <w:bookmarkEnd w:id="548"/>
      <w:bookmarkEnd w:id="549"/>
      <w:bookmarkEnd w:id="550"/>
      <w:bookmarkEnd w:id="551"/>
      <w:bookmarkEnd w:id="552"/>
      <w:bookmarkEnd w:id="553"/>
      <w:bookmarkEnd w:id="554"/>
      <w:bookmarkEnd w:id="555"/>
      <w:bookmarkEnd w:id="556"/>
      <w:bookmarkEnd w:id="557"/>
    </w:p>
    <w:p w14:paraId="653A9859">
      <w:pPr>
        <w:pStyle w:val="61"/>
        <w:widowControl/>
        <w:numPr>
          <w:ilvl w:val="2"/>
          <w:numId w:val="0"/>
        </w:numPr>
        <w:spacing w:before="156" w:after="156"/>
        <w:outlineLvl w:val="9"/>
        <w:rPr>
          <w:rFonts w:hint="eastAsia"/>
          <w:color w:val="000000"/>
          <w:highlight w:val="none"/>
        </w:rPr>
      </w:pPr>
      <w:r>
        <w:rPr>
          <w:rFonts w:hint="eastAsia"/>
          <w:color w:val="000000"/>
          <w:highlight w:val="none"/>
        </w:rPr>
        <w:t>D.5.1 核心结论</w:t>
      </w:r>
    </w:p>
    <w:p w14:paraId="55330327">
      <w:pPr>
        <w:pStyle w:val="25"/>
        <w:rPr>
          <w:rFonts w:hint="eastAsia" w:hAnsi="Times New Roman" w:cs="Times New Roman"/>
          <w:highlight w:val="none"/>
          <w:lang w:val="en-US" w:eastAsia="zh-CN"/>
        </w:rPr>
      </w:pPr>
      <w:r>
        <w:rPr>
          <w:rFonts w:hint="eastAsia" w:hAnsi="Times New Roman" w:cs="Times New Roman"/>
          <w:highlight w:val="none"/>
          <w:lang w:val="en-US" w:eastAsia="zh-CN"/>
        </w:rPr>
        <w:t>根据调查评价结果，分析当前的生态问题和潜在的风险，提出</w:t>
      </w:r>
      <w:r>
        <w:rPr>
          <w:rFonts w:hint="eastAsia" w:cs="Times New Roman"/>
          <w:highlight w:val="none"/>
          <w:lang w:val="en-US" w:eastAsia="zh-CN"/>
        </w:rPr>
        <w:t>单元</w:t>
      </w:r>
      <w:r>
        <w:rPr>
          <w:rFonts w:hint="eastAsia" w:hAnsi="Times New Roman" w:cs="Times New Roman"/>
          <w:highlight w:val="none"/>
          <w:lang w:val="en-US" w:eastAsia="zh-CN"/>
        </w:rPr>
        <w:t>的生态保护和修复目标。</w:t>
      </w:r>
    </w:p>
    <w:p w14:paraId="4114C0B7">
      <w:pPr>
        <w:pStyle w:val="61"/>
        <w:widowControl/>
        <w:numPr>
          <w:ilvl w:val="2"/>
          <w:numId w:val="0"/>
        </w:numPr>
        <w:spacing w:before="156" w:after="156"/>
        <w:outlineLvl w:val="9"/>
        <w:rPr>
          <w:rFonts w:hint="eastAsia" w:eastAsia="黑体"/>
          <w:color w:val="000000"/>
          <w:highlight w:val="none"/>
          <w:lang w:eastAsia="zh-CN"/>
        </w:rPr>
      </w:pPr>
      <w:r>
        <w:rPr>
          <w:rFonts w:hint="eastAsia"/>
          <w:color w:val="000000"/>
          <w:highlight w:val="none"/>
        </w:rPr>
        <w:t>D.5.</w:t>
      </w:r>
      <w:r>
        <w:rPr>
          <w:rFonts w:hint="eastAsia"/>
          <w:color w:val="000000"/>
          <w:highlight w:val="none"/>
          <w:lang w:val="en-US" w:eastAsia="zh-CN"/>
        </w:rPr>
        <w:t>2</w:t>
      </w:r>
      <w:r>
        <w:rPr>
          <w:rFonts w:hint="eastAsia"/>
          <w:color w:val="000000"/>
          <w:highlight w:val="none"/>
        </w:rPr>
        <w:t xml:space="preserve"> </w:t>
      </w:r>
      <w:r>
        <w:rPr>
          <w:rFonts w:hint="eastAsia"/>
          <w:color w:val="000000"/>
          <w:highlight w:val="none"/>
          <w:lang w:eastAsia="zh-CN"/>
        </w:rPr>
        <w:t>对策建议</w:t>
      </w:r>
    </w:p>
    <w:p w14:paraId="2D68AB98">
      <w:pPr>
        <w:pStyle w:val="25"/>
        <w:rPr>
          <w:rFonts w:hint="eastAsia"/>
          <w:lang w:val="en-US" w:eastAsia="zh-CN"/>
        </w:rPr>
      </w:pPr>
      <w:r>
        <w:rPr>
          <w:rFonts w:hint="eastAsia"/>
          <w:highlight w:val="none"/>
        </w:rPr>
        <w:t>针对生态单元的生态优势与现存问题，提出常态化生态保护措施</w:t>
      </w:r>
      <w:r>
        <w:rPr>
          <w:rFonts w:hint="eastAsia"/>
          <w:highlight w:val="none"/>
          <w:lang w:eastAsia="zh-CN"/>
        </w:rPr>
        <w:t>和</w:t>
      </w:r>
      <w:r>
        <w:t>具体的生态修复工程措施建议</w:t>
      </w:r>
      <w:r>
        <w:rPr>
          <w:rFonts w:hint="eastAsia"/>
          <w:lang w:eastAsia="zh-CN"/>
        </w:rPr>
        <w:t>。</w:t>
      </w:r>
      <w:r>
        <w:rPr>
          <w:rFonts w:hint="eastAsia" w:ascii="宋体" w:hAnsi="Times New Roman" w:eastAsia="宋体" w:cs="Times New Roman"/>
          <w:color w:val="auto"/>
          <w:kern w:val="0"/>
          <w:sz w:val="21"/>
          <w:szCs w:val="20"/>
          <w:highlight w:val="none"/>
          <w:lang w:val="en-US" w:eastAsia="zh-CN" w:bidi="ar-SA"/>
        </w:rPr>
        <w:t>明确不同区域的修复方向、技术选型和实施优先级。</w:t>
      </w:r>
    </w:p>
    <w:p w14:paraId="05DFDFA5">
      <w:pPr>
        <w:pStyle w:val="70"/>
        <w:spacing w:before="312" w:after="312"/>
        <w:rPr>
          <w:rFonts w:hint="default" w:hAnsi="Times New Roman" w:cs="Times New Roman"/>
          <w:highlight w:val="none"/>
          <w:lang w:val="en-US" w:eastAsia="zh-CN"/>
        </w:rPr>
      </w:pPr>
      <w:bookmarkStart w:id="558" w:name="_Toc15579"/>
      <w:bookmarkStart w:id="559" w:name="_Toc4324"/>
      <w:bookmarkStart w:id="560" w:name="_Toc15933"/>
      <w:bookmarkStart w:id="561" w:name="_Toc5927"/>
      <w:bookmarkStart w:id="562" w:name="_Toc23625"/>
      <w:bookmarkStart w:id="563" w:name="_Toc754"/>
      <w:bookmarkStart w:id="564" w:name="_Toc20396"/>
      <w:bookmarkStart w:id="565" w:name="_Toc13819"/>
      <w:bookmarkStart w:id="566" w:name="_Toc16679"/>
      <w:bookmarkStart w:id="567" w:name="_Toc20080"/>
      <w:bookmarkStart w:id="568" w:name="_Toc7751"/>
      <w:bookmarkStart w:id="569" w:name="_Toc18336"/>
      <w:bookmarkStart w:id="570" w:name="_Toc29057"/>
      <w:r>
        <w:rPr>
          <w:rFonts w:hint="eastAsia" w:hAnsi="Times New Roman" w:cs="Times New Roman"/>
          <w:highlight w:val="none"/>
          <w:lang w:val="en-US" w:eastAsia="zh-CN"/>
        </w:rPr>
        <w:t>附件</w:t>
      </w:r>
      <w:bookmarkEnd w:id="558"/>
      <w:bookmarkEnd w:id="559"/>
      <w:bookmarkEnd w:id="560"/>
      <w:bookmarkEnd w:id="561"/>
      <w:bookmarkEnd w:id="562"/>
      <w:bookmarkEnd w:id="563"/>
      <w:bookmarkEnd w:id="564"/>
      <w:bookmarkEnd w:id="565"/>
      <w:bookmarkEnd w:id="566"/>
      <w:bookmarkEnd w:id="567"/>
      <w:bookmarkEnd w:id="568"/>
      <w:bookmarkEnd w:id="569"/>
      <w:bookmarkEnd w:id="570"/>
    </w:p>
    <w:p w14:paraId="036523DA">
      <w:pPr>
        <w:pStyle w:val="61"/>
        <w:numPr>
          <w:ilvl w:val="2"/>
          <w:numId w:val="0"/>
        </w:numPr>
        <w:spacing w:before="156" w:after="156"/>
        <w:outlineLvl w:val="9"/>
        <w:rPr>
          <w:rFonts w:hint="eastAsia"/>
          <w:color w:val="000000"/>
          <w:highlight w:val="none"/>
        </w:rPr>
      </w:pPr>
      <w:r>
        <w:rPr>
          <w:rFonts w:hint="eastAsia"/>
          <w:color w:val="000000"/>
          <w:highlight w:val="none"/>
        </w:rPr>
        <w:t>D.6.1 原始数据资料</w:t>
      </w:r>
    </w:p>
    <w:p w14:paraId="2267D33F">
      <w:pPr>
        <w:pStyle w:val="25"/>
        <w:rPr>
          <w:rFonts w:hint="eastAsia"/>
          <w:highlight w:val="none"/>
        </w:rPr>
      </w:pPr>
      <w:r>
        <w:rPr>
          <w:rFonts w:hint="eastAsia"/>
          <w:highlight w:val="none"/>
        </w:rPr>
        <w:t>包括野外监测原始记录表、遥感影像原始数据、统计数据原始报表、采样样品检测报告等。</w:t>
      </w:r>
    </w:p>
    <w:p w14:paraId="06241783">
      <w:pPr>
        <w:pStyle w:val="61"/>
        <w:numPr>
          <w:ilvl w:val="2"/>
          <w:numId w:val="0"/>
        </w:numPr>
        <w:spacing w:before="156" w:after="156"/>
        <w:outlineLvl w:val="9"/>
        <w:rPr>
          <w:rFonts w:hint="eastAsia"/>
          <w:color w:val="000000"/>
          <w:highlight w:val="none"/>
        </w:rPr>
      </w:pPr>
      <w:r>
        <w:rPr>
          <w:rFonts w:hint="eastAsia"/>
          <w:color w:val="000000"/>
          <w:highlight w:val="none"/>
        </w:rPr>
        <w:t>D.6.2 相关参数资料</w:t>
      </w:r>
    </w:p>
    <w:p w14:paraId="0069C0DD">
      <w:pPr>
        <w:pStyle w:val="25"/>
        <w:rPr>
          <w:rFonts w:hint="eastAsia"/>
          <w:highlight w:val="none"/>
        </w:rPr>
      </w:pPr>
      <w:r>
        <w:rPr>
          <w:rFonts w:hint="eastAsia"/>
          <w:highlight w:val="none"/>
        </w:rPr>
        <w:t>包括指标权重计算过程数据、模型模拟参数设置表、指标分级阈值确定依据、区域背景值与标准值资料等；列出所有参数的取值依据与计算过程。</w:t>
      </w:r>
    </w:p>
    <w:p w14:paraId="2EA3BAEF">
      <w:pPr>
        <w:pStyle w:val="61"/>
        <w:numPr>
          <w:ilvl w:val="2"/>
          <w:numId w:val="0"/>
        </w:numPr>
        <w:spacing w:before="156" w:after="156"/>
        <w:outlineLvl w:val="9"/>
        <w:rPr>
          <w:rFonts w:hint="eastAsia"/>
          <w:color w:val="000000"/>
          <w:highlight w:val="none"/>
        </w:rPr>
      </w:pPr>
      <w:r>
        <w:rPr>
          <w:rFonts w:hint="eastAsia"/>
          <w:color w:val="000000"/>
          <w:highlight w:val="none"/>
        </w:rPr>
        <w:t>D.6.</w:t>
      </w:r>
      <w:r>
        <w:rPr>
          <w:rFonts w:hint="eastAsia"/>
          <w:color w:val="000000"/>
          <w:highlight w:val="none"/>
          <w:lang w:eastAsia="zh-CN"/>
        </w:rPr>
        <w:t>3</w:t>
      </w:r>
      <w:r>
        <w:rPr>
          <w:rFonts w:hint="eastAsia"/>
          <w:color w:val="000000"/>
          <w:highlight w:val="none"/>
        </w:rPr>
        <w:t xml:space="preserve"> 附图附件</w:t>
      </w:r>
    </w:p>
    <w:p w14:paraId="412AD4C8">
      <w:pPr>
        <w:pStyle w:val="25"/>
        <w:rPr>
          <w:rFonts w:hint="eastAsia"/>
          <w:highlight w:val="none"/>
        </w:rPr>
      </w:pPr>
      <w:r>
        <w:rPr>
          <w:rFonts w:hint="eastAsia"/>
          <w:highlight w:val="none"/>
        </w:rPr>
        <w:t>生态单元地理位置图、调查评价范围图、监测点位布设图、遥感解译成果图、生态现状评价图、</w:t>
      </w:r>
      <w:r>
        <w:rPr>
          <w:rFonts w:hint="eastAsia" w:eastAsia="宋体" w:cs="Times New Roman"/>
          <w:color w:val="auto"/>
          <w:sz w:val="21"/>
          <w:szCs w:val="20"/>
          <w:highlight w:val="none"/>
          <w:lang w:eastAsia="zh-CN"/>
        </w:rPr>
        <w:t>生态单元指标空间分布图、</w:t>
      </w:r>
      <w:r>
        <w:rPr>
          <w:rFonts w:hint="eastAsia"/>
          <w:highlight w:val="none"/>
        </w:rPr>
        <w:t>生态问题分布图等相关图件</w:t>
      </w:r>
      <w:r>
        <w:rPr>
          <w:rFonts w:hint="eastAsia"/>
          <w:highlight w:val="none"/>
          <w:lang w:eastAsia="zh-CN"/>
        </w:rPr>
        <w:t>。</w:t>
      </w:r>
    </w:p>
    <w:p w14:paraId="76F68EC2">
      <w:pPr>
        <w:pStyle w:val="61"/>
        <w:numPr>
          <w:ilvl w:val="2"/>
          <w:numId w:val="0"/>
        </w:numPr>
        <w:spacing w:before="156" w:after="156"/>
        <w:outlineLvl w:val="9"/>
        <w:rPr>
          <w:rFonts w:hint="eastAsia"/>
          <w:color w:val="000000"/>
          <w:highlight w:val="none"/>
        </w:rPr>
      </w:pPr>
      <w:r>
        <w:rPr>
          <w:rFonts w:hint="eastAsia"/>
          <w:color w:val="000000"/>
          <w:highlight w:val="none"/>
        </w:rPr>
        <w:t>D.6.</w:t>
      </w:r>
      <w:r>
        <w:rPr>
          <w:rFonts w:hint="eastAsia"/>
          <w:color w:val="000000"/>
          <w:highlight w:val="none"/>
          <w:lang w:eastAsia="zh-CN"/>
        </w:rPr>
        <w:t>4</w:t>
      </w:r>
      <w:r>
        <w:rPr>
          <w:rFonts w:hint="eastAsia"/>
          <w:color w:val="000000"/>
          <w:highlight w:val="none"/>
        </w:rPr>
        <w:t xml:space="preserve"> 其他资料</w:t>
      </w:r>
    </w:p>
    <w:p w14:paraId="209E803F">
      <w:pPr>
        <w:pStyle w:val="25"/>
        <w:rPr>
          <w:rFonts w:hint="eastAsia"/>
          <w:highlight w:val="none"/>
        </w:rPr>
      </w:pPr>
      <w:r>
        <w:rPr>
          <w:rFonts w:hint="eastAsia"/>
          <w:highlight w:val="none"/>
        </w:rPr>
        <w:t>包括现场调查照片、相关政策文件与技术规范复印件、专家咨询意见、数据质量验证报告</w:t>
      </w:r>
      <w:r>
        <w:rPr>
          <w:rFonts w:hint="eastAsia"/>
          <w:highlight w:val="none"/>
          <w:lang w:eastAsia="zh-CN"/>
        </w:rPr>
        <w:t>、</w:t>
      </w:r>
      <w:r>
        <w:rPr>
          <w:rFonts w:hint="eastAsia" w:ascii="宋体" w:hAnsi="Times New Roman" w:eastAsia="宋体"/>
          <w:sz w:val="21"/>
          <w:szCs w:val="20"/>
          <w:highlight w:val="none"/>
          <w:lang w:val="en-US" w:eastAsia="zh-CN"/>
        </w:rPr>
        <w:t>公众参与调查问卷</w:t>
      </w:r>
      <w:r>
        <w:rPr>
          <w:rFonts w:hint="eastAsia"/>
          <w:sz w:val="21"/>
          <w:szCs w:val="20"/>
          <w:highlight w:val="none"/>
          <w:lang w:val="en-US" w:eastAsia="zh-CN"/>
        </w:rPr>
        <w:t>和</w:t>
      </w:r>
      <w:r>
        <w:rPr>
          <w:rFonts w:hint="eastAsia" w:ascii="宋体" w:hAnsi="Times New Roman" w:eastAsia="宋体"/>
          <w:sz w:val="21"/>
          <w:szCs w:val="20"/>
          <w:highlight w:val="none"/>
          <w:lang w:val="en-US" w:eastAsia="zh-CN"/>
        </w:rPr>
        <w:t>座谈会记录</w:t>
      </w:r>
      <w:r>
        <w:rPr>
          <w:rFonts w:hint="eastAsia"/>
          <w:highlight w:val="none"/>
        </w:rPr>
        <w:t>等与调查评价工作相关的其他资料。</w:t>
      </w:r>
    </w:p>
    <w:p w14:paraId="62267CC9">
      <w:pPr>
        <w:pStyle w:val="137"/>
        <w:rPr>
          <w:rFonts w:hint="eastAsia"/>
          <w:highlight w:val="none"/>
        </w:rPr>
      </w:pPr>
      <w:bookmarkStart w:id="571" w:name="_Toc31716"/>
      <w:bookmarkStart w:id="572" w:name="_Toc12814"/>
      <w:bookmarkStart w:id="573" w:name="_Toc19749"/>
      <w:bookmarkStart w:id="574" w:name="_Toc10241"/>
      <w:bookmarkStart w:id="575" w:name="_Toc450293168"/>
      <w:bookmarkStart w:id="576" w:name="_Toc13618"/>
      <w:bookmarkStart w:id="577" w:name="_Toc9331"/>
      <w:bookmarkStart w:id="578" w:name="_Toc20420"/>
      <w:bookmarkStart w:id="579" w:name="BKCKWX"/>
      <w:bookmarkStart w:id="580" w:name="_Toc15009"/>
      <w:bookmarkStart w:id="581" w:name="_Toc23544"/>
      <w:r>
        <w:rPr>
          <w:rFonts w:hint="eastAsia"/>
          <w:highlight w:val="none"/>
        </w:rPr>
        <w:t>参</w:t>
      </w:r>
      <w:r>
        <w:rPr>
          <w:rFonts w:hAnsi="黑体"/>
          <w:highlight w:val="none"/>
        </w:rPr>
        <w:t> </w:t>
      </w:r>
      <w:r>
        <w:rPr>
          <w:rFonts w:hint="eastAsia"/>
          <w:highlight w:val="none"/>
        </w:rPr>
        <w:t>考</w:t>
      </w:r>
      <w:r>
        <w:rPr>
          <w:rFonts w:hAnsi="黑体"/>
          <w:highlight w:val="none"/>
        </w:rPr>
        <w:t> </w:t>
      </w:r>
      <w:r>
        <w:rPr>
          <w:rFonts w:hint="eastAsia"/>
          <w:highlight w:val="none"/>
        </w:rPr>
        <w:t>文</w:t>
      </w:r>
      <w:r>
        <w:rPr>
          <w:rFonts w:hAnsi="黑体"/>
          <w:highlight w:val="none"/>
        </w:rPr>
        <w:t> </w:t>
      </w:r>
      <w:r>
        <w:rPr>
          <w:rFonts w:hint="eastAsia"/>
          <w:highlight w:val="none"/>
        </w:rPr>
        <w:t>献</w:t>
      </w:r>
      <w:bookmarkEnd w:id="571"/>
      <w:bookmarkEnd w:id="572"/>
      <w:bookmarkEnd w:id="573"/>
      <w:bookmarkEnd w:id="574"/>
      <w:bookmarkEnd w:id="575"/>
      <w:bookmarkEnd w:id="576"/>
      <w:bookmarkEnd w:id="577"/>
      <w:bookmarkEnd w:id="578"/>
      <w:bookmarkEnd w:id="579"/>
      <w:bookmarkEnd w:id="580"/>
      <w:bookmarkEnd w:id="581"/>
    </w:p>
    <w:p w14:paraId="3D9822F5">
      <w:pPr>
        <w:pStyle w:val="25"/>
        <w:ind w:firstLine="0" w:firstLineChars="0"/>
        <w:rPr>
          <w:rFonts w:hint="default" w:ascii="Times New Roman" w:hAnsi="Times New Roman" w:eastAsia="宋体" w:cs="Times New Roman"/>
          <w:kern w:val="0"/>
          <w:sz w:val="21"/>
          <w:szCs w:val="20"/>
          <w:highlight w:val="none"/>
          <w:lang w:val="en-US" w:eastAsia="zh-CN"/>
        </w:rPr>
      </w:pPr>
      <w:r>
        <w:rPr>
          <w:rFonts w:hint="default" w:ascii="Times New Roman" w:hAnsi="Times New Roman" w:eastAsia="宋体" w:cs="Times New Roman"/>
          <w:kern w:val="0"/>
          <w:sz w:val="21"/>
          <w:szCs w:val="20"/>
          <w:highlight w:val="none"/>
          <w:lang w:val="en-US" w:eastAsia="zh-CN"/>
        </w:rPr>
        <w:t>DD 2019-09</w:t>
      </w:r>
      <w:r>
        <w:rPr>
          <w:rFonts w:hint="eastAsia" w:ascii="Times New Roman" w:cs="Times New Roman"/>
          <w:kern w:val="0"/>
          <w:sz w:val="21"/>
          <w:szCs w:val="20"/>
          <w:highlight w:val="none"/>
          <w:lang w:val="en-US" w:eastAsia="zh-CN"/>
        </w:rPr>
        <w:t xml:space="preserve"> </w:t>
      </w:r>
      <w:r>
        <w:rPr>
          <w:rFonts w:hint="default" w:ascii="Times New Roman" w:hAnsi="Times New Roman" w:eastAsia="宋体" w:cs="Times New Roman"/>
          <w:kern w:val="0"/>
          <w:sz w:val="21"/>
          <w:szCs w:val="20"/>
          <w:highlight w:val="none"/>
          <w:lang w:val="en-US" w:eastAsia="zh-CN"/>
        </w:rPr>
        <w:t>生态地质调查技术要求（1∶50 000）（试行）</w:t>
      </w:r>
    </w:p>
    <w:p w14:paraId="16BD2CE5">
      <w:pPr>
        <w:pStyle w:val="25"/>
        <w:ind w:firstLine="0" w:firstLineChars="0"/>
        <w:rPr>
          <w:rFonts w:hint="default" w:ascii="Times New Roman" w:hAnsi="Times New Roman" w:eastAsia="宋体" w:cs="Times New Roman"/>
          <w:kern w:val="0"/>
          <w:sz w:val="21"/>
          <w:szCs w:val="20"/>
          <w:highlight w:val="none"/>
        </w:rPr>
      </w:pPr>
      <w:r>
        <w:rPr>
          <w:rFonts w:hint="default" w:ascii="Times New Roman" w:hAnsi="Times New Roman" w:eastAsia="宋体" w:cs="Times New Roman"/>
          <w:kern w:val="0"/>
          <w:sz w:val="21"/>
          <w:szCs w:val="20"/>
          <w:highlight w:val="none"/>
        </w:rPr>
        <w:t>DB11/T2059 生态产品总值核算技术规范</w:t>
      </w:r>
    </w:p>
    <w:p w14:paraId="3A138F63">
      <w:pPr>
        <w:pStyle w:val="25"/>
        <w:ind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HJ</w:t>
      </w:r>
      <w:r>
        <w:rPr>
          <w:rFonts w:hint="eastAsia" w:ascii="Times New Roman" w:cs="Times New Roman"/>
          <w:highlight w:val="none"/>
          <w:lang w:val="en-US" w:eastAsia="zh-CN"/>
        </w:rPr>
        <w:t xml:space="preserve"> </w:t>
      </w:r>
      <w:r>
        <w:rPr>
          <w:rFonts w:hint="default" w:ascii="Times New Roman" w:hAnsi="Times New Roman" w:eastAsia="宋体" w:cs="Times New Roman"/>
          <w:highlight w:val="none"/>
          <w:lang w:val="en-US" w:eastAsia="zh-CN"/>
        </w:rPr>
        <w:t>710</w:t>
      </w:r>
      <w:r>
        <w:rPr>
          <w:rFonts w:hint="eastAsia" w:ascii="Times New Roman" w:cs="Times New Roman"/>
          <w:highlight w:val="none"/>
          <w:lang w:val="en-US" w:eastAsia="zh-CN"/>
        </w:rPr>
        <w:t xml:space="preserve"> </w:t>
      </w:r>
      <w:r>
        <w:rPr>
          <w:rFonts w:hint="default" w:ascii="Times New Roman" w:hAnsi="Times New Roman" w:eastAsia="宋体" w:cs="Times New Roman"/>
          <w:highlight w:val="none"/>
          <w:lang w:val="en-US" w:eastAsia="zh-CN"/>
        </w:rPr>
        <w:t>生物多样性观测技术导则</w:t>
      </w:r>
    </w:p>
    <w:p w14:paraId="0397A2C1">
      <w:pPr>
        <w:pStyle w:val="25"/>
        <w:ind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kern w:val="0"/>
          <w:sz w:val="21"/>
          <w:szCs w:val="20"/>
          <w:highlight w:val="none"/>
        </w:rPr>
        <w:t>HJ1174 全国生态状况调查评估技术规范—生态问题评估</w:t>
      </w:r>
    </w:p>
    <w:p w14:paraId="3A702F15">
      <w:pPr>
        <w:pStyle w:val="25"/>
        <w:ind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LY/T</w:t>
      </w:r>
      <w:r>
        <w:rPr>
          <w:rFonts w:hint="eastAsia" w:ascii="Times New Roman" w:cs="Times New Roman"/>
          <w:highlight w:val="none"/>
          <w:lang w:val="en-US" w:eastAsia="zh-CN"/>
        </w:rPr>
        <w:t xml:space="preserve"> </w:t>
      </w:r>
      <w:r>
        <w:rPr>
          <w:rFonts w:hint="default" w:ascii="Times New Roman" w:hAnsi="Times New Roman" w:eastAsia="宋体" w:cs="Times New Roman"/>
          <w:highlight w:val="none"/>
          <w:lang w:val="en-US" w:eastAsia="zh-CN"/>
        </w:rPr>
        <w:t>3330</w:t>
      </w:r>
      <w:r>
        <w:rPr>
          <w:rFonts w:hint="eastAsia" w:ascii="Times New Roman" w:cs="Times New Roman"/>
          <w:highlight w:val="none"/>
          <w:lang w:val="en-US" w:eastAsia="zh-CN"/>
        </w:rPr>
        <w:t xml:space="preserve"> </w:t>
      </w:r>
      <w:r>
        <w:rPr>
          <w:rFonts w:hint="default" w:ascii="Times New Roman" w:hAnsi="Times New Roman" w:eastAsia="宋体" w:cs="Times New Roman"/>
          <w:highlight w:val="none"/>
          <w:lang w:val="en-US" w:eastAsia="zh-CN"/>
        </w:rPr>
        <w:t>森林土壤碳储量调查技术规程</w:t>
      </w:r>
    </w:p>
    <w:p w14:paraId="753EA319">
      <w:pPr>
        <w:pStyle w:val="25"/>
        <w:ind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国家海洋局《海岸线保护与利用管理办法》</w:t>
      </w:r>
      <w:r>
        <w:rPr>
          <w:rFonts w:hint="eastAsia" w:ascii="Times New Roman" w:hAnsi="Times New Roman" w:eastAsia="宋体" w:cs="Times New Roman"/>
          <w:highlight w:val="none"/>
          <w:lang w:val="en-US" w:eastAsia="zh-CN"/>
        </w:rPr>
        <w:t>（</w:t>
      </w:r>
      <w:r>
        <w:rPr>
          <w:rFonts w:hint="default" w:ascii="Times New Roman" w:hAnsi="Times New Roman" w:eastAsia="宋体" w:cs="Times New Roman"/>
          <w:highlight w:val="none"/>
          <w:lang w:val="en-US" w:eastAsia="zh-CN"/>
        </w:rPr>
        <w:fldChar w:fldCharType="begin"/>
      </w:r>
      <w:r>
        <w:rPr>
          <w:rFonts w:hint="default" w:ascii="Times New Roman" w:hAnsi="Times New Roman" w:eastAsia="宋体" w:cs="Times New Roman"/>
          <w:highlight w:val="none"/>
          <w:lang w:val="en-US" w:eastAsia="zh-CN"/>
        </w:rPr>
        <w:instrText xml:space="preserve"> HYPERLINK "https://wenku.so.com/d/6fc794e9328887852d8b4422ba058bce?src=www_rec&amp;aiwrite_theme=%E3%80%8A%E6%B5%B7%E5%B2%B8%E7%BA%BF%E4%BF%9D%E6%8A%A4%E4%B8%8E%E5%88%A9%E7%94%A8%E7%AE%A1%E7%90%86%E5%8A%9E%E6%B3%95%E3%80%8B(%E5%9B%BD%E6%B5%B7%E5%8F%91%E3%80%942017%E3%80%952%E5%8F%B7" \t "https://www.so.com/_blank" </w:instrText>
      </w:r>
      <w:r>
        <w:rPr>
          <w:rFonts w:hint="default" w:ascii="Times New Roman" w:hAnsi="Times New Roman" w:eastAsia="宋体" w:cs="Times New Roman"/>
          <w:highlight w:val="none"/>
          <w:lang w:val="en-US" w:eastAsia="zh-CN"/>
        </w:rPr>
        <w:fldChar w:fldCharType="separate"/>
      </w:r>
      <w:r>
        <w:rPr>
          <w:rFonts w:hint="default" w:ascii="Times New Roman" w:hAnsi="Times New Roman" w:eastAsia="宋体" w:cs="Times New Roman"/>
          <w:highlight w:val="none"/>
          <w:lang w:val="en-US" w:eastAsia="zh-CN"/>
        </w:rPr>
        <w:t>国海发〔2017〕2号</w:t>
      </w:r>
      <w:r>
        <w:rPr>
          <w:rFonts w:hint="default" w:ascii="Times New Roman" w:hAnsi="Times New Roman" w:eastAsia="宋体" w:cs="Times New Roman"/>
          <w:highlight w:val="none"/>
          <w:lang w:val="en-US" w:eastAsia="zh-CN"/>
        </w:rPr>
        <w:fldChar w:fldCharType="end"/>
      </w:r>
      <w:r>
        <w:rPr>
          <w:rFonts w:hint="eastAsia" w:ascii="Times New Roman" w:hAnsi="Times New Roman" w:eastAsia="宋体" w:cs="Times New Roman"/>
          <w:highlight w:val="none"/>
          <w:lang w:val="en-US" w:eastAsia="zh-CN"/>
        </w:rPr>
        <w:t>）</w:t>
      </w:r>
      <w:r>
        <w:rPr>
          <w:rFonts w:hint="default" w:ascii="Times New Roman" w:hAnsi="Times New Roman" w:eastAsia="宋体" w:cs="Times New Roman"/>
          <w:highlight w:val="none"/>
          <w:lang w:val="en-US" w:eastAsia="zh-CN"/>
        </w:rPr>
        <w:t>，2</w:t>
      </w:r>
      <w:r>
        <w:rPr>
          <w:rFonts w:hint="eastAsia" w:ascii="Times New Roman" w:hAnsi="Times New Roman" w:eastAsia="宋体" w:cs="Times New Roman"/>
          <w:highlight w:val="none"/>
          <w:lang w:val="en-US" w:eastAsia="zh-CN"/>
        </w:rPr>
        <w:t>017</w:t>
      </w:r>
      <w:r>
        <w:rPr>
          <w:rFonts w:hint="default" w:ascii="Times New Roman" w:hAnsi="Times New Roman" w:eastAsia="宋体" w:cs="Times New Roman"/>
          <w:highlight w:val="none"/>
          <w:lang w:val="en-US" w:eastAsia="zh-CN"/>
        </w:rPr>
        <w:t>年3月</w:t>
      </w:r>
    </w:p>
    <w:p w14:paraId="6D3CF6B7">
      <w:pPr>
        <w:pStyle w:val="25"/>
        <w:ind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自然资源部办公厅 财政部办公厅 生态环境部办公厅关于印发《山水林田湖草生态保护修复工程指南（试行）》的通知（自然资办发〔2020〕38号），2020年8月</w:t>
      </w:r>
    </w:p>
    <w:p w14:paraId="6D1CF07D">
      <w:pPr>
        <w:pStyle w:val="25"/>
        <w:ind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自然资源部关于加强国土空间详细规划工作的通知（自然资发〔2023〕43号），2023年3月</w:t>
      </w:r>
    </w:p>
    <w:p w14:paraId="20933CB6">
      <w:pPr>
        <w:pStyle w:val="25"/>
        <w:ind w:firstLine="0" w:firstLineChars="0"/>
        <w:rPr>
          <w:rFonts w:hint="default" w:ascii="Times New Roman" w:hAnsi="Times New Roman" w:eastAsia="宋体" w:cs="Times New Roman"/>
          <w:highlight w:val="none"/>
          <w:lang w:val="en-US" w:eastAsia="zh-CN"/>
        </w:rPr>
      </w:pPr>
    </w:p>
    <w:p w14:paraId="21DFE63D">
      <w:pPr>
        <w:pStyle w:val="25"/>
        <w:widowControl/>
        <w:ind w:firstLine="0" w:firstLineChars="0"/>
        <w:jc w:val="both"/>
        <w:rPr>
          <w:rFonts w:hint="default" w:ascii="Times New Roman" w:hAnsi="Times New Roman" w:eastAsia="宋体" w:cs="Times New Roman"/>
          <w:kern w:val="0"/>
          <w:sz w:val="21"/>
          <w:szCs w:val="20"/>
          <w:highlight w:val="none"/>
          <w:lang w:val="en-US" w:eastAsia="zh-CN"/>
        </w:rPr>
      </w:pPr>
    </w:p>
    <w:p w14:paraId="07886FD2">
      <w:pPr>
        <w:pStyle w:val="25"/>
        <w:widowControl/>
        <w:jc w:val="both"/>
        <w:rPr>
          <w:rFonts w:hint="default" w:ascii="Times New Roman" w:hAnsi="Times New Roman" w:eastAsia="宋体" w:cs="Times New Roman"/>
          <w:kern w:val="0"/>
          <w:sz w:val="21"/>
          <w:szCs w:val="20"/>
          <w:highlight w:val="none"/>
          <w:lang w:val="en-US" w:eastAsia="zh-CN"/>
        </w:rPr>
      </w:pPr>
    </w:p>
    <w:p w14:paraId="57B0D3C6">
      <w:pPr>
        <w:pStyle w:val="25"/>
        <w:rPr>
          <w:rFonts w:hint="eastAsia" w:ascii="宋体" w:hAnsi="Times New Roman" w:eastAsia="宋体" w:cs="Times New Roman"/>
          <w:highlight w:val="none"/>
          <w:lang w:val="en-US" w:eastAsia="zh-CN"/>
        </w:rPr>
      </w:pPr>
    </w:p>
    <w:p w14:paraId="3E388595">
      <w:pPr>
        <w:pStyle w:val="25"/>
        <w:rPr>
          <w:rFonts w:hint="eastAsia" w:ascii="宋体" w:hAnsi="Times New Roman" w:eastAsia="宋体" w:cs="Times New Roman"/>
          <w:highlight w:val="none"/>
          <w:lang w:val="en-US" w:eastAsia="zh-CN"/>
        </w:rPr>
      </w:pPr>
    </w:p>
    <w:p w14:paraId="4E429990">
      <w:pPr>
        <w:pStyle w:val="25"/>
        <w:rPr>
          <w:rFonts w:hint="default" w:ascii="宋体" w:hAnsi="Times New Roman" w:eastAsia="宋体" w:cs="Times New Roman"/>
          <w:highlight w:val="none"/>
          <w:lang w:val="en-US" w:eastAsia="zh-CN"/>
        </w:rPr>
      </w:pPr>
    </w:p>
    <w:p w14:paraId="7D5E53D2">
      <w:pPr>
        <w:pStyle w:val="25"/>
        <w:rPr>
          <w:rFonts w:hint="eastAsia"/>
          <w:highlight w:val="none"/>
        </w:rPr>
      </w:pPr>
    </w:p>
    <w:p w14:paraId="1B4824FC">
      <w:pPr>
        <w:pStyle w:val="132"/>
        <w:framePr w:vAnchor="text" w:hAnchor="page" w:x="4095" w:y="699"/>
        <w:rPr>
          <w:rFonts w:hint="eastAsia"/>
          <w:highlight w:val="none"/>
        </w:rPr>
      </w:pPr>
      <w:r>
        <w:rPr>
          <w:highlight w:val="none"/>
        </w:rPr>
        <w:t>_________________________________</w:t>
      </w:r>
    </w:p>
    <w:p w14:paraId="55C0EF65">
      <w:pPr>
        <w:pStyle w:val="25"/>
        <w:rPr>
          <w:rFonts w:hint="eastAsia"/>
          <w:highlight w:val="none"/>
        </w:rPr>
      </w:pPr>
      <w:r>
        <w:rPr>
          <w:highlight w:val="none"/>
        </w:rPr>
        <w:br w:type="page"/>
      </w:r>
      <w:r>
        <w:rPr>
          <w:rFonts w:hint="eastAsia"/>
          <w:highlight w:val="none"/>
        </w:rPr>
        <w:t>各位专家、从业人员：</w:t>
      </w:r>
    </w:p>
    <w:p w14:paraId="36B77D66">
      <w:pPr>
        <w:pStyle w:val="25"/>
        <w:rPr>
          <w:rFonts w:hint="eastAsia"/>
          <w:highlight w:val="none"/>
        </w:rPr>
      </w:pPr>
      <w:r>
        <w:rPr>
          <w:rFonts w:hint="eastAsia"/>
          <w:highlight w:val="none"/>
        </w:rPr>
        <w:t>《标准名称》（编号）于XXXX年X月X日发布。为进一步提高标准质量，提升标准的适用性，我们将在标准试行过程中继续征求意见。各位专家、从业人员在标准使用中，如发现存在不妥之处，请填写征求意见表，并通过邮件的方式发送给编制单位。</w:t>
      </w:r>
    </w:p>
    <w:p w14:paraId="324B1ECD">
      <w:pPr>
        <w:pStyle w:val="25"/>
        <w:ind w:firstLine="422"/>
        <w:rPr>
          <w:rFonts w:hint="eastAsia" w:ascii="黑体" w:hAnsi="黑体" w:eastAsia="黑体"/>
          <w:b/>
          <w:sz w:val="18"/>
          <w:szCs w:val="18"/>
          <w:highlight w:val="none"/>
        </w:rPr>
      </w:pPr>
      <w:r>
        <w:rPr>
          <w:rFonts w:hint="eastAsia" w:ascii="黑体" w:hAnsi="黑体" w:eastAsia="黑体"/>
          <w:b/>
          <w:highlight w:val="none"/>
        </w:rPr>
        <w:t>联系方式</w:t>
      </w:r>
    </w:p>
    <w:p w14:paraId="4A8356BA">
      <w:pPr>
        <w:pStyle w:val="25"/>
        <w:rPr>
          <w:rFonts w:hint="eastAsia"/>
          <w:highlight w:val="none"/>
        </w:rPr>
      </w:pPr>
      <w:r>
        <w:rPr>
          <w:rFonts w:hint="eastAsia"/>
          <w:highlight w:val="none"/>
        </w:rPr>
        <w:t>联系人：XXX</w:t>
      </w:r>
    </w:p>
    <w:p w14:paraId="4414D3FB">
      <w:pPr>
        <w:pStyle w:val="25"/>
        <w:rPr>
          <w:rFonts w:hint="eastAsia"/>
          <w:highlight w:val="none"/>
        </w:rPr>
      </w:pPr>
      <w:r>
        <w:rPr>
          <w:rFonts w:hint="eastAsia"/>
          <w:highlight w:val="none"/>
        </w:rPr>
        <w:t>电  话：XXXXXXXXXXX</w:t>
      </w:r>
    </w:p>
    <w:p w14:paraId="48E3DBF2">
      <w:pPr>
        <w:pStyle w:val="25"/>
        <w:rPr>
          <w:rFonts w:hint="eastAsia"/>
          <w:highlight w:val="none"/>
        </w:rPr>
      </w:pPr>
      <w:r>
        <w:rPr>
          <w:rFonts w:hint="eastAsia"/>
          <w:highlight w:val="none"/>
        </w:rPr>
        <w:t>邮  箱：XXXXXXXXXXXXX</w:t>
      </w:r>
    </w:p>
    <w:p w14:paraId="0BC626C2">
      <w:pPr>
        <w:pStyle w:val="25"/>
        <w:rPr>
          <w:rFonts w:hint="eastAsia"/>
          <w:highlight w:val="none"/>
        </w:rPr>
      </w:pPr>
    </w:p>
    <w:p w14:paraId="38C3C248">
      <w:pPr>
        <w:pStyle w:val="25"/>
        <w:rPr>
          <w:rFonts w:hint="eastAsia"/>
          <w:highlight w:val="none"/>
        </w:rPr>
      </w:pPr>
    </w:p>
    <w:p w14:paraId="241D17BE">
      <w:pPr>
        <w:pStyle w:val="25"/>
        <w:rPr>
          <w:rFonts w:hint="eastAsia"/>
          <w:highlight w:val="none"/>
        </w:rPr>
      </w:pPr>
    </w:p>
    <w:p w14:paraId="188A6BB1">
      <w:pPr>
        <w:pStyle w:val="25"/>
        <w:jc w:val="center"/>
        <w:rPr>
          <w:rFonts w:hint="eastAsia"/>
          <w:highlight w:val="none"/>
        </w:rPr>
      </w:pPr>
      <w:r>
        <w:rPr>
          <w:rFonts w:hint="eastAsia"/>
          <w:highlight w:val="none"/>
        </w:rPr>
        <w:t>征求意见表</w:t>
      </w:r>
    </w:p>
    <w:tbl>
      <w:tblPr>
        <w:tblStyle w:val="3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92"/>
        <w:gridCol w:w="2393"/>
        <w:gridCol w:w="2393"/>
        <w:gridCol w:w="2393"/>
      </w:tblGrid>
      <w:tr w14:paraId="3EE34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noWrap w:val="0"/>
            <w:vAlign w:val="top"/>
          </w:tcPr>
          <w:p w14:paraId="70DBE034">
            <w:pPr>
              <w:pStyle w:val="25"/>
              <w:ind w:firstLine="0" w:firstLineChars="0"/>
              <w:jc w:val="center"/>
              <w:rPr>
                <w:rFonts w:hint="eastAsia"/>
                <w:szCs w:val="18"/>
                <w:highlight w:val="none"/>
              </w:rPr>
            </w:pPr>
            <w:r>
              <w:rPr>
                <w:rFonts w:hint="eastAsia"/>
                <w:szCs w:val="18"/>
                <w:highlight w:val="none"/>
              </w:rPr>
              <w:t>标准名称</w:t>
            </w:r>
          </w:p>
        </w:tc>
        <w:tc>
          <w:tcPr>
            <w:tcW w:w="7179" w:type="dxa"/>
            <w:gridSpan w:val="3"/>
            <w:noWrap w:val="0"/>
            <w:vAlign w:val="top"/>
          </w:tcPr>
          <w:p w14:paraId="01CE1A37">
            <w:pPr>
              <w:pStyle w:val="25"/>
              <w:ind w:firstLine="0" w:firstLineChars="0"/>
              <w:jc w:val="center"/>
              <w:rPr>
                <w:rFonts w:hint="eastAsia"/>
                <w:szCs w:val="18"/>
                <w:highlight w:val="none"/>
              </w:rPr>
            </w:pPr>
          </w:p>
        </w:tc>
      </w:tr>
      <w:tr w14:paraId="6DA23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noWrap w:val="0"/>
            <w:vAlign w:val="top"/>
          </w:tcPr>
          <w:p w14:paraId="3B839953">
            <w:pPr>
              <w:pStyle w:val="25"/>
              <w:ind w:firstLine="0" w:firstLineChars="0"/>
              <w:jc w:val="center"/>
              <w:rPr>
                <w:rFonts w:hint="eastAsia"/>
                <w:szCs w:val="18"/>
                <w:highlight w:val="none"/>
              </w:rPr>
            </w:pPr>
            <w:r>
              <w:rPr>
                <w:rFonts w:hint="eastAsia"/>
                <w:szCs w:val="18"/>
                <w:highlight w:val="none"/>
              </w:rPr>
              <w:t>专家姓名</w:t>
            </w:r>
          </w:p>
        </w:tc>
        <w:tc>
          <w:tcPr>
            <w:tcW w:w="2393" w:type="dxa"/>
            <w:noWrap w:val="0"/>
            <w:vAlign w:val="top"/>
          </w:tcPr>
          <w:p w14:paraId="75510347">
            <w:pPr>
              <w:pStyle w:val="25"/>
              <w:ind w:firstLine="0" w:firstLineChars="0"/>
              <w:jc w:val="center"/>
              <w:rPr>
                <w:rFonts w:hint="eastAsia"/>
                <w:szCs w:val="18"/>
                <w:highlight w:val="none"/>
              </w:rPr>
            </w:pPr>
          </w:p>
        </w:tc>
        <w:tc>
          <w:tcPr>
            <w:tcW w:w="2393" w:type="dxa"/>
            <w:noWrap w:val="0"/>
            <w:vAlign w:val="top"/>
          </w:tcPr>
          <w:p w14:paraId="6CF1D1BB">
            <w:pPr>
              <w:pStyle w:val="25"/>
              <w:ind w:firstLine="0" w:firstLineChars="0"/>
              <w:jc w:val="center"/>
              <w:rPr>
                <w:rFonts w:hint="eastAsia"/>
                <w:szCs w:val="18"/>
                <w:highlight w:val="none"/>
              </w:rPr>
            </w:pPr>
            <w:r>
              <w:rPr>
                <w:rFonts w:hint="eastAsia"/>
                <w:szCs w:val="18"/>
                <w:highlight w:val="none"/>
              </w:rPr>
              <w:t>所在单位</w:t>
            </w:r>
          </w:p>
        </w:tc>
        <w:tc>
          <w:tcPr>
            <w:tcW w:w="2393" w:type="dxa"/>
            <w:noWrap w:val="0"/>
            <w:vAlign w:val="top"/>
          </w:tcPr>
          <w:p w14:paraId="339BB8A0">
            <w:pPr>
              <w:pStyle w:val="25"/>
              <w:ind w:firstLine="0" w:firstLineChars="0"/>
              <w:jc w:val="center"/>
              <w:rPr>
                <w:rFonts w:hint="eastAsia"/>
                <w:szCs w:val="18"/>
                <w:highlight w:val="none"/>
              </w:rPr>
            </w:pPr>
          </w:p>
        </w:tc>
      </w:tr>
      <w:tr w14:paraId="6C8D4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noWrap w:val="0"/>
            <w:vAlign w:val="top"/>
          </w:tcPr>
          <w:p w14:paraId="7EC68127">
            <w:pPr>
              <w:pStyle w:val="25"/>
              <w:ind w:firstLine="0" w:firstLineChars="0"/>
              <w:jc w:val="center"/>
              <w:rPr>
                <w:rFonts w:hint="eastAsia"/>
                <w:szCs w:val="18"/>
                <w:highlight w:val="none"/>
              </w:rPr>
            </w:pPr>
            <w:r>
              <w:rPr>
                <w:rFonts w:hint="eastAsia"/>
                <w:szCs w:val="18"/>
                <w:highlight w:val="none"/>
              </w:rPr>
              <w:t>职称/职务</w:t>
            </w:r>
          </w:p>
        </w:tc>
        <w:tc>
          <w:tcPr>
            <w:tcW w:w="2393" w:type="dxa"/>
            <w:noWrap w:val="0"/>
            <w:vAlign w:val="top"/>
          </w:tcPr>
          <w:p w14:paraId="38CAA8A1">
            <w:pPr>
              <w:pStyle w:val="25"/>
              <w:ind w:firstLine="0" w:firstLineChars="0"/>
              <w:jc w:val="center"/>
              <w:rPr>
                <w:rFonts w:hint="eastAsia"/>
                <w:szCs w:val="18"/>
                <w:highlight w:val="none"/>
              </w:rPr>
            </w:pPr>
          </w:p>
        </w:tc>
        <w:tc>
          <w:tcPr>
            <w:tcW w:w="2393" w:type="dxa"/>
            <w:noWrap w:val="0"/>
            <w:vAlign w:val="top"/>
          </w:tcPr>
          <w:p w14:paraId="74227EA1">
            <w:pPr>
              <w:pStyle w:val="25"/>
              <w:ind w:firstLine="0" w:firstLineChars="0"/>
              <w:jc w:val="center"/>
              <w:rPr>
                <w:rFonts w:hint="eastAsia"/>
                <w:szCs w:val="18"/>
                <w:highlight w:val="none"/>
              </w:rPr>
            </w:pPr>
            <w:r>
              <w:rPr>
                <w:rFonts w:hint="eastAsia"/>
                <w:szCs w:val="18"/>
                <w:highlight w:val="none"/>
              </w:rPr>
              <w:t>联系方式</w:t>
            </w:r>
          </w:p>
        </w:tc>
        <w:tc>
          <w:tcPr>
            <w:tcW w:w="2393" w:type="dxa"/>
            <w:noWrap w:val="0"/>
            <w:vAlign w:val="top"/>
          </w:tcPr>
          <w:p w14:paraId="02FBCF46">
            <w:pPr>
              <w:pStyle w:val="25"/>
              <w:ind w:firstLine="0" w:firstLineChars="0"/>
              <w:jc w:val="center"/>
              <w:rPr>
                <w:rFonts w:hint="eastAsia"/>
                <w:szCs w:val="18"/>
                <w:highlight w:val="none"/>
              </w:rPr>
            </w:pPr>
          </w:p>
        </w:tc>
      </w:tr>
      <w:tr w14:paraId="0CEF8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noWrap w:val="0"/>
            <w:vAlign w:val="top"/>
          </w:tcPr>
          <w:p w14:paraId="092EAF9A">
            <w:pPr>
              <w:pStyle w:val="25"/>
              <w:ind w:firstLine="0" w:firstLineChars="0"/>
              <w:jc w:val="center"/>
              <w:rPr>
                <w:rFonts w:hint="eastAsia"/>
                <w:szCs w:val="18"/>
                <w:highlight w:val="none"/>
              </w:rPr>
            </w:pPr>
            <w:r>
              <w:rPr>
                <w:rFonts w:hint="eastAsia"/>
                <w:szCs w:val="18"/>
                <w:highlight w:val="none"/>
              </w:rPr>
              <w:t>序号</w:t>
            </w:r>
          </w:p>
        </w:tc>
        <w:tc>
          <w:tcPr>
            <w:tcW w:w="2393" w:type="dxa"/>
            <w:noWrap w:val="0"/>
            <w:vAlign w:val="top"/>
          </w:tcPr>
          <w:p w14:paraId="07F954D3">
            <w:pPr>
              <w:pStyle w:val="25"/>
              <w:ind w:firstLine="0" w:firstLineChars="0"/>
              <w:jc w:val="center"/>
              <w:rPr>
                <w:rFonts w:hint="eastAsia"/>
                <w:szCs w:val="18"/>
                <w:highlight w:val="none"/>
              </w:rPr>
            </w:pPr>
            <w:r>
              <w:rPr>
                <w:rFonts w:hint="eastAsia"/>
                <w:szCs w:val="18"/>
                <w:highlight w:val="none"/>
              </w:rPr>
              <w:t>章节</w:t>
            </w:r>
          </w:p>
        </w:tc>
        <w:tc>
          <w:tcPr>
            <w:tcW w:w="2393" w:type="dxa"/>
            <w:noWrap w:val="0"/>
            <w:vAlign w:val="top"/>
          </w:tcPr>
          <w:p w14:paraId="1C0E99AF">
            <w:pPr>
              <w:pStyle w:val="25"/>
              <w:ind w:firstLine="0" w:firstLineChars="0"/>
              <w:jc w:val="center"/>
              <w:rPr>
                <w:rFonts w:hint="eastAsia"/>
                <w:szCs w:val="18"/>
                <w:highlight w:val="none"/>
              </w:rPr>
            </w:pPr>
            <w:r>
              <w:rPr>
                <w:rFonts w:hint="eastAsia"/>
                <w:szCs w:val="18"/>
                <w:highlight w:val="none"/>
              </w:rPr>
              <w:t>意见内容</w:t>
            </w:r>
          </w:p>
        </w:tc>
        <w:tc>
          <w:tcPr>
            <w:tcW w:w="2393" w:type="dxa"/>
            <w:noWrap w:val="0"/>
            <w:vAlign w:val="top"/>
          </w:tcPr>
          <w:p w14:paraId="7C6DAD2C">
            <w:pPr>
              <w:pStyle w:val="25"/>
              <w:ind w:firstLine="0" w:firstLineChars="0"/>
              <w:jc w:val="center"/>
              <w:rPr>
                <w:rFonts w:hint="eastAsia"/>
                <w:szCs w:val="18"/>
                <w:highlight w:val="none"/>
              </w:rPr>
            </w:pPr>
            <w:r>
              <w:rPr>
                <w:rFonts w:hint="eastAsia"/>
                <w:szCs w:val="18"/>
                <w:highlight w:val="none"/>
              </w:rPr>
              <w:t>修改建议</w:t>
            </w:r>
          </w:p>
        </w:tc>
      </w:tr>
      <w:tr w14:paraId="01463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noWrap w:val="0"/>
            <w:vAlign w:val="top"/>
          </w:tcPr>
          <w:p w14:paraId="4D885293">
            <w:pPr>
              <w:pStyle w:val="25"/>
              <w:ind w:firstLine="0" w:firstLineChars="0"/>
              <w:jc w:val="center"/>
              <w:rPr>
                <w:rFonts w:hint="eastAsia"/>
                <w:szCs w:val="18"/>
                <w:highlight w:val="none"/>
              </w:rPr>
            </w:pPr>
            <w:r>
              <w:rPr>
                <w:rFonts w:hint="eastAsia"/>
                <w:szCs w:val="18"/>
                <w:highlight w:val="none"/>
              </w:rPr>
              <w:t>1</w:t>
            </w:r>
          </w:p>
        </w:tc>
        <w:tc>
          <w:tcPr>
            <w:tcW w:w="2393" w:type="dxa"/>
            <w:noWrap w:val="0"/>
            <w:vAlign w:val="top"/>
          </w:tcPr>
          <w:p w14:paraId="6876F95C">
            <w:pPr>
              <w:pStyle w:val="25"/>
              <w:ind w:firstLine="0" w:firstLineChars="0"/>
              <w:jc w:val="center"/>
              <w:rPr>
                <w:rFonts w:hint="eastAsia"/>
                <w:szCs w:val="18"/>
                <w:highlight w:val="none"/>
              </w:rPr>
            </w:pPr>
          </w:p>
        </w:tc>
        <w:tc>
          <w:tcPr>
            <w:tcW w:w="2393" w:type="dxa"/>
            <w:noWrap w:val="0"/>
            <w:vAlign w:val="top"/>
          </w:tcPr>
          <w:p w14:paraId="1B3FD87C">
            <w:pPr>
              <w:pStyle w:val="25"/>
              <w:ind w:firstLine="0" w:firstLineChars="0"/>
              <w:jc w:val="center"/>
              <w:rPr>
                <w:rFonts w:hint="eastAsia"/>
                <w:szCs w:val="18"/>
                <w:highlight w:val="none"/>
              </w:rPr>
            </w:pPr>
          </w:p>
        </w:tc>
        <w:tc>
          <w:tcPr>
            <w:tcW w:w="2393" w:type="dxa"/>
            <w:noWrap w:val="0"/>
            <w:vAlign w:val="top"/>
          </w:tcPr>
          <w:p w14:paraId="30C904B4">
            <w:pPr>
              <w:pStyle w:val="25"/>
              <w:ind w:firstLine="0" w:firstLineChars="0"/>
              <w:jc w:val="center"/>
              <w:rPr>
                <w:rFonts w:hint="eastAsia"/>
                <w:szCs w:val="18"/>
                <w:highlight w:val="none"/>
              </w:rPr>
            </w:pPr>
          </w:p>
        </w:tc>
      </w:tr>
      <w:tr w14:paraId="44097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noWrap w:val="0"/>
            <w:vAlign w:val="top"/>
          </w:tcPr>
          <w:p w14:paraId="60E6F609">
            <w:pPr>
              <w:pStyle w:val="25"/>
              <w:ind w:firstLine="0" w:firstLineChars="0"/>
              <w:jc w:val="center"/>
              <w:rPr>
                <w:rFonts w:hint="eastAsia"/>
                <w:szCs w:val="18"/>
                <w:highlight w:val="none"/>
              </w:rPr>
            </w:pPr>
            <w:r>
              <w:rPr>
                <w:rFonts w:hint="eastAsia"/>
                <w:szCs w:val="18"/>
                <w:highlight w:val="none"/>
              </w:rPr>
              <w:t>2</w:t>
            </w:r>
          </w:p>
        </w:tc>
        <w:tc>
          <w:tcPr>
            <w:tcW w:w="2393" w:type="dxa"/>
            <w:noWrap w:val="0"/>
            <w:vAlign w:val="top"/>
          </w:tcPr>
          <w:p w14:paraId="21856AFC">
            <w:pPr>
              <w:pStyle w:val="25"/>
              <w:ind w:firstLine="0" w:firstLineChars="0"/>
              <w:jc w:val="center"/>
              <w:rPr>
                <w:rFonts w:hint="eastAsia"/>
                <w:szCs w:val="18"/>
                <w:highlight w:val="none"/>
              </w:rPr>
            </w:pPr>
          </w:p>
        </w:tc>
        <w:tc>
          <w:tcPr>
            <w:tcW w:w="2393" w:type="dxa"/>
            <w:noWrap w:val="0"/>
            <w:vAlign w:val="top"/>
          </w:tcPr>
          <w:p w14:paraId="20A27072">
            <w:pPr>
              <w:pStyle w:val="25"/>
              <w:ind w:firstLine="0" w:firstLineChars="0"/>
              <w:jc w:val="center"/>
              <w:rPr>
                <w:rFonts w:hint="eastAsia"/>
                <w:szCs w:val="18"/>
                <w:highlight w:val="none"/>
              </w:rPr>
            </w:pPr>
          </w:p>
        </w:tc>
        <w:tc>
          <w:tcPr>
            <w:tcW w:w="2393" w:type="dxa"/>
            <w:noWrap w:val="0"/>
            <w:vAlign w:val="top"/>
          </w:tcPr>
          <w:p w14:paraId="15850C83">
            <w:pPr>
              <w:pStyle w:val="25"/>
              <w:ind w:firstLine="0" w:firstLineChars="0"/>
              <w:jc w:val="center"/>
              <w:rPr>
                <w:rFonts w:hint="eastAsia"/>
                <w:szCs w:val="18"/>
                <w:highlight w:val="none"/>
              </w:rPr>
            </w:pPr>
          </w:p>
        </w:tc>
      </w:tr>
      <w:tr w14:paraId="6E942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noWrap w:val="0"/>
            <w:vAlign w:val="top"/>
          </w:tcPr>
          <w:p w14:paraId="5EA1B4F9">
            <w:pPr>
              <w:pStyle w:val="25"/>
              <w:ind w:firstLine="0" w:firstLineChars="0"/>
              <w:jc w:val="center"/>
              <w:rPr>
                <w:rFonts w:hint="eastAsia"/>
                <w:szCs w:val="18"/>
                <w:highlight w:val="none"/>
              </w:rPr>
            </w:pPr>
            <w:r>
              <w:rPr>
                <w:rFonts w:hint="eastAsia"/>
                <w:szCs w:val="18"/>
                <w:highlight w:val="none"/>
              </w:rPr>
              <w:t>…</w:t>
            </w:r>
          </w:p>
        </w:tc>
        <w:tc>
          <w:tcPr>
            <w:tcW w:w="2393" w:type="dxa"/>
            <w:noWrap w:val="0"/>
            <w:vAlign w:val="top"/>
          </w:tcPr>
          <w:p w14:paraId="211CBC93">
            <w:pPr>
              <w:pStyle w:val="25"/>
              <w:ind w:firstLine="0" w:firstLineChars="0"/>
              <w:jc w:val="center"/>
              <w:rPr>
                <w:rFonts w:hint="eastAsia"/>
                <w:szCs w:val="18"/>
                <w:highlight w:val="none"/>
              </w:rPr>
            </w:pPr>
          </w:p>
        </w:tc>
        <w:tc>
          <w:tcPr>
            <w:tcW w:w="2393" w:type="dxa"/>
            <w:noWrap w:val="0"/>
            <w:vAlign w:val="top"/>
          </w:tcPr>
          <w:p w14:paraId="1D85C902">
            <w:pPr>
              <w:pStyle w:val="25"/>
              <w:ind w:firstLine="0" w:firstLineChars="0"/>
              <w:jc w:val="center"/>
              <w:rPr>
                <w:rFonts w:hint="eastAsia"/>
                <w:szCs w:val="18"/>
                <w:highlight w:val="none"/>
              </w:rPr>
            </w:pPr>
          </w:p>
        </w:tc>
        <w:tc>
          <w:tcPr>
            <w:tcW w:w="2393" w:type="dxa"/>
            <w:noWrap w:val="0"/>
            <w:vAlign w:val="top"/>
          </w:tcPr>
          <w:p w14:paraId="567D66F0">
            <w:pPr>
              <w:pStyle w:val="25"/>
              <w:ind w:firstLine="0" w:firstLineChars="0"/>
              <w:jc w:val="center"/>
              <w:rPr>
                <w:rFonts w:hint="eastAsia"/>
                <w:szCs w:val="18"/>
                <w:highlight w:val="none"/>
              </w:rPr>
            </w:pPr>
          </w:p>
        </w:tc>
      </w:tr>
    </w:tbl>
    <w:p w14:paraId="4C75E661">
      <w:pPr>
        <w:pStyle w:val="25"/>
        <w:jc w:val="center"/>
        <w:rPr>
          <w:rFonts w:hint="eastAsia"/>
          <w:highlight w:val="none"/>
        </w:rPr>
      </w:pPr>
    </w:p>
    <w:p w14:paraId="2E0087DC">
      <w:pPr>
        <w:pStyle w:val="132"/>
        <w:framePr w:hSpace="0" w:vSpace="0" w:wrap="auto" w:vAnchor="margin" w:hAnchor="text" w:xAlign="left" w:yAlign="inline"/>
        <w:rPr>
          <w:highlight w:val="none"/>
        </w:rPr>
      </w:pPr>
    </w:p>
    <w:sectPr>
      <w:pgSz w:w="11906" w:h="16838"/>
      <w:pgMar w:top="567" w:right="1134" w:bottom="1134" w:left="1417" w:header="1418" w:footer="1134" w:gutter="0"/>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8D006">
    <w:pPr>
      <w:pStyle w:val="117"/>
    </w:pPr>
    <w:r>
      <w:fldChar w:fldCharType="begin"/>
    </w:r>
    <w:r>
      <w:instrText xml:space="preserve"> PAGE   \* MERGEFORMAT </w:instrText>
    </w:r>
    <w:r>
      <w:fldChar w:fldCharType="separate"/>
    </w:r>
    <w:r>
      <w:rPr>
        <w:lang w:val="zh-CN"/>
      </w:rPr>
      <w:t>II</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16D6E">
    <w:pPr>
      <w:pStyle w:val="111"/>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EEFA6">
    <w:pPr>
      <w:pStyle w:val="11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8D1FB">
    <w:pPr>
      <w:pStyle w:val="111"/>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629CF">
    <w:pPr>
      <w:pStyle w:val="117"/>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2291A">
    <w:pPr>
      <w:pStyle w:val="111"/>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AD104">
    <w:pPr>
      <w:pStyle w:val="117"/>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50BBB">
    <w:pPr>
      <w:pStyle w:val="111"/>
    </w:pPr>
    <w:r>
      <w:fldChar w:fldCharType="begin"/>
    </w:r>
    <w:r>
      <w:instrText xml:space="preserve"> PAGE   \* MERGEFORMAT </w:instrText>
    </w:r>
    <w:r>
      <w:fldChar w:fldCharType="separate"/>
    </w:r>
    <w:r>
      <w:rPr>
        <w:lang w:val="zh-CN"/>
      </w:rPr>
      <w:t>1</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31F20">
    <w:pPr>
      <w:pStyle w:val="117"/>
    </w:pPr>
    <w:r>
      <w:fldChar w:fldCharType="begin"/>
    </w:r>
    <w:r>
      <w:instrText xml:space="preserve"> PAGE   \* MERGEFORMAT </w:instrText>
    </w:r>
    <w:r>
      <w:fldChar w:fldCharType="separate"/>
    </w:r>
    <w:r>
      <w:rPr>
        <w:lang w:val="zh-CN"/>
      </w:rP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119F5">
    <w:pPr>
      <w:pStyle w:val="111"/>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1739E">
    <w:pPr>
      <w:pStyle w:val="1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DC7F9">
    <w:pPr>
      <w:pStyle w:val="111"/>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AE3AF">
    <w:pPr>
      <w:pStyle w:val="11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74DB7">
    <w:pPr>
      <w:pStyle w:val="111"/>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E51AE">
    <w:pPr>
      <w:pStyle w:val="11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714BA">
    <w:pPr>
      <w:pStyle w:val="111"/>
    </w:pPr>
    <w:r>
      <w:fldChar w:fldCharType="begin"/>
    </w:r>
    <w:r>
      <w:instrText xml:space="preserve"> PAGE   \* MERGEFORMAT </w:instrText>
    </w:r>
    <w:r>
      <w:fldChar w:fldCharType="separate"/>
    </w:r>
    <w:r>
      <w:rPr>
        <w:lang w:val="zh-CN"/>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E5129">
    <w:pPr>
      <w:pStyle w:val="117"/>
    </w:pPr>
    <w:r>
      <w:fldChar w:fldCharType="begin"/>
    </w:r>
    <w:r>
      <w:instrText xml:space="preserve"> PAGE   \* MERGEFORMAT </w:instrText>
    </w:r>
    <w:r>
      <w:fldChar w:fldCharType="separate"/>
    </w:r>
    <w:r>
      <w:rPr>
        <w:lang w:val="zh-CN"/>
      </w:rPr>
      <w:t>II</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99A80">
    <w:pPr>
      <w:pStyle w:val="25"/>
      <w:wordWrap w:val="0"/>
      <w:ind w:firstLine="0" w:firstLineChars="0"/>
      <w:jc w:val="both"/>
      <w:rPr>
        <w:rFonts w:hint="eastAsia" w:eastAsia="宋体"/>
        <w:lang w:val="en-US" w:eastAsia="zh-CN"/>
      </w:rPr>
    </w:pPr>
    <w:r>
      <w:rPr>
        <w:rFonts w:ascii="宋体" w:hAnsi="Times New Roman" w:eastAsia="宋体" w:cs="Times New Roman"/>
      </w:rPr>
      <w:t>T/</w:t>
    </w:r>
    <w:r>
      <w:rPr>
        <w:rFonts w:hint="eastAsia" w:ascii="宋体" w:hAnsi="Times New Roman" w:eastAsia="宋体" w:cs="Times New Roman"/>
      </w:rPr>
      <w:t>CAGHPER 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1FB2F">
    <w:pPr>
      <w:pStyle w:val="25"/>
      <w:wordWrap w:val="0"/>
      <w:ind w:firstLine="0" w:firstLineChars="0"/>
      <w:jc w:val="right"/>
      <w:rPr>
        <w:rFonts w:hint="eastAsia" w:ascii="宋体" w:hAnsi="Times New Roman" w:eastAsia="宋体" w:cs="Times New Roman"/>
      </w:rPr>
    </w:pPr>
    <w:r>
      <w:rPr>
        <w:rFonts w:ascii="宋体" w:hAnsi="Times New Roman" w:eastAsia="宋体" w:cs="Times New Roman"/>
      </w:rPr>
      <w:t>T/</w:t>
    </w:r>
    <w:r>
      <w:rPr>
        <w:rFonts w:hint="eastAsia" w:ascii="宋体" w:hAnsi="Times New Roman" w:eastAsia="宋体" w:cs="Times New Roman"/>
      </w:rPr>
      <w:t>CAGHPER XXX—XXXX</w:t>
    </w:r>
  </w:p>
  <w:p w14:paraId="79B8F1EF">
    <w:pPr>
      <w:pStyle w:val="25"/>
      <w:wordWrap w:val="0"/>
      <w:ind w:firstLine="0" w:firstLineChars="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87"/>
      <w:suff w:val="nothing"/>
      <w:lvlText w:val="注%1："/>
      <w:lvlJc w:val="left"/>
      <w:pPr>
        <w:ind w:left="811" w:hanging="448"/>
      </w:pPr>
      <w:rPr>
        <w:rFonts w:hint="eastAsia" w:ascii="黑体" w:hAns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51"/>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03"/>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33"/>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129"/>
      <w:suff w:val="nothing"/>
      <w:lvlText w:val="注%1："/>
      <w:lvlJc w:val="left"/>
      <w:pPr>
        <w:ind w:left="811" w:hanging="448"/>
      </w:pPr>
      <w:rPr>
        <w:rFonts w:hint="eastAsia" w:ascii="黑体" w:hAnsi="黑体" w:eastAsia="黑体"/>
        <w:b w:val="0"/>
        <w:i w:val="0"/>
        <w:sz w:val="18"/>
        <w:szCs w:val="18"/>
        <w:vertAlign w:val="baseline"/>
      </w:rPr>
    </w:lvl>
    <w:lvl w:ilvl="1" w:tentative="0">
      <w:start w:val="1"/>
      <w:numFmt w:val="lowerLetter"/>
      <w:lvlText w:val="%2)"/>
      <w:lvlJc w:val="left"/>
      <w:pPr>
        <w:tabs>
          <w:tab w:val="left" w:pos="181"/>
        </w:tabs>
        <w:ind w:left="1174" w:hanging="630"/>
      </w:pPr>
      <w:rPr>
        <w:rFonts w:hint="eastAsia"/>
        <w:vertAlign w:val="baseline"/>
      </w:rPr>
    </w:lvl>
    <w:lvl w:ilvl="2" w:tentative="0">
      <w:start w:val="1"/>
      <w:numFmt w:val="lowerRoman"/>
      <w:lvlText w:val="%3."/>
      <w:lvlJc w:val="right"/>
      <w:pPr>
        <w:tabs>
          <w:tab w:val="left" w:pos="181"/>
        </w:tabs>
        <w:ind w:left="1174" w:hanging="630"/>
      </w:pPr>
      <w:rPr>
        <w:rFonts w:hint="eastAsia"/>
        <w:vertAlign w:val="baseline"/>
      </w:rPr>
    </w:lvl>
    <w:lvl w:ilvl="3" w:tentative="0">
      <w:start w:val="1"/>
      <w:numFmt w:val="decimal"/>
      <w:lvlText w:val="%4."/>
      <w:lvlJc w:val="left"/>
      <w:pPr>
        <w:tabs>
          <w:tab w:val="left" w:pos="181"/>
        </w:tabs>
        <w:ind w:left="1174" w:hanging="630"/>
      </w:pPr>
      <w:rPr>
        <w:rFonts w:hint="eastAsia"/>
        <w:vertAlign w:val="baseline"/>
      </w:rPr>
    </w:lvl>
    <w:lvl w:ilvl="4" w:tentative="0">
      <w:start w:val="1"/>
      <w:numFmt w:val="lowerLetter"/>
      <w:lvlText w:val="%5)"/>
      <w:lvlJc w:val="left"/>
      <w:pPr>
        <w:tabs>
          <w:tab w:val="left" w:pos="181"/>
        </w:tabs>
        <w:ind w:left="1174" w:hanging="630"/>
      </w:pPr>
      <w:rPr>
        <w:rFonts w:hint="eastAsia"/>
        <w:vertAlign w:val="baseline"/>
      </w:rPr>
    </w:lvl>
    <w:lvl w:ilvl="5" w:tentative="0">
      <w:start w:val="1"/>
      <w:numFmt w:val="lowerRoman"/>
      <w:lvlText w:val="%6."/>
      <w:lvlJc w:val="right"/>
      <w:pPr>
        <w:tabs>
          <w:tab w:val="left" w:pos="181"/>
        </w:tabs>
        <w:ind w:left="1174" w:hanging="630"/>
      </w:pPr>
      <w:rPr>
        <w:rFonts w:hint="eastAsia"/>
        <w:vertAlign w:val="baseline"/>
      </w:rPr>
    </w:lvl>
    <w:lvl w:ilvl="6" w:tentative="0">
      <w:start w:val="1"/>
      <w:numFmt w:val="decimal"/>
      <w:lvlText w:val="%7."/>
      <w:lvlJc w:val="left"/>
      <w:pPr>
        <w:tabs>
          <w:tab w:val="left" w:pos="181"/>
        </w:tabs>
        <w:ind w:left="1174" w:hanging="630"/>
      </w:pPr>
      <w:rPr>
        <w:rFonts w:hint="eastAsia"/>
        <w:vertAlign w:val="baseline"/>
      </w:rPr>
    </w:lvl>
    <w:lvl w:ilvl="7" w:tentative="0">
      <w:start w:val="1"/>
      <w:numFmt w:val="lowerLetter"/>
      <w:lvlText w:val="%8)"/>
      <w:lvlJc w:val="left"/>
      <w:pPr>
        <w:tabs>
          <w:tab w:val="left" w:pos="181"/>
        </w:tabs>
        <w:ind w:left="1174" w:hanging="630"/>
      </w:pPr>
      <w:rPr>
        <w:rFonts w:hint="eastAsia"/>
        <w:vertAlign w:val="baseline"/>
      </w:rPr>
    </w:lvl>
    <w:lvl w:ilvl="8" w:tentative="0">
      <w:start w:val="1"/>
      <w:numFmt w:val="lowerRoman"/>
      <w:lvlText w:val="%9."/>
      <w:lvlJc w:val="right"/>
      <w:pPr>
        <w:tabs>
          <w:tab w:val="left" w:pos="181"/>
        </w:tabs>
        <w:ind w:left="1174" w:hanging="630"/>
      </w:pPr>
      <w:rPr>
        <w:rFonts w:hint="eastAsia"/>
        <w:vertAlign w:val="baseline"/>
      </w:rPr>
    </w:lvl>
  </w:abstractNum>
  <w:abstractNum w:abstractNumId="5">
    <w:nsid w:val="1FC91163"/>
    <w:multiLevelType w:val="multilevel"/>
    <w:tmpl w:val="1FC91163"/>
    <w:lvl w:ilvl="0" w:tentative="0">
      <w:start w:val="1"/>
      <w:numFmt w:val="decimal"/>
      <w:pStyle w:val="80"/>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2"/>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61"/>
      <w:suff w:val="nothing"/>
      <w:lvlText w:val="%1.%2.%3　"/>
      <w:lvlJc w:val="left"/>
      <w:pPr>
        <w:ind w:left="0" w:firstLine="0"/>
      </w:pPr>
      <w:rPr>
        <w:rFonts w:hint="eastAsia" w:ascii="黑体" w:hAnsi="Times New Roman" w:eastAsia="黑体"/>
        <w:b w:val="0"/>
        <w:i w:val="0"/>
        <w:sz w:val="21"/>
      </w:rPr>
    </w:lvl>
    <w:lvl w:ilvl="3" w:tentative="0">
      <w:start w:val="1"/>
      <w:numFmt w:val="decimal"/>
      <w:pStyle w:val="77"/>
      <w:suff w:val="nothing"/>
      <w:lvlText w:val="%1.%2.%3.%4　"/>
      <w:lvlJc w:val="left"/>
      <w:pPr>
        <w:ind w:left="0" w:firstLine="0"/>
      </w:pPr>
      <w:rPr>
        <w:rFonts w:hint="eastAsia" w:ascii="黑体" w:hAnsi="Times New Roman" w:eastAsia="黑体"/>
        <w:b w:val="0"/>
        <w:i w:val="0"/>
        <w:sz w:val="21"/>
      </w:rPr>
    </w:lvl>
    <w:lvl w:ilvl="4" w:tentative="0">
      <w:start w:val="1"/>
      <w:numFmt w:val="decimal"/>
      <w:pStyle w:val="76"/>
      <w:suff w:val="nothing"/>
      <w:lvlText w:val="%1.%2.%3.%4.%5　"/>
      <w:lvlJc w:val="left"/>
      <w:pPr>
        <w:ind w:left="0" w:firstLine="0"/>
      </w:pPr>
      <w:rPr>
        <w:rFonts w:hint="eastAsia" w:ascii="黑体" w:hAnsi="Times New Roman" w:eastAsia="黑体"/>
        <w:b w:val="0"/>
        <w:i w:val="0"/>
        <w:sz w:val="21"/>
      </w:rPr>
    </w:lvl>
    <w:lvl w:ilvl="5" w:tentative="0">
      <w:start w:val="1"/>
      <w:numFmt w:val="decimal"/>
      <w:pStyle w:val="82"/>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119"/>
      <w:suff w:val="space"/>
      <w:lvlText w:val="%1"/>
      <w:lvlJc w:val="left"/>
      <w:pPr>
        <w:ind w:left="623" w:hanging="425"/>
      </w:pPr>
      <w:rPr>
        <w:rFonts w:hint="eastAsia"/>
      </w:rPr>
    </w:lvl>
    <w:lvl w:ilvl="1" w:tentative="0">
      <w:start w:val="1"/>
      <w:numFmt w:val="decimal"/>
      <w:pStyle w:val="101"/>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126"/>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10"/>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100"/>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35"/>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31"/>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0">
    <w:nsid w:val="4B733A5F"/>
    <w:multiLevelType w:val="multilevel"/>
    <w:tmpl w:val="4B733A5F"/>
    <w:lvl w:ilvl="0" w:tentative="0">
      <w:start w:val="1"/>
      <w:numFmt w:val="decimal"/>
      <w:pStyle w:val="79"/>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95"/>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84"/>
      <w:lvlText w:val="%1"/>
      <w:lvlJc w:val="left"/>
      <w:pPr>
        <w:tabs>
          <w:tab w:val="left" w:pos="0"/>
        </w:tabs>
        <w:ind w:left="0" w:hanging="425"/>
      </w:pPr>
      <w:rPr>
        <w:rFonts w:hint="eastAsia"/>
      </w:rPr>
    </w:lvl>
    <w:lvl w:ilvl="1" w:tentative="0">
      <w:start w:val="1"/>
      <w:numFmt w:val="decimal"/>
      <w:pStyle w:val="88"/>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102"/>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tentative="0">
      <w:start w:val="1"/>
      <w:numFmt w:val="upperLetter"/>
      <w:pStyle w:val="14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7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9"/>
      <w:suff w:val="nothing"/>
      <w:lvlText w:val="%1.%2.%3　"/>
      <w:lvlJc w:val="left"/>
      <w:pPr>
        <w:ind w:left="0" w:firstLine="0"/>
      </w:pPr>
      <w:rPr>
        <w:rFonts w:hint="eastAsia" w:ascii="黑体" w:hAnsi="Times New Roman" w:eastAsia="黑体"/>
        <w:b w:val="0"/>
        <w:i w:val="0"/>
        <w:sz w:val="21"/>
      </w:rPr>
    </w:lvl>
    <w:lvl w:ilvl="3" w:tentative="0">
      <w:start w:val="1"/>
      <w:numFmt w:val="decimal"/>
      <w:pStyle w:val="75"/>
      <w:suff w:val="nothing"/>
      <w:lvlText w:val="%1.%2.%3.%4　"/>
      <w:lvlJc w:val="left"/>
      <w:pPr>
        <w:ind w:left="0" w:firstLine="0"/>
      </w:pPr>
      <w:rPr>
        <w:rFonts w:hint="eastAsia" w:ascii="黑体" w:hAnsi="Times New Roman" w:eastAsia="黑体"/>
        <w:b w:val="0"/>
        <w:i w:val="0"/>
        <w:sz w:val="21"/>
      </w:rPr>
    </w:lvl>
    <w:lvl w:ilvl="4" w:tentative="0">
      <w:start w:val="1"/>
      <w:numFmt w:val="decimal"/>
      <w:pStyle w:val="74"/>
      <w:suff w:val="nothing"/>
      <w:lvlText w:val="%1.%2.%3.%4.%5　"/>
      <w:lvlJc w:val="left"/>
      <w:pPr>
        <w:ind w:left="0" w:firstLine="0"/>
      </w:pPr>
      <w:rPr>
        <w:rFonts w:hint="eastAsia" w:ascii="黑体" w:hAnsi="Times New Roman" w:eastAsia="黑体"/>
        <w:b w:val="0"/>
        <w:i w:val="0"/>
        <w:sz w:val="21"/>
      </w:rPr>
    </w:lvl>
    <w:lvl w:ilvl="5" w:tentative="0">
      <w:start w:val="1"/>
      <w:numFmt w:val="decimal"/>
      <w:pStyle w:val="107"/>
      <w:suff w:val="nothing"/>
      <w:lvlText w:val="%1.%2.%3.%4.%5.%6　"/>
      <w:lvlJc w:val="left"/>
      <w:pPr>
        <w:ind w:left="0" w:firstLine="0"/>
      </w:pPr>
      <w:rPr>
        <w:rFonts w:hint="eastAsia" w:ascii="黑体" w:hAnsi="Times New Roman" w:eastAsia="黑体"/>
        <w:b w:val="0"/>
        <w:i w:val="0"/>
        <w:sz w:val="21"/>
      </w:rPr>
    </w:lvl>
    <w:lvl w:ilvl="6" w:tentative="0">
      <w:start w:val="1"/>
      <w:numFmt w:val="decimal"/>
      <w:pStyle w:val="11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D6C07CD"/>
    <w:multiLevelType w:val="multilevel"/>
    <w:tmpl w:val="6D6C07CD"/>
    <w:lvl w:ilvl="0" w:tentative="0">
      <w:start w:val="1"/>
      <w:numFmt w:val="lowerLetter"/>
      <w:pStyle w:val="114"/>
      <w:lvlText w:val="%1)"/>
      <w:lvlJc w:val="left"/>
      <w:pPr>
        <w:tabs>
          <w:tab w:val="left" w:pos="839"/>
        </w:tabs>
        <w:ind w:left="839" w:hanging="419"/>
      </w:pPr>
      <w:rPr>
        <w:rFonts w:hint="eastAsia" w:ascii="宋体" w:eastAsia="宋体"/>
        <w:b w:val="0"/>
        <w:i w:val="0"/>
        <w:sz w:val="21"/>
      </w:rPr>
    </w:lvl>
    <w:lvl w:ilvl="1" w:tentative="0">
      <w:start w:val="1"/>
      <w:numFmt w:val="decimal"/>
      <w:pStyle w:val="78"/>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6">
    <w:nsid w:val="6DBF04F4"/>
    <w:multiLevelType w:val="multilevel"/>
    <w:tmpl w:val="6DBF04F4"/>
    <w:lvl w:ilvl="0" w:tentative="0">
      <w:start w:val="1"/>
      <w:numFmt w:val="none"/>
      <w:pStyle w:val="94"/>
      <w:suff w:val="nothing"/>
      <w:lvlText w:val="%1注："/>
      <w:lvlJc w:val="left"/>
      <w:pPr>
        <w:ind w:left="931" w:hanging="363"/>
      </w:pPr>
      <w:rPr>
        <w:rFonts w:hint="eastAsia" w:ascii="黑体" w:hAnsi="Times New Roman" w:eastAsia="黑体"/>
        <w:b w:val="0"/>
        <w:i w:val="0"/>
        <w:sz w:val="18"/>
      </w:rPr>
    </w:lvl>
    <w:lvl w:ilvl="1" w:tentative="0">
      <w:start w:val="1"/>
      <w:numFmt w:val="lowerLetter"/>
      <w:lvlText w:val="%2)"/>
      <w:lvlJc w:val="left"/>
      <w:pPr>
        <w:tabs>
          <w:tab w:val="left" w:pos="1345"/>
        </w:tabs>
        <w:ind w:left="931" w:hanging="363"/>
      </w:pPr>
      <w:rPr>
        <w:rFonts w:hint="eastAsia"/>
      </w:rPr>
    </w:lvl>
    <w:lvl w:ilvl="2" w:tentative="0">
      <w:start w:val="1"/>
      <w:numFmt w:val="lowerRoman"/>
      <w:lvlText w:val="%3."/>
      <w:lvlJc w:val="right"/>
      <w:pPr>
        <w:tabs>
          <w:tab w:val="left" w:pos="1345"/>
        </w:tabs>
        <w:ind w:left="931" w:hanging="363"/>
      </w:pPr>
      <w:rPr>
        <w:rFonts w:hint="eastAsia"/>
      </w:rPr>
    </w:lvl>
    <w:lvl w:ilvl="3" w:tentative="0">
      <w:start w:val="1"/>
      <w:numFmt w:val="decimal"/>
      <w:lvlText w:val="%4."/>
      <w:lvlJc w:val="left"/>
      <w:pPr>
        <w:tabs>
          <w:tab w:val="left" w:pos="1345"/>
        </w:tabs>
        <w:ind w:left="931" w:hanging="363"/>
      </w:pPr>
      <w:rPr>
        <w:rFonts w:hint="eastAsia"/>
      </w:rPr>
    </w:lvl>
    <w:lvl w:ilvl="4" w:tentative="0">
      <w:start w:val="1"/>
      <w:numFmt w:val="lowerLetter"/>
      <w:lvlText w:val="%5)"/>
      <w:lvlJc w:val="left"/>
      <w:pPr>
        <w:tabs>
          <w:tab w:val="left" w:pos="1345"/>
        </w:tabs>
        <w:ind w:left="931" w:hanging="363"/>
      </w:pPr>
      <w:rPr>
        <w:rFonts w:hint="eastAsia"/>
      </w:rPr>
    </w:lvl>
    <w:lvl w:ilvl="5" w:tentative="0">
      <w:start w:val="1"/>
      <w:numFmt w:val="lowerRoman"/>
      <w:lvlText w:val="%6."/>
      <w:lvlJc w:val="right"/>
      <w:pPr>
        <w:tabs>
          <w:tab w:val="left" w:pos="1345"/>
        </w:tabs>
        <w:ind w:left="931" w:hanging="363"/>
      </w:pPr>
      <w:rPr>
        <w:rFonts w:hint="eastAsia"/>
      </w:rPr>
    </w:lvl>
    <w:lvl w:ilvl="6" w:tentative="0">
      <w:start w:val="1"/>
      <w:numFmt w:val="decimal"/>
      <w:lvlText w:val="%7."/>
      <w:lvlJc w:val="left"/>
      <w:pPr>
        <w:tabs>
          <w:tab w:val="left" w:pos="1345"/>
        </w:tabs>
        <w:ind w:left="931" w:hanging="363"/>
      </w:pPr>
      <w:rPr>
        <w:rFonts w:hint="eastAsia"/>
      </w:rPr>
    </w:lvl>
    <w:lvl w:ilvl="7" w:tentative="0">
      <w:start w:val="1"/>
      <w:numFmt w:val="lowerLetter"/>
      <w:lvlText w:val="%8)"/>
      <w:lvlJc w:val="left"/>
      <w:pPr>
        <w:tabs>
          <w:tab w:val="left" w:pos="1345"/>
        </w:tabs>
        <w:ind w:left="931" w:hanging="363"/>
      </w:pPr>
      <w:rPr>
        <w:rFonts w:hint="eastAsia"/>
      </w:rPr>
    </w:lvl>
    <w:lvl w:ilvl="8" w:tentative="0">
      <w:start w:val="1"/>
      <w:numFmt w:val="lowerRoman"/>
      <w:lvlText w:val="%9."/>
      <w:lvlJc w:val="right"/>
      <w:pPr>
        <w:tabs>
          <w:tab w:val="left" w:pos="1345"/>
        </w:tabs>
        <w:ind w:left="931" w:hanging="363"/>
      </w:pPr>
      <w:rPr>
        <w:rFonts w:hint="eastAsia"/>
      </w:rPr>
    </w:lvl>
  </w:abstractNum>
  <w:num w:numId="1">
    <w:abstractNumId w:val="8"/>
  </w:num>
  <w:num w:numId="2">
    <w:abstractNumId w:val="1"/>
  </w:num>
  <w:num w:numId="3">
    <w:abstractNumId w:val="5"/>
  </w:num>
  <w:num w:numId="4">
    <w:abstractNumId w:val="14"/>
  </w:num>
  <w:num w:numId="5">
    <w:abstractNumId w:val="15"/>
  </w:num>
  <w:num w:numId="6">
    <w:abstractNumId w:val="10"/>
  </w:num>
  <w:num w:numId="7">
    <w:abstractNumId w:val="12"/>
  </w:num>
  <w:num w:numId="8">
    <w:abstractNumId w:val="0"/>
  </w:num>
  <w:num w:numId="9">
    <w:abstractNumId w:val="16"/>
  </w:num>
  <w:num w:numId="10">
    <w:abstractNumId w:val="11"/>
  </w:num>
  <w:num w:numId="11">
    <w:abstractNumId w:val="9"/>
  </w:num>
  <w:num w:numId="12">
    <w:abstractNumId w:val="6"/>
  </w:num>
  <w:num w:numId="13">
    <w:abstractNumId w:val="13"/>
  </w:num>
  <w:num w:numId="14">
    <w:abstractNumId w:val="2"/>
  </w:num>
  <w:num w:numId="15">
    <w:abstractNumId w:val="7"/>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NDQ3NzVkM2UyN2IyZmI3MzBmMThlZDE5MGE2ODgifQ=="/>
  </w:docVars>
  <w:rsids>
    <w:rsidRoot w:val="00035925"/>
    <w:rsid w:val="00000244"/>
    <w:rsid w:val="0000185F"/>
    <w:rsid w:val="0000586F"/>
    <w:rsid w:val="00012AE8"/>
    <w:rsid w:val="00013D86"/>
    <w:rsid w:val="00013E02"/>
    <w:rsid w:val="00017631"/>
    <w:rsid w:val="0002143C"/>
    <w:rsid w:val="00025A65"/>
    <w:rsid w:val="00026C31"/>
    <w:rsid w:val="00027280"/>
    <w:rsid w:val="000320A7"/>
    <w:rsid w:val="00035925"/>
    <w:rsid w:val="0005594B"/>
    <w:rsid w:val="000665FD"/>
    <w:rsid w:val="00067CDF"/>
    <w:rsid w:val="00074053"/>
    <w:rsid w:val="00074FBE"/>
    <w:rsid w:val="00083A09"/>
    <w:rsid w:val="0009005E"/>
    <w:rsid w:val="00092857"/>
    <w:rsid w:val="000A15AD"/>
    <w:rsid w:val="000A20A9"/>
    <w:rsid w:val="000A48B1"/>
    <w:rsid w:val="000B3143"/>
    <w:rsid w:val="000C6B05"/>
    <w:rsid w:val="000C6DD6"/>
    <w:rsid w:val="000C73D4"/>
    <w:rsid w:val="000D3D4C"/>
    <w:rsid w:val="000D4F51"/>
    <w:rsid w:val="000D718B"/>
    <w:rsid w:val="000E0C46"/>
    <w:rsid w:val="000F030C"/>
    <w:rsid w:val="000F129C"/>
    <w:rsid w:val="001056DE"/>
    <w:rsid w:val="001124C0"/>
    <w:rsid w:val="0013175F"/>
    <w:rsid w:val="001512B4"/>
    <w:rsid w:val="001620A5"/>
    <w:rsid w:val="00164E53"/>
    <w:rsid w:val="0016699D"/>
    <w:rsid w:val="00175159"/>
    <w:rsid w:val="00176208"/>
    <w:rsid w:val="0018211B"/>
    <w:rsid w:val="001840D3"/>
    <w:rsid w:val="001900F8"/>
    <w:rsid w:val="00191258"/>
    <w:rsid w:val="00192680"/>
    <w:rsid w:val="00193037"/>
    <w:rsid w:val="00193A2C"/>
    <w:rsid w:val="001A288E"/>
    <w:rsid w:val="001A49E3"/>
    <w:rsid w:val="001B323B"/>
    <w:rsid w:val="001B6DC2"/>
    <w:rsid w:val="001C149C"/>
    <w:rsid w:val="001C21AC"/>
    <w:rsid w:val="001C47BA"/>
    <w:rsid w:val="001C59EA"/>
    <w:rsid w:val="001D30FE"/>
    <w:rsid w:val="001D406C"/>
    <w:rsid w:val="001D41EE"/>
    <w:rsid w:val="001E0380"/>
    <w:rsid w:val="001E13B1"/>
    <w:rsid w:val="001F3A19"/>
    <w:rsid w:val="0022667F"/>
    <w:rsid w:val="00234467"/>
    <w:rsid w:val="00237D8D"/>
    <w:rsid w:val="00241598"/>
    <w:rsid w:val="00241DA2"/>
    <w:rsid w:val="00247FEE"/>
    <w:rsid w:val="00250E7D"/>
    <w:rsid w:val="002565D5"/>
    <w:rsid w:val="002622C0"/>
    <w:rsid w:val="002635F1"/>
    <w:rsid w:val="002778AE"/>
    <w:rsid w:val="0028269A"/>
    <w:rsid w:val="00283590"/>
    <w:rsid w:val="0028360F"/>
    <w:rsid w:val="00286973"/>
    <w:rsid w:val="00294E70"/>
    <w:rsid w:val="002A1924"/>
    <w:rsid w:val="002A7420"/>
    <w:rsid w:val="002B0F12"/>
    <w:rsid w:val="002B1308"/>
    <w:rsid w:val="002B4554"/>
    <w:rsid w:val="002C2708"/>
    <w:rsid w:val="002C328C"/>
    <w:rsid w:val="002C72D8"/>
    <w:rsid w:val="002D11FA"/>
    <w:rsid w:val="002E0DDF"/>
    <w:rsid w:val="002E2906"/>
    <w:rsid w:val="002E4890"/>
    <w:rsid w:val="002E5635"/>
    <w:rsid w:val="002E64C3"/>
    <w:rsid w:val="002E6A2C"/>
    <w:rsid w:val="002F1D8C"/>
    <w:rsid w:val="002F21DA"/>
    <w:rsid w:val="00301F39"/>
    <w:rsid w:val="00325926"/>
    <w:rsid w:val="00327A8A"/>
    <w:rsid w:val="00336610"/>
    <w:rsid w:val="00343F73"/>
    <w:rsid w:val="00345060"/>
    <w:rsid w:val="0035323B"/>
    <w:rsid w:val="003609D2"/>
    <w:rsid w:val="00363F22"/>
    <w:rsid w:val="00375564"/>
    <w:rsid w:val="00383191"/>
    <w:rsid w:val="00386DED"/>
    <w:rsid w:val="003912E7"/>
    <w:rsid w:val="00393947"/>
    <w:rsid w:val="003A2275"/>
    <w:rsid w:val="003A6A4F"/>
    <w:rsid w:val="003A7088"/>
    <w:rsid w:val="003B00DF"/>
    <w:rsid w:val="003B1275"/>
    <w:rsid w:val="003B1778"/>
    <w:rsid w:val="003B6D1C"/>
    <w:rsid w:val="003C032E"/>
    <w:rsid w:val="003C11CB"/>
    <w:rsid w:val="003C75F3"/>
    <w:rsid w:val="003C78A3"/>
    <w:rsid w:val="003E1867"/>
    <w:rsid w:val="003E5729"/>
    <w:rsid w:val="003F4EE0"/>
    <w:rsid w:val="00402153"/>
    <w:rsid w:val="00402FC1"/>
    <w:rsid w:val="00425082"/>
    <w:rsid w:val="00431DEB"/>
    <w:rsid w:val="00446B29"/>
    <w:rsid w:val="00453F9A"/>
    <w:rsid w:val="00461ADE"/>
    <w:rsid w:val="00465FDB"/>
    <w:rsid w:val="00471E91"/>
    <w:rsid w:val="00474675"/>
    <w:rsid w:val="0047470C"/>
    <w:rsid w:val="004A35F9"/>
    <w:rsid w:val="004A41CE"/>
    <w:rsid w:val="004B24C1"/>
    <w:rsid w:val="004C292F"/>
    <w:rsid w:val="004D7901"/>
    <w:rsid w:val="004F25EB"/>
    <w:rsid w:val="00510280"/>
    <w:rsid w:val="00513D73"/>
    <w:rsid w:val="00514A43"/>
    <w:rsid w:val="005174E5"/>
    <w:rsid w:val="00522393"/>
    <w:rsid w:val="00522620"/>
    <w:rsid w:val="00525656"/>
    <w:rsid w:val="00534C02"/>
    <w:rsid w:val="0054264B"/>
    <w:rsid w:val="00543786"/>
    <w:rsid w:val="00552A7E"/>
    <w:rsid w:val="005533D7"/>
    <w:rsid w:val="00553ADF"/>
    <w:rsid w:val="005703DE"/>
    <w:rsid w:val="0058464E"/>
    <w:rsid w:val="005A01CB"/>
    <w:rsid w:val="005A58FF"/>
    <w:rsid w:val="005A5EAF"/>
    <w:rsid w:val="005A64C0"/>
    <w:rsid w:val="005B3C11"/>
    <w:rsid w:val="005B70DE"/>
    <w:rsid w:val="005C0A0B"/>
    <w:rsid w:val="005C1C28"/>
    <w:rsid w:val="005C6DB5"/>
    <w:rsid w:val="005E19E7"/>
    <w:rsid w:val="005E6C38"/>
    <w:rsid w:val="005F6989"/>
    <w:rsid w:val="0061716C"/>
    <w:rsid w:val="006243A1"/>
    <w:rsid w:val="00632E56"/>
    <w:rsid w:val="00635CBA"/>
    <w:rsid w:val="0064338B"/>
    <w:rsid w:val="00646542"/>
    <w:rsid w:val="006504F4"/>
    <w:rsid w:val="00654BC9"/>
    <w:rsid w:val="006552FD"/>
    <w:rsid w:val="00663AF3"/>
    <w:rsid w:val="00666B6C"/>
    <w:rsid w:val="00682682"/>
    <w:rsid w:val="00682702"/>
    <w:rsid w:val="00692368"/>
    <w:rsid w:val="006A2EBC"/>
    <w:rsid w:val="006A5EA0"/>
    <w:rsid w:val="006A783B"/>
    <w:rsid w:val="006A7B33"/>
    <w:rsid w:val="006B4E13"/>
    <w:rsid w:val="006B75DD"/>
    <w:rsid w:val="006C67E0"/>
    <w:rsid w:val="006C7ABA"/>
    <w:rsid w:val="006D0D60"/>
    <w:rsid w:val="006D1122"/>
    <w:rsid w:val="006D3C00"/>
    <w:rsid w:val="006D546F"/>
    <w:rsid w:val="006E25B5"/>
    <w:rsid w:val="006E3675"/>
    <w:rsid w:val="006E4A7F"/>
    <w:rsid w:val="00704DF6"/>
    <w:rsid w:val="0070651C"/>
    <w:rsid w:val="007132A3"/>
    <w:rsid w:val="00716421"/>
    <w:rsid w:val="00724EFB"/>
    <w:rsid w:val="007272BF"/>
    <w:rsid w:val="007419C3"/>
    <w:rsid w:val="00744B8A"/>
    <w:rsid w:val="007467A7"/>
    <w:rsid w:val="007469DD"/>
    <w:rsid w:val="0074741B"/>
    <w:rsid w:val="0074759E"/>
    <w:rsid w:val="007478EA"/>
    <w:rsid w:val="0075415C"/>
    <w:rsid w:val="00755C2E"/>
    <w:rsid w:val="00763502"/>
    <w:rsid w:val="00773AD2"/>
    <w:rsid w:val="007913AB"/>
    <w:rsid w:val="007914F7"/>
    <w:rsid w:val="007B1625"/>
    <w:rsid w:val="007B706E"/>
    <w:rsid w:val="007B71EB"/>
    <w:rsid w:val="007C6205"/>
    <w:rsid w:val="007C686A"/>
    <w:rsid w:val="007C728E"/>
    <w:rsid w:val="007D2C53"/>
    <w:rsid w:val="007D3D60"/>
    <w:rsid w:val="007E1980"/>
    <w:rsid w:val="007E4B76"/>
    <w:rsid w:val="007E5EA8"/>
    <w:rsid w:val="007F0CF1"/>
    <w:rsid w:val="007F12A5"/>
    <w:rsid w:val="007F4CF1"/>
    <w:rsid w:val="007F758D"/>
    <w:rsid w:val="007F7D52"/>
    <w:rsid w:val="0080654C"/>
    <w:rsid w:val="008071C6"/>
    <w:rsid w:val="00817A00"/>
    <w:rsid w:val="008210F4"/>
    <w:rsid w:val="00835DB3"/>
    <w:rsid w:val="0083617B"/>
    <w:rsid w:val="008371BD"/>
    <w:rsid w:val="00846002"/>
    <w:rsid w:val="008504A8"/>
    <w:rsid w:val="0085282E"/>
    <w:rsid w:val="0087198C"/>
    <w:rsid w:val="00872C1F"/>
    <w:rsid w:val="00873B42"/>
    <w:rsid w:val="008761A6"/>
    <w:rsid w:val="008856D8"/>
    <w:rsid w:val="00892E82"/>
    <w:rsid w:val="00895CB5"/>
    <w:rsid w:val="008C1B58"/>
    <w:rsid w:val="008C39AE"/>
    <w:rsid w:val="008C590D"/>
    <w:rsid w:val="008E031B"/>
    <w:rsid w:val="008E7029"/>
    <w:rsid w:val="008E7EF6"/>
    <w:rsid w:val="008F1F98"/>
    <w:rsid w:val="008F6758"/>
    <w:rsid w:val="009040DD"/>
    <w:rsid w:val="00905B47"/>
    <w:rsid w:val="0091331C"/>
    <w:rsid w:val="009279DE"/>
    <w:rsid w:val="00930116"/>
    <w:rsid w:val="0094212C"/>
    <w:rsid w:val="00954689"/>
    <w:rsid w:val="00955CE7"/>
    <w:rsid w:val="009617C9"/>
    <w:rsid w:val="00961C93"/>
    <w:rsid w:val="00965324"/>
    <w:rsid w:val="0097091E"/>
    <w:rsid w:val="009760D3"/>
    <w:rsid w:val="00977132"/>
    <w:rsid w:val="00980628"/>
    <w:rsid w:val="00981A4B"/>
    <w:rsid w:val="00982501"/>
    <w:rsid w:val="009877D3"/>
    <w:rsid w:val="00994E8F"/>
    <w:rsid w:val="009951DC"/>
    <w:rsid w:val="009959BB"/>
    <w:rsid w:val="00997158"/>
    <w:rsid w:val="009A3A7C"/>
    <w:rsid w:val="009B2ADB"/>
    <w:rsid w:val="009B603A"/>
    <w:rsid w:val="009C2D0E"/>
    <w:rsid w:val="009C3DAC"/>
    <w:rsid w:val="009C42E0"/>
    <w:rsid w:val="009C5E1E"/>
    <w:rsid w:val="009D5362"/>
    <w:rsid w:val="009E1415"/>
    <w:rsid w:val="009E6116"/>
    <w:rsid w:val="00A02E43"/>
    <w:rsid w:val="00A03A76"/>
    <w:rsid w:val="00A065F9"/>
    <w:rsid w:val="00A07F34"/>
    <w:rsid w:val="00A22154"/>
    <w:rsid w:val="00A25C38"/>
    <w:rsid w:val="00A36BBE"/>
    <w:rsid w:val="00A4307A"/>
    <w:rsid w:val="00A47EBB"/>
    <w:rsid w:val="00A51CDD"/>
    <w:rsid w:val="00A6730D"/>
    <w:rsid w:val="00A71625"/>
    <w:rsid w:val="00A71B9B"/>
    <w:rsid w:val="00A72D4A"/>
    <w:rsid w:val="00A751C7"/>
    <w:rsid w:val="00A87844"/>
    <w:rsid w:val="00AA038C"/>
    <w:rsid w:val="00AA2362"/>
    <w:rsid w:val="00AA7A09"/>
    <w:rsid w:val="00AB0B13"/>
    <w:rsid w:val="00AB3B50"/>
    <w:rsid w:val="00AB41B4"/>
    <w:rsid w:val="00AC05B1"/>
    <w:rsid w:val="00AC2EB5"/>
    <w:rsid w:val="00AD356C"/>
    <w:rsid w:val="00AE2914"/>
    <w:rsid w:val="00AE6D15"/>
    <w:rsid w:val="00B04182"/>
    <w:rsid w:val="00B07AE3"/>
    <w:rsid w:val="00B11430"/>
    <w:rsid w:val="00B353EB"/>
    <w:rsid w:val="00B439C4"/>
    <w:rsid w:val="00B4535E"/>
    <w:rsid w:val="00B52A8C"/>
    <w:rsid w:val="00B636A8"/>
    <w:rsid w:val="00B665C6"/>
    <w:rsid w:val="00B805AF"/>
    <w:rsid w:val="00B869EC"/>
    <w:rsid w:val="00B9397A"/>
    <w:rsid w:val="00B9633D"/>
    <w:rsid w:val="00BA0FCC"/>
    <w:rsid w:val="00BA2EBE"/>
    <w:rsid w:val="00BB0F28"/>
    <w:rsid w:val="00BB458A"/>
    <w:rsid w:val="00BC3A1F"/>
    <w:rsid w:val="00BD00D3"/>
    <w:rsid w:val="00BD1659"/>
    <w:rsid w:val="00BD3AA9"/>
    <w:rsid w:val="00BD4A18"/>
    <w:rsid w:val="00BD6DB2"/>
    <w:rsid w:val="00BE11CF"/>
    <w:rsid w:val="00BE21AB"/>
    <w:rsid w:val="00BE55CB"/>
    <w:rsid w:val="00BF617A"/>
    <w:rsid w:val="00C0379D"/>
    <w:rsid w:val="00C03931"/>
    <w:rsid w:val="00C04252"/>
    <w:rsid w:val="00C05FE3"/>
    <w:rsid w:val="00C2136D"/>
    <w:rsid w:val="00C214EE"/>
    <w:rsid w:val="00C2314B"/>
    <w:rsid w:val="00C24971"/>
    <w:rsid w:val="00C26BE5"/>
    <w:rsid w:val="00C26E4D"/>
    <w:rsid w:val="00C27909"/>
    <w:rsid w:val="00C27B03"/>
    <w:rsid w:val="00C314E1"/>
    <w:rsid w:val="00C34397"/>
    <w:rsid w:val="00C4095D"/>
    <w:rsid w:val="00C601D2"/>
    <w:rsid w:val="00C65BCC"/>
    <w:rsid w:val="00C66970"/>
    <w:rsid w:val="00C8691C"/>
    <w:rsid w:val="00CA168A"/>
    <w:rsid w:val="00CA357E"/>
    <w:rsid w:val="00CA44F9"/>
    <w:rsid w:val="00CA4A69"/>
    <w:rsid w:val="00CC2F6A"/>
    <w:rsid w:val="00CC3E0C"/>
    <w:rsid w:val="00CC5150"/>
    <w:rsid w:val="00CC58D3"/>
    <w:rsid w:val="00CC784D"/>
    <w:rsid w:val="00D0337B"/>
    <w:rsid w:val="00D079B2"/>
    <w:rsid w:val="00D114E9"/>
    <w:rsid w:val="00D1571B"/>
    <w:rsid w:val="00D429C6"/>
    <w:rsid w:val="00D47748"/>
    <w:rsid w:val="00D54CC3"/>
    <w:rsid w:val="00D6041A"/>
    <w:rsid w:val="00D633EB"/>
    <w:rsid w:val="00D82FF7"/>
    <w:rsid w:val="00D847FE"/>
    <w:rsid w:val="00D9201F"/>
    <w:rsid w:val="00D938F4"/>
    <w:rsid w:val="00D964EA"/>
    <w:rsid w:val="00D966D0"/>
    <w:rsid w:val="00DA0C59"/>
    <w:rsid w:val="00DA3991"/>
    <w:rsid w:val="00DB7E6C"/>
    <w:rsid w:val="00DD5A29"/>
    <w:rsid w:val="00DD5D9D"/>
    <w:rsid w:val="00DE35CB"/>
    <w:rsid w:val="00DF21E9"/>
    <w:rsid w:val="00E00F14"/>
    <w:rsid w:val="00E06386"/>
    <w:rsid w:val="00E06700"/>
    <w:rsid w:val="00E20DB2"/>
    <w:rsid w:val="00E22F63"/>
    <w:rsid w:val="00E24EB4"/>
    <w:rsid w:val="00E320ED"/>
    <w:rsid w:val="00E33AFB"/>
    <w:rsid w:val="00E34218"/>
    <w:rsid w:val="00E46282"/>
    <w:rsid w:val="00E5216E"/>
    <w:rsid w:val="00E616BB"/>
    <w:rsid w:val="00E62DC1"/>
    <w:rsid w:val="00E6484B"/>
    <w:rsid w:val="00E82344"/>
    <w:rsid w:val="00E82F3D"/>
    <w:rsid w:val="00E84C82"/>
    <w:rsid w:val="00E84D64"/>
    <w:rsid w:val="00E87408"/>
    <w:rsid w:val="00E914C4"/>
    <w:rsid w:val="00E928E1"/>
    <w:rsid w:val="00E934F5"/>
    <w:rsid w:val="00E959BE"/>
    <w:rsid w:val="00E96961"/>
    <w:rsid w:val="00EA72EC"/>
    <w:rsid w:val="00EB11CB"/>
    <w:rsid w:val="00EB275A"/>
    <w:rsid w:val="00EB786A"/>
    <w:rsid w:val="00EC1578"/>
    <w:rsid w:val="00EC1C72"/>
    <w:rsid w:val="00EC3CC9"/>
    <w:rsid w:val="00EC680A"/>
    <w:rsid w:val="00EE0D9C"/>
    <w:rsid w:val="00EE2BED"/>
    <w:rsid w:val="00EE374B"/>
    <w:rsid w:val="00F00C88"/>
    <w:rsid w:val="00F11BB5"/>
    <w:rsid w:val="00F1417B"/>
    <w:rsid w:val="00F34B99"/>
    <w:rsid w:val="00F368D0"/>
    <w:rsid w:val="00F52DAB"/>
    <w:rsid w:val="00F543F0"/>
    <w:rsid w:val="00F81D29"/>
    <w:rsid w:val="00F85408"/>
    <w:rsid w:val="00F91C4D"/>
    <w:rsid w:val="00F92FD9"/>
    <w:rsid w:val="00FA6684"/>
    <w:rsid w:val="00FA731E"/>
    <w:rsid w:val="00FB2B38"/>
    <w:rsid w:val="00FC4B0F"/>
    <w:rsid w:val="00FC6358"/>
    <w:rsid w:val="00FD247F"/>
    <w:rsid w:val="00FD320D"/>
    <w:rsid w:val="00FE23DE"/>
    <w:rsid w:val="02151E3F"/>
    <w:rsid w:val="02320A5F"/>
    <w:rsid w:val="02DA5772"/>
    <w:rsid w:val="0333624E"/>
    <w:rsid w:val="03C92CD6"/>
    <w:rsid w:val="054142AC"/>
    <w:rsid w:val="05746676"/>
    <w:rsid w:val="05820559"/>
    <w:rsid w:val="06820BC8"/>
    <w:rsid w:val="068A3C77"/>
    <w:rsid w:val="074402CA"/>
    <w:rsid w:val="08E9737B"/>
    <w:rsid w:val="0A016155"/>
    <w:rsid w:val="0A7964DD"/>
    <w:rsid w:val="0A8068A3"/>
    <w:rsid w:val="0E307856"/>
    <w:rsid w:val="0E69332E"/>
    <w:rsid w:val="0ECF3B26"/>
    <w:rsid w:val="0F0A36E5"/>
    <w:rsid w:val="116972AB"/>
    <w:rsid w:val="119836EC"/>
    <w:rsid w:val="11E35B64"/>
    <w:rsid w:val="13003824"/>
    <w:rsid w:val="13282143"/>
    <w:rsid w:val="1362284B"/>
    <w:rsid w:val="14131F1F"/>
    <w:rsid w:val="14CF1B1B"/>
    <w:rsid w:val="14EA0703"/>
    <w:rsid w:val="14EB22C3"/>
    <w:rsid w:val="160F7CF5"/>
    <w:rsid w:val="164107F7"/>
    <w:rsid w:val="16E407C6"/>
    <w:rsid w:val="18B07A8C"/>
    <w:rsid w:val="18B65BCE"/>
    <w:rsid w:val="19305C51"/>
    <w:rsid w:val="19CC6766"/>
    <w:rsid w:val="1A1A3838"/>
    <w:rsid w:val="1B410B55"/>
    <w:rsid w:val="1B57430B"/>
    <w:rsid w:val="1BA13D81"/>
    <w:rsid w:val="1BF400B9"/>
    <w:rsid w:val="1C25128A"/>
    <w:rsid w:val="1CDE3150"/>
    <w:rsid w:val="1D3A1AFC"/>
    <w:rsid w:val="1DDB120C"/>
    <w:rsid w:val="1E655E93"/>
    <w:rsid w:val="1FDB002B"/>
    <w:rsid w:val="20150C7D"/>
    <w:rsid w:val="219D6BEB"/>
    <w:rsid w:val="229B065C"/>
    <w:rsid w:val="22F21A07"/>
    <w:rsid w:val="239943AC"/>
    <w:rsid w:val="23A979DB"/>
    <w:rsid w:val="2427108B"/>
    <w:rsid w:val="258B16D6"/>
    <w:rsid w:val="260C2CAA"/>
    <w:rsid w:val="26134E7F"/>
    <w:rsid w:val="272A498F"/>
    <w:rsid w:val="2879793E"/>
    <w:rsid w:val="29C0782D"/>
    <w:rsid w:val="29E706AD"/>
    <w:rsid w:val="2A930A9D"/>
    <w:rsid w:val="2B322C90"/>
    <w:rsid w:val="2B790CD1"/>
    <w:rsid w:val="2BE2622B"/>
    <w:rsid w:val="2BFD6B16"/>
    <w:rsid w:val="2C8114F5"/>
    <w:rsid w:val="2D155B7F"/>
    <w:rsid w:val="2D9A12C8"/>
    <w:rsid w:val="2E8D5F30"/>
    <w:rsid w:val="2F1E74CF"/>
    <w:rsid w:val="2F5B427F"/>
    <w:rsid w:val="2FDD0553"/>
    <w:rsid w:val="304C5976"/>
    <w:rsid w:val="309A4933"/>
    <w:rsid w:val="30D906C5"/>
    <w:rsid w:val="328A3080"/>
    <w:rsid w:val="3324008E"/>
    <w:rsid w:val="33244988"/>
    <w:rsid w:val="336B7B63"/>
    <w:rsid w:val="33DC349A"/>
    <w:rsid w:val="33E81E5A"/>
    <w:rsid w:val="36B951E8"/>
    <w:rsid w:val="37753A04"/>
    <w:rsid w:val="378644B9"/>
    <w:rsid w:val="3836043F"/>
    <w:rsid w:val="39406294"/>
    <w:rsid w:val="3B4F27BE"/>
    <w:rsid w:val="3C323981"/>
    <w:rsid w:val="3C7F0AD2"/>
    <w:rsid w:val="3CFB2BFE"/>
    <w:rsid w:val="3D0C4E0B"/>
    <w:rsid w:val="3D451F71"/>
    <w:rsid w:val="3F624965"/>
    <w:rsid w:val="3F7D78FA"/>
    <w:rsid w:val="3FC512A1"/>
    <w:rsid w:val="3FFEC819"/>
    <w:rsid w:val="40B13A14"/>
    <w:rsid w:val="40E15206"/>
    <w:rsid w:val="41FFB6D2"/>
    <w:rsid w:val="42E65307"/>
    <w:rsid w:val="43E4263E"/>
    <w:rsid w:val="4427252A"/>
    <w:rsid w:val="444241C4"/>
    <w:rsid w:val="45CC15DB"/>
    <w:rsid w:val="46250CEB"/>
    <w:rsid w:val="465F578E"/>
    <w:rsid w:val="466730B2"/>
    <w:rsid w:val="46AE1509"/>
    <w:rsid w:val="46B77DBE"/>
    <w:rsid w:val="47AA574A"/>
    <w:rsid w:val="480D7C89"/>
    <w:rsid w:val="48D408F8"/>
    <w:rsid w:val="4AA778F3"/>
    <w:rsid w:val="4B3519D1"/>
    <w:rsid w:val="4BF7316C"/>
    <w:rsid w:val="4C143394"/>
    <w:rsid w:val="4C72455F"/>
    <w:rsid w:val="4C812971"/>
    <w:rsid w:val="4CBA4195"/>
    <w:rsid w:val="4D7127B9"/>
    <w:rsid w:val="4E793282"/>
    <w:rsid w:val="4EBE08C1"/>
    <w:rsid w:val="4EC71847"/>
    <w:rsid w:val="4F244236"/>
    <w:rsid w:val="4F4B79F8"/>
    <w:rsid w:val="4F6C2452"/>
    <w:rsid w:val="50A50F59"/>
    <w:rsid w:val="519B00B4"/>
    <w:rsid w:val="51E41A5B"/>
    <w:rsid w:val="522F3047"/>
    <w:rsid w:val="532D25D9"/>
    <w:rsid w:val="53D93084"/>
    <w:rsid w:val="53EF36B1"/>
    <w:rsid w:val="5411465D"/>
    <w:rsid w:val="5512041A"/>
    <w:rsid w:val="557E9BA0"/>
    <w:rsid w:val="55D41DE6"/>
    <w:rsid w:val="55F12998"/>
    <w:rsid w:val="57341FD5"/>
    <w:rsid w:val="578F4217"/>
    <w:rsid w:val="57915879"/>
    <w:rsid w:val="57D460CD"/>
    <w:rsid w:val="588E5927"/>
    <w:rsid w:val="595C45CC"/>
    <w:rsid w:val="59CD1026"/>
    <w:rsid w:val="5A0E3B19"/>
    <w:rsid w:val="5AF074B7"/>
    <w:rsid w:val="5AFD58F8"/>
    <w:rsid w:val="5BDF112E"/>
    <w:rsid w:val="5C4948ED"/>
    <w:rsid w:val="5D45656B"/>
    <w:rsid w:val="5D7E2D63"/>
    <w:rsid w:val="5DAB021F"/>
    <w:rsid w:val="5EDE3BFC"/>
    <w:rsid w:val="5F7563E8"/>
    <w:rsid w:val="5F773F0E"/>
    <w:rsid w:val="601B453C"/>
    <w:rsid w:val="61512DC2"/>
    <w:rsid w:val="619306EF"/>
    <w:rsid w:val="64CF659A"/>
    <w:rsid w:val="65AF098F"/>
    <w:rsid w:val="65B4CEC8"/>
    <w:rsid w:val="66153FE2"/>
    <w:rsid w:val="66DA1C8B"/>
    <w:rsid w:val="66EB3FEF"/>
    <w:rsid w:val="671B660C"/>
    <w:rsid w:val="67A8736E"/>
    <w:rsid w:val="68295FC1"/>
    <w:rsid w:val="68376930"/>
    <w:rsid w:val="68824F1B"/>
    <w:rsid w:val="6AE71360"/>
    <w:rsid w:val="6B722972"/>
    <w:rsid w:val="6C376EFF"/>
    <w:rsid w:val="6D1E00BF"/>
    <w:rsid w:val="6DA76765"/>
    <w:rsid w:val="6E26104C"/>
    <w:rsid w:val="6E3C3CDD"/>
    <w:rsid w:val="6FB16FC8"/>
    <w:rsid w:val="6FD3402E"/>
    <w:rsid w:val="6FF45824"/>
    <w:rsid w:val="718A6AEC"/>
    <w:rsid w:val="72F413CD"/>
    <w:rsid w:val="730A231D"/>
    <w:rsid w:val="73103829"/>
    <w:rsid w:val="73334198"/>
    <w:rsid w:val="7413531F"/>
    <w:rsid w:val="74196BFB"/>
    <w:rsid w:val="74E41548"/>
    <w:rsid w:val="769E5DCD"/>
    <w:rsid w:val="77BF249E"/>
    <w:rsid w:val="786170B2"/>
    <w:rsid w:val="78730E6C"/>
    <w:rsid w:val="79AC225B"/>
    <w:rsid w:val="7A1C547E"/>
    <w:rsid w:val="7A8105BA"/>
    <w:rsid w:val="7AD60480"/>
    <w:rsid w:val="7B526035"/>
    <w:rsid w:val="7BB77F36"/>
    <w:rsid w:val="7BFD111F"/>
    <w:rsid w:val="7C5951B9"/>
    <w:rsid w:val="7C9F06E9"/>
    <w:rsid w:val="7D5C5445"/>
    <w:rsid w:val="7DDFAC88"/>
    <w:rsid w:val="7E5D0289"/>
    <w:rsid w:val="7F6BC0A4"/>
    <w:rsid w:val="7FAD0C53"/>
    <w:rsid w:val="873A628B"/>
    <w:rsid w:val="97CE8472"/>
    <w:rsid w:val="9B7BA786"/>
    <w:rsid w:val="ADB77BD3"/>
    <w:rsid w:val="AEDC5F66"/>
    <w:rsid w:val="BF5FB671"/>
    <w:rsid w:val="BFDBC216"/>
    <w:rsid w:val="BFEF07B7"/>
    <w:rsid w:val="D7945D7E"/>
    <w:rsid w:val="DC6FF2BE"/>
    <w:rsid w:val="DEFE93EA"/>
    <w:rsid w:val="DFB5CEE3"/>
    <w:rsid w:val="F3FF286C"/>
    <w:rsid w:val="FB9F4BDA"/>
    <w:rsid w:val="FDFF24F2"/>
    <w:rsid w:val="FEDE7BE2"/>
    <w:rsid w:val="FF7FF8DA"/>
    <w:rsid w:val="FFBF860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99"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37">
    <w:name w:val="Default Paragraph Font"/>
    <w:semiHidden/>
    <w:qFormat/>
    <w:uiPriority w:val="0"/>
  </w:style>
  <w:style w:type="table" w:default="1" w:styleId="35">
    <w:name w:val="Normal Table"/>
    <w:semiHidden/>
    <w:qFormat/>
    <w:uiPriority w:val="0"/>
    <w:tblPr>
      <w:tblCellMar>
        <w:top w:w="0" w:type="dxa"/>
        <w:left w:w="108" w:type="dxa"/>
        <w:bottom w:w="0" w:type="dxa"/>
        <w:right w:w="108" w:type="dxa"/>
      </w:tblCellMar>
    </w:tblPr>
  </w:style>
  <w:style w:type="paragraph" w:styleId="5">
    <w:name w:val="toc 7"/>
    <w:basedOn w:val="1"/>
    <w:next w:val="1"/>
    <w:autoRedefine/>
    <w:semiHidden/>
    <w:qFormat/>
    <w:uiPriority w:val="0"/>
    <w:pPr>
      <w:tabs>
        <w:tab w:val="right" w:leader="dot" w:pos="9241"/>
      </w:tabs>
      <w:ind w:firstLine="505" w:firstLineChars="500"/>
      <w:jc w:val="left"/>
    </w:pPr>
    <w:rPr>
      <w:rFonts w:ascii="宋体"/>
      <w:szCs w:val="21"/>
    </w:rPr>
  </w:style>
  <w:style w:type="paragraph" w:styleId="6">
    <w:name w:val="index 8"/>
    <w:basedOn w:val="1"/>
    <w:next w:val="1"/>
    <w:autoRedefine/>
    <w:qFormat/>
    <w:uiPriority w:val="0"/>
    <w:pPr>
      <w:ind w:left="1680" w:hanging="210"/>
      <w:jc w:val="left"/>
    </w:pPr>
    <w:rPr>
      <w:rFonts w:ascii="Calibri" w:hAnsi="Calibri"/>
      <w:sz w:val="20"/>
      <w:szCs w:val="20"/>
    </w:rPr>
  </w:style>
  <w:style w:type="paragraph" w:styleId="7">
    <w:name w:val="caption"/>
    <w:basedOn w:val="1"/>
    <w:next w:val="1"/>
    <w:autoRedefine/>
    <w:qFormat/>
    <w:uiPriority w:val="0"/>
    <w:pPr>
      <w:spacing w:before="152" w:after="160"/>
    </w:pPr>
    <w:rPr>
      <w:rFonts w:ascii="Arial" w:hAnsi="Arial" w:eastAsia="黑体" w:cs="Arial"/>
      <w:sz w:val="20"/>
      <w:szCs w:val="20"/>
    </w:rPr>
  </w:style>
  <w:style w:type="paragraph" w:styleId="8">
    <w:name w:val="index 5"/>
    <w:basedOn w:val="1"/>
    <w:next w:val="1"/>
    <w:autoRedefine/>
    <w:qFormat/>
    <w:uiPriority w:val="0"/>
    <w:pPr>
      <w:ind w:left="1050" w:hanging="210"/>
      <w:jc w:val="left"/>
    </w:pPr>
    <w:rPr>
      <w:rFonts w:ascii="Calibri" w:hAnsi="Calibri"/>
      <w:sz w:val="20"/>
      <w:szCs w:val="20"/>
    </w:rPr>
  </w:style>
  <w:style w:type="paragraph" w:styleId="9">
    <w:name w:val="Document Map"/>
    <w:basedOn w:val="1"/>
    <w:autoRedefine/>
    <w:semiHidden/>
    <w:qFormat/>
    <w:uiPriority w:val="0"/>
    <w:pPr>
      <w:shd w:val="clear" w:color="auto" w:fill="000080"/>
    </w:pPr>
  </w:style>
  <w:style w:type="paragraph" w:styleId="10">
    <w:name w:val="annotation text"/>
    <w:basedOn w:val="1"/>
    <w:link w:val="46"/>
    <w:autoRedefine/>
    <w:qFormat/>
    <w:uiPriority w:val="0"/>
    <w:pPr>
      <w:jc w:val="left"/>
    </w:pPr>
  </w:style>
  <w:style w:type="paragraph" w:styleId="11">
    <w:name w:val="index 6"/>
    <w:basedOn w:val="1"/>
    <w:next w:val="1"/>
    <w:autoRedefine/>
    <w:qFormat/>
    <w:uiPriority w:val="0"/>
    <w:pPr>
      <w:ind w:left="1260" w:hanging="210"/>
      <w:jc w:val="left"/>
    </w:pPr>
    <w:rPr>
      <w:rFonts w:ascii="Calibri" w:hAnsi="Calibri"/>
      <w:sz w:val="20"/>
      <w:szCs w:val="20"/>
    </w:rPr>
  </w:style>
  <w:style w:type="paragraph" w:styleId="12">
    <w:name w:val="index 4"/>
    <w:basedOn w:val="1"/>
    <w:next w:val="1"/>
    <w:autoRedefine/>
    <w:qFormat/>
    <w:uiPriority w:val="0"/>
    <w:pPr>
      <w:ind w:left="840" w:hanging="210"/>
      <w:jc w:val="left"/>
    </w:pPr>
    <w:rPr>
      <w:rFonts w:ascii="Calibri" w:hAnsi="Calibri"/>
      <w:sz w:val="20"/>
      <w:szCs w:val="20"/>
    </w:rPr>
  </w:style>
  <w:style w:type="paragraph" w:styleId="13">
    <w:name w:val="toc 5"/>
    <w:basedOn w:val="1"/>
    <w:next w:val="1"/>
    <w:autoRedefine/>
    <w:semiHidden/>
    <w:qFormat/>
    <w:uiPriority w:val="0"/>
    <w:pPr>
      <w:tabs>
        <w:tab w:val="right" w:leader="dot" w:pos="9241"/>
      </w:tabs>
      <w:ind w:firstLine="300" w:firstLineChars="300"/>
      <w:jc w:val="left"/>
    </w:pPr>
    <w:rPr>
      <w:rFonts w:ascii="宋体"/>
      <w:szCs w:val="21"/>
    </w:rPr>
  </w:style>
  <w:style w:type="paragraph" w:styleId="14">
    <w:name w:val="toc 3"/>
    <w:basedOn w:val="1"/>
    <w:next w:val="1"/>
    <w:autoRedefine/>
    <w:qFormat/>
    <w:uiPriority w:val="39"/>
    <w:pPr>
      <w:tabs>
        <w:tab w:val="right" w:leader="dot" w:pos="9241"/>
      </w:tabs>
      <w:ind w:firstLine="102" w:firstLineChars="100"/>
      <w:jc w:val="left"/>
    </w:pPr>
    <w:rPr>
      <w:rFonts w:ascii="宋体"/>
      <w:szCs w:val="21"/>
    </w:rPr>
  </w:style>
  <w:style w:type="paragraph" w:styleId="15">
    <w:name w:val="toc 8"/>
    <w:basedOn w:val="1"/>
    <w:next w:val="1"/>
    <w:autoRedefine/>
    <w:semiHidden/>
    <w:qFormat/>
    <w:uiPriority w:val="0"/>
    <w:pPr>
      <w:tabs>
        <w:tab w:val="right" w:leader="dot" w:pos="9241"/>
      </w:tabs>
      <w:ind w:firstLine="607" w:firstLineChars="600"/>
      <w:jc w:val="left"/>
    </w:pPr>
    <w:rPr>
      <w:rFonts w:ascii="宋体"/>
      <w:szCs w:val="21"/>
    </w:rPr>
  </w:style>
  <w:style w:type="paragraph" w:styleId="16">
    <w:name w:val="index 3"/>
    <w:basedOn w:val="1"/>
    <w:next w:val="1"/>
    <w:autoRedefine/>
    <w:qFormat/>
    <w:uiPriority w:val="0"/>
    <w:pPr>
      <w:ind w:left="630" w:hanging="210"/>
      <w:jc w:val="left"/>
    </w:pPr>
    <w:rPr>
      <w:rFonts w:ascii="Calibri" w:hAnsi="Calibri"/>
      <w:sz w:val="20"/>
      <w:szCs w:val="20"/>
    </w:rPr>
  </w:style>
  <w:style w:type="paragraph" w:styleId="17">
    <w:name w:val="endnote text"/>
    <w:basedOn w:val="1"/>
    <w:autoRedefine/>
    <w:semiHidden/>
    <w:qFormat/>
    <w:uiPriority w:val="0"/>
    <w:pPr>
      <w:snapToGrid w:val="0"/>
      <w:jc w:val="left"/>
    </w:pPr>
  </w:style>
  <w:style w:type="paragraph" w:styleId="18">
    <w:name w:val="Balloon Text"/>
    <w:basedOn w:val="1"/>
    <w:link w:val="47"/>
    <w:autoRedefine/>
    <w:qFormat/>
    <w:uiPriority w:val="0"/>
    <w:rPr>
      <w:sz w:val="18"/>
      <w:szCs w:val="18"/>
    </w:rPr>
  </w:style>
  <w:style w:type="paragraph" w:styleId="19">
    <w:name w:val="footer"/>
    <w:basedOn w:val="1"/>
    <w:autoRedefine/>
    <w:qFormat/>
    <w:uiPriority w:val="0"/>
    <w:pPr>
      <w:snapToGrid w:val="0"/>
      <w:ind w:right="210" w:rightChars="100"/>
      <w:jc w:val="right"/>
    </w:pPr>
    <w:rPr>
      <w:sz w:val="18"/>
      <w:szCs w:val="18"/>
    </w:rPr>
  </w:style>
  <w:style w:type="paragraph" w:styleId="20">
    <w:name w:val="header"/>
    <w:basedOn w:val="1"/>
    <w:autoRedefine/>
    <w:qFormat/>
    <w:uiPriority w:val="0"/>
    <w:pPr>
      <w:snapToGrid w:val="0"/>
      <w:jc w:val="left"/>
    </w:pPr>
    <w:rPr>
      <w:sz w:val="18"/>
      <w:szCs w:val="18"/>
    </w:rPr>
  </w:style>
  <w:style w:type="paragraph" w:styleId="21">
    <w:name w:val="toc 1"/>
    <w:basedOn w:val="1"/>
    <w:next w:val="1"/>
    <w:autoRedefine/>
    <w:qFormat/>
    <w:uiPriority w:val="39"/>
    <w:pPr>
      <w:tabs>
        <w:tab w:val="right" w:leader="dot" w:pos="9241"/>
      </w:tabs>
      <w:spacing w:before="25" w:beforeLines="25" w:after="25" w:afterLines="25"/>
      <w:jc w:val="left"/>
    </w:pPr>
    <w:rPr>
      <w:rFonts w:ascii="宋体"/>
      <w:szCs w:val="21"/>
    </w:rPr>
  </w:style>
  <w:style w:type="paragraph" w:styleId="22">
    <w:name w:val="toc 4"/>
    <w:basedOn w:val="1"/>
    <w:next w:val="1"/>
    <w:autoRedefine/>
    <w:qFormat/>
    <w:uiPriority w:val="39"/>
    <w:pPr>
      <w:tabs>
        <w:tab w:val="right" w:leader="dot" w:pos="9241"/>
      </w:tabs>
      <w:ind w:firstLine="198" w:firstLineChars="200"/>
      <w:jc w:val="left"/>
    </w:pPr>
    <w:rPr>
      <w:rFonts w:ascii="宋体"/>
      <w:szCs w:val="21"/>
    </w:rPr>
  </w:style>
  <w:style w:type="paragraph" w:styleId="23">
    <w:name w:val="index heading"/>
    <w:basedOn w:val="1"/>
    <w:next w:val="24"/>
    <w:autoRedefine/>
    <w:qFormat/>
    <w:uiPriority w:val="99"/>
    <w:pPr>
      <w:spacing w:before="120" w:after="120"/>
      <w:jc w:val="center"/>
    </w:pPr>
    <w:rPr>
      <w:rFonts w:ascii="Calibri" w:hAnsi="Calibri"/>
      <w:b/>
      <w:bCs/>
      <w:iCs/>
      <w:szCs w:val="20"/>
    </w:rPr>
  </w:style>
  <w:style w:type="paragraph" w:styleId="24">
    <w:name w:val="index 1"/>
    <w:basedOn w:val="1"/>
    <w:next w:val="25"/>
    <w:autoRedefine/>
    <w:qFormat/>
    <w:uiPriority w:val="99"/>
    <w:pPr>
      <w:tabs>
        <w:tab w:val="right" w:leader="dot" w:pos="9299"/>
      </w:tabs>
      <w:jc w:val="left"/>
    </w:pPr>
    <w:rPr>
      <w:rFonts w:ascii="宋体" w:hAnsi="宋体"/>
      <w:szCs w:val="21"/>
    </w:rPr>
  </w:style>
  <w:style w:type="paragraph" w:customStyle="1" w:styleId="25">
    <w:name w:val="段"/>
    <w:link w:val="4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6">
    <w:name w:val="footnote text"/>
    <w:basedOn w:val="1"/>
    <w:autoRedefine/>
    <w:qFormat/>
    <w:uiPriority w:val="0"/>
    <w:pPr>
      <w:numPr>
        <w:ilvl w:val="0"/>
        <w:numId w:val="1"/>
      </w:numPr>
      <w:snapToGrid w:val="0"/>
      <w:jc w:val="left"/>
    </w:pPr>
    <w:rPr>
      <w:rFonts w:ascii="宋体"/>
      <w:sz w:val="18"/>
      <w:szCs w:val="18"/>
    </w:rPr>
  </w:style>
  <w:style w:type="paragraph" w:styleId="27">
    <w:name w:val="toc 6"/>
    <w:basedOn w:val="1"/>
    <w:next w:val="1"/>
    <w:autoRedefine/>
    <w:semiHidden/>
    <w:qFormat/>
    <w:uiPriority w:val="0"/>
    <w:pPr>
      <w:tabs>
        <w:tab w:val="right" w:leader="dot" w:pos="9241"/>
      </w:tabs>
      <w:ind w:firstLine="403" w:firstLineChars="400"/>
      <w:jc w:val="left"/>
    </w:pPr>
    <w:rPr>
      <w:rFonts w:ascii="宋体"/>
      <w:szCs w:val="21"/>
    </w:rPr>
  </w:style>
  <w:style w:type="paragraph" w:styleId="28">
    <w:name w:val="index 7"/>
    <w:basedOn w:val="1"/>
    <w:next w:val="1"/>
    <w:autoRedefine/>
    <w:qFormat/>
    <w:uiPriority w:val="0"/>
    <w:pPr>
      <w:ind w:left="1470" w:hanging="210"/>
      <w:jc w:val="left"/>
    </w:pPr>
    <w:rPr>
      <w:rFonts w:ascii="Calibri" w:hAnsi="Calibri"/>
      <w:sz w:val="20"/>
      <w:szCs w:val="20"/>
    </w:rPr>
  </w:style>
  <w:style w:type="paragraph" w:styleId="29">
    <w:name w:val="index 9"/>
    <w:basedOn w:val="1"/>
    <w:next w:val="1"/>
    <w:autoRedefine/>
    <w:qFormat/>
    <w:uiPriority w:val="0"/>
    <w:pPr>
      <w:ind w:left="1890" w:hanging="210"/>
      <w:jc w:val="left"/>
    </w:pPr>
    <w:rPr>
      <w:rFonts w:ascii="Calibri" w:hAnsi="Calibri"/>
      <w:sz w:val="20"/>
      <w:szCs w:val="20"/>
    </w:rPr>
  </w:style>
  <w:style w:type="paragraph" w:styleId="30">
    <w:name w:val="toc 2"/>
    <w:basedOn w:val="1"/>
    <w:next w:val="1"/>
    <w:autoRedefine/>
    <w:semiHidden/>
    <w:qFormat/>
    <w:uiPriority w:val="0"/>
    <w:pPr>
      <w:tabs>
        <w:tab w:val="right" w:leader="dot" w:pos="9241"/>
      </w:tabs>
    </w:pPr>
    <w:rPr>
      <w:rFonts w:ascii="宋体"/>
      <w:szCs w:val="21"/>
    </w:rPr>
  </w:style>
  <w:style w:type="paragraph" w:styleId="31">
    <w:name w:val="toc 9"/>
    <w:basedOn w:val="1"/>
    <w:next w:val="1"/>
    <w:autoRedefine/>
    <w:semiHidden/>
    <w:qFormat/>
    <w:uiPriority w:val="0"/>
    <w:pPr>
      <w:ind w:left="1470"/>
      <w:jc w:val="left"/>
    </w:pPr>
    <w:rPr>
      <w:sz w:val="20"/>
      <w:szCs w:val="20"/>
    </w:rPr>
  </w:style>
  <w:style w:type="paragraph" w:styleId="32">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33">
    <w:name w:val="index 2"/>
    <w:basedOn w:val="1"/>
    <w:next w:val="1"/>
    <w:autoRedefine/>
    <w:qFormat/>
    <w:uiPriority w:val="0"/>
    <w:pPr>
      <w:ind w:left="420" w:hanging="210"/>
      <w:jc w:val="left"/>
    </w:pPr>
    <w:rPr>
      <w:rFonts w:ascii="Calibri" w:hAnsi="Calibri"/>
      <w:sz w:val="20"/>
      <w:szCs w:val="20"/>
    </w:rPr>
  </w:style>
  <w:style w:type="paragraph" w:styleId="34">
    <w:name w:val="annotation subject"/>
    <w:basedOn w:val="10"/>
    <w:next w:val="10"/>
    <w:link w:val="49"/>
    <w:autoRedefine/>
    <w:qFormat/>
    <w:uiPriority w:val="0"/>
    <w:rPr>
      <w:b/>
      <w:bCs/>
    </w:rPr>
  </w:style>
  <w:style w:type="table" w:styleId="36">
    <w:name w:val="Table Grid"/>
    <w:basedOn w:val="35"/>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
    <w:name w:val="Strong"/>
    <w:basedOn w:val="37"/>
    <w:autoRedefine/>
    <w:qFormat/>
    <w:uiPriority w:val="0"/>
    <w:rPr>
      <w:b/>
    </w:rPr>
  </w:style>
  <w:style w:type="character" w:styleId="39">
    <w:name w:val="endnote reference"/>
    <w:autoRedefine/>
    <w:semiHidden/>
    <w:qFormat/>
    <w:uiPriority w:val="0"/>
    <w:rPr>
      <w:vertAlign w:val="superscript"/>
    </w:rPr>
  </w:style>
  <w:style w:type="character" w:styleId="40">
    <w:name w:val="page number"/>
    <w:autoRedefine/>
    <w:qFormat/>
    <w:uiPriority w:val="0"/>
    <w:rPr>
      <w:rFonts w:ascii="Times New Roman" w:hAnsi="Times New Roman" w:eastAsia="宋体"/>
      <w:sz w:val="18"/>
    </w:rPr>
  </w:style>
  <w:style w:type="character" w:styleId="41">
    <w:name w:val="FollowedHyperlink"/>
    <w:basedOn w:val="37"/>
    <w:autoRedefine/>
    <w:qFormat/>
    <w:uiPriority w:val="0"/>
    <w:rPr>
      <w:color w:val="800080"/>
      <w:u w:val="none"/>
    </w:rPr>
  </w:style>
  <w:style w:type="character" w:styleId="42">
    <w:name w:val="Emphasis"/>
    <w:basedOn w:val="37"/>
    <w:autoRedefine/>
    <w:qFormat/>
    <w:uiPriority w:val="0"/>
  </w:style>
  <w:style w:type="character" w:styleId="43">
    <w:name w:val="Hyperlink"/>
    <w:autoRedefine/>
    <w:qFormat/>
    <w:uiPriority w:val="99"/>
    <w:rPr>
      <w:color w:val="0000FF"/>
      <w:spacing w:val="0"/>
      <w:w w:val="100"/>
      <w:szCs w:val="21"/>
      <w:u w:val="single"/>
    </w:rPr>
  </w:style>
  <w:style w:type="character" w:styleId="44">
    <w:name w:val="annotation reference"/>
    <w:autoRedefine/>
    <w:qFormat/>
    <w:uiPriority w:val="0"/>
    <w:rPr>
      <w:sz w:val="21"/>
      <w:szCs w:val="21"/>
    </w:rPr>
  </w:style>
  <w:style w:type="character" w:styleId="45">
    <w:name w:val="footnote reference"/>
    <w:autoRedefine/>
    <w:semiHidden/>
    <w:qFormat/>
    <w:uiPriority w:val="0"/>
    <w:rPr>
      <w:vertAlign w:val="superscript"/>
    </w:rPr>
  </w:style>
  <w:style w:type="character" w:customStyle="1" w:styleId="46">
    <w:name w:val="批注文字 Char"/>
    <w:link w:val="10"/>
    <w:autoRedefine/>
    <w:qFormat/>
    <w:uiPriority w:val="0"/>
    <w:rPr>
      <w:kern w:val="2"/>
      <w:sz w:val="21"/>
      <w:szCs w:val="24"/>
    </w:rPr>
  </w:style>
  <w:style w:type="character" w:customStyle="1" w:styleId="47">
    <w:name w:val="批注框文本 Char"/>
    <w:link w:val="18"/>
    <w:autoRedefine/>
    <w:qFormat/>
    <w:uiPriority w:val="0"/>
    <w:rPr>
      <w:kern w:val="2"/>
      <w:sz w:val="18"/>
      <w:szCs w:val="18"/>
    </w:rPr>
  </w:style>
  <w:style w:type="character" w:customStyle="1" w:styleId="48">
    <w:name w:val="段 Char"/>
    <w:link w:val="25"/>
    <w:autoRedefine/>
    <w:qFormat/>
    <w:uiPriority w:val="0"/>
    <w:rPr>
      <w:rFonts w:ascii="宋体"/>
      <w:sz w:val="21"/>
      <w:lang w:val="en-US" w:eastAsia="zh-CN" w:bidi="ar-SA"/>
    </w:rPr>
  </w:style>
  <w:style w:type="character" w:customStyle="1" w:styleId="49">
    <w:name w:val="批注主题 Char"/>
    <w:link w:val="34"/>
    <w:autoRedefine/>
    <w:qFormat/>
    <w:uiPriority w:val="0"/>
    <w:rPr>
      <w:b/>
      <w:bCs/>
      <w:kern w:val="2"/>
      <w:sz w:val="21"/>
      <w:szCs w:val="24"/>
    </w:rPr>
  </w:style>
  <w:style w:type="character" w:customStyle="1" w:styleId="50">
    <w:name w:val="首示例 Char"/>
    <w:link w:val="51"/>
    <w:autoRedefine/>
    <w:qFormat/>
    <w:uiPriority w:val="0"/>
    <w:rPr>
      <w:rFonts w:ascii="宋体" w:hAnsi="宋体"/>
      <w:kern w:val="2"/>
      <w:sz w:val="18"/>
      <w:szCs w:val="18"/>
      <w:lang w:val="en-US" w:eastAsia="zh-CN" w:bidi="ar-SA"/>
    </w:rPr>
  </w:style>
  <w:style w:type="paragraph" w:customStyle="1" w:styleId="51">
    <w:name w:val="首示例"/>
    <w:next w:val="25"/>
    <w:link w:val="50"/>
    <w:autoRedefine/>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character" w:customStyle="1" w:styleId="52">
    <w:name w:val="附录公式 Char"/>
    <w:basedOn w:val="48"/>
    <w:link w:val="53"/>
    <w:autoRedefine/>
    <w:qFormat/>
    <w:uiPriority w:val="0"/>
  </w:style>
  <w:style w:type="paragraph" w:customStyle="1" w:styleId="53">
    <w:name w:val="附录公式"/>
    <w:basedOn w:val="25"/>
    <w:next w:val="25"/>
    <w:link w:val="52"/>
    <w:autoRedefine/>
    <w:qFormat/>
    <w:uiPriority w:val="0"/>
  </w:style>
  <w:style w:type="character" w:customStyle="1" w:styleId="54">
    <w:name w:val="发布"/>
    <w:autoRedefine/>
    <w:qFormat/>
    <w:uiPriority w:val="0"/>
    <w:rPr>
      <w:rFonts w:ascii="黑体" w:eastAsia="黑体"/>
      <w:spacing w:val="85"/>
      <w:w w:val="100"/>
      <w:position w:val="3"/>
      <w:sz w:val="28"/>
      <w:szCs w:val="28"/>
    </w:rPr>
  </w:style>
  <w:style w:type="paragraph" w:customStyle="1" w:styleId="55">
    <w:name w:val="封面标准文稿编辑信息"/>
    <w:basedOn w:val="56"/>
    <w:autoRedefine/>
    <w:qFormat/>
    <w:uiPriority w:val="0"/>
    <w:pPr>
      <w:spacing w:before="180" w:line="180" w:lineRule="exact"/>
    </w:pPr>
    <w:rPr>
      <w:sz w:val="21"/>
    </w:rPr>
  </w:style>
  <w:style w:type="paragraph" w:customStyle="1" w:styleId="56">
    <w:name w:val="封面标准文稿类别"/>
    <w:basedOn w:val="57"/>
    <w:autoRedefine/>
    <w:qFormat/>
    <w:uiPriority w:val="0"/>
    <w:pPr>
      <w:spacing w:after="160" w:line="240" w:lineRule="auto"/>
    </w:pPr>
    <w:rPr>
      <w:sz w:val="24"/>
    </w:rPr>
  </w:style>
  <w:style w:type="paragraph" w:customStyle="1" w:styleId="57">
    <w:name w:val="封面一致性程度标识"/>
    <w:basedOn w:val="58"/>
    <w:autoRedefine/>
    <w:qFormat/>
    <w:uiPriority w:val="0"/>
    <w:pPr>
      <w:spacing w:before="440"/>
    </w:pPr>
    <w:rPr>
      <w:rFonts w:ascii="宋体" w:eastAsia="宋体"/>
    </w:rPr>
  </w:style>
  <w:style w:type="paragraph" w:customStyle="1" w:styleId="58">
    <w:name w:val="封面标准英文名称"/>
    <w:basedOn w:val="59"/>
    <w:autoRedefine/>
    <w:qFormat/>
    <w:uiPriority w:val="0"/>
    <w:pPr>
      <w:spacing w:before="370" w:line="400" w:lineRule="exact"/>
    </w:pPr>
    <w:rPr>
      <w:rFonts w:ascii="Times New Roman"/>
      <w:sz w:val="28"/>
      <w:szCs w:val="28"/>
    </w:rPr>
  </w:style>
  <w:style w:type="paragraph" w:customStyle="1" w:styleId="59">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0">
    <w:name w:val="目次、标准名称标题"/>
    <w:basedOn w:val="1"/>
    <w:next w:val="25"/>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61">
    <w:name w:val="二级条标题"/>
    <w:basedOn w:val="62"/>
    <w:next w:val="25"/>
    <w:autoRedefine/>
    <w:qFormat/>
    <w:uiPriority w:val="0"/>
    <w:pPr>
      <w:numPr>
        <w:ilvl w:val="2"/>
        <w:numId w:val="3"/>
      </w:numPr>
      <w:spacing w:before="50" w:after="50"/>
      <w:outlineLvl w:val="3"/>
    </w:pPr>
  </w:style>
  <w:style w:type="paragraph" w:customStyle="1" w:styleId="62">
    <w:name w:val="一级条标题"/>
    <w:next w:val="25"/>
    <w:autoRedefine/>
    <w:qFormat/>
    <w:uiPriority w:val="0"/>
    <w:pPr>
      <w:numPr>
        <w:ilvl w:val="1"/>
        <w:numId w:val="3"/>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63">
    <w:name w:val="封面标准英文名称2"/>
    <w:basedOn w:val="58"/>
    <w:autoRedefine/>
    <w:qFormat/>
    <w:uiPriority w:val="0"/>
    <w:pPr>
      <w:framePr w:y="4469"/>
    </w:pPr>
  </w:style>
  <w:style w:type="paragraph" w:customStyle="1" w:styleId="64">
    <w:name w:val="其他实施日期"/>
    <w:basedOn w:val="65"/>
    <w:autoRedefine/>
    <w:qFormat/>
    <w:uiPriority w:val="0"/>
  </w:style>
  <w:style w:type="paragraph" w:customStyle="1" w:styleId="65">
    <w:name w:val="实施日期"/>
    <w:basedOn w:val="66"/>
    <w:autoRedefine/>
    <w:qFormat/>
    <w:uiPriority w:val="0"/>
    <w:pPr>
      <w:framePr w:vAnchor="page" w:hAnchor="page"/>
      <w:jc w:val="right"/>
    </w:pPr>
  </w:style>
  <w:style w:type="paragraph" w:customStyle="1" w:styleId="66">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67">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68">
    <w:name w:val="正文公式编号制表符"/>
    <w:basedOn w:val="25"/>
    <w:next w:val="25"/>
    <w:autoRedefine/>
    <w:qFormat/>
    <w:uiPriority w:val="0"/>
    <w:pPr>
      <w:ind w:firstLine="0" w:firstLineChars="0"/>
    </w:pPr>
  </w:style>
  <w:style w:type="paragraph" w:customStyle="1" w:styleId="69">
    <w:name w:val="封面正文"/>
    <w:autoRedefine/>
    <w:qFormat/>
    <w:uiPriority w:val="0"/>
    <w:pPr>
      <w:jc w:val="both"/>
    </w:pPr>
    <w:rPr>
      <w:rFonts w:ascii="Times New Roman" w:hAnsi="Times New Roman" w:eastAsia="宋体" w:cs="Times New Roman"/>
      <w:lang w:val="en-US" w:eastAsia="zh-CN" w:bidi="ar-SA"/>
    </w:rPr>
  </w:style>
  <w:style w:type="paragraph" w:customStyle="1" w:styleId="70">
    <w:name w:val="附录章标题"/>
    <w:next w:val="25"/>
    <w:autoRedefine/>
    <w:qFormat/>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71">
    <w:name w:val="附录标题"/>
    <w:basedOn w:val="25"/>
    <w:next w:val="25"/>
    <w:autoRedefine/>
    <w:qFormat/>
    <w:uiPriority w:val="0"/>
    <w:pPr>
      <w:ind w:firstLine="0" w:firstLineChars="0"/>
      <w:jc w:val="center"/>
    </w:pPr>
    <w:rPr>
      <w:rFonts w:ascii="黑体" w:eastAsia="黑体"/>
    </w:rPr>
  </w:style>
  <w:style w:type="paragraph" w:customStyle="1" w:styleId="72">
    <w:name w:val="二级无"/>
    <w:basedOn w:val="61"/>
    <w:autoRedefine/>
    <w:qFormat/>
    <w:uiPriority w:val="0"/>
    <w:pPr>
      <w:spacing w:before="0" w:beforeLines="0" w:after="0" w:afterLines="0"/>
      <w:ind w:left="0" w:firstLine="0"/>
    </w:pPr>
    <w:rPr>
      <w:rFonts w:ascii="宋体" w:eastAsia="宋体"/>
    </w:rPr>
  </w:style>
  <w:style w:type="paragraph" w:customStyle="1" w:styleId="73">
    <w:name w:val="封面标准名称2"/>
    <w:basedOn w:val="59"/>
    <w:autoRedefine/>
    <w:qFormat/>
    <w:uiPriority w:val="0"/>
    <w:pPr>
      <w:framePr w:y="4469"/>
      <w:spacing w:before="630" w:beforeLines="630"/>
    </w:pPr>
  </w:style>
  <w:style w:type="paragraph" w:customStyle="1" w:styleId="74">
    <w:name w:val="附录三级条标题"/>
    <w:basedOn w:val="75"/>
    <w:next w:val="25"/>
    <w:autoRedefine/>
    <w:qFormat/>
    <w:uiPriority w:val="0"/>
    <w:pPr>
      <w:numPr>
        <w:ilvl w:val="4"/>
        <w:numId w:val="4"/>
      </w:numPr>
      <w:tabs>
        <w:tab w:val="left" w:pos="360"/>
      </w:tabs>
      <w:outlineLvl w:val="4"/>
    </w:pPr>
  </w:style>
  <w:style w:type="paragraph" w:customStyle="1" w:styleId="75">
    <w:name w:val="附录二级条标题"/>
    <w:basedOn w:val="1"/>
    <w:next w:val="25"/>
    <w:autoRedefine/>
    <w:qFormat/>
    <w:uiPriority w:val="0"/>
    <w:pPr>
      <w:widowControl/>
      <w:numPr>
        <w:ilvl w:val="3"/>
        <w:numId w:val="4"/>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76">
    <w:name w:val="四级条标题"/>
    <w:basedOn w:val="77"/>
    <w:next w:val="25"/>
    <w:autoRedefine/>
    <w:qFormat/>
    <w:uiPriority w:val="0"/>
    <w:pPr>
      <w:numPr>
        <w:ilvl w:val="4"/>
        <w:numId w:val="3"/>
      </w:numPr>
      <w:outlineLvl w:val="5"/>
    </w:pPr>
  </w:style>
  <w:style w:type="paragraph" w:customStyle="1" w:styleId="77">
    <w:name w:val="三级条标题"/>
    <w:basedOn w:val="61"/>
    <w:next w:val="25"/>
    <w:autoRedefine/>
    <w:qFormat/>
    <w:uiPriority w:val="0"/>
    <w:pPr>
      <w:numPr>
        <w:ilvl w:val="3"/>
        <w:numId w:val="3"/>
      </w:numPr>
      <w:outlineLvl w:val="4"/>
    </w:pPr>
  </w:style>
  <w:style w:type="paragraph" w:customStyle="1" w:styleId="78">
    <w:name w:val="附录数字编号列项（二级）"/>
    <w:autoRedefine/>
    <w:qFormat/>
    <w:uiPriority w:val="0"/>
    <w:pPr>
      <w:numPr>
        <w:ilvl w:val="1"/>
        <w:numId w:val="5"/>
      </w:numPr>
    </w:pPr>
    <w:rPr>
      <w:rFonts w:ascii="宋体" w:hAnsi="Times New Roman" w:eastAsia="宋体" w:cs="Times New Roman"/>
      <w:sz w:val="21"/>
      <w:lang w:val="en-US" w:eastAsia="zh-CN" w:bidi="ar-SA"/>
    </w:rPr>
  </w:style>
  <w:style w:type="paragraph" w:customStyle="1" w:styleId="79">
    <w:name w:val="示例×："/>
    <w:basedOn w:val="80"/>
    <w:autoRedefine/>
    <w:qFormat/>
    <w:uiPriority w:val="0"/>
    <w:pPr>
      <w:numPr>
        <w:ilvl w:val="0"/>
        <w:numId w:val="6"/>
      </w:numPr>
      <w:spacing w:before="0" w:beforeLines="0" w:after="0" w:afterLines="0"/>
      <w:outlineLvl w:val="9"/>
    </w:pPr>
    <w:rPr>
      <w:rFonts w:ascii="宋体" w:eastAsia="宋体"/>
      <w:sz w:val="18"/>
      <w:szCs w:val="18"/>
    </w:rPr>
  </w:style>
  <w:style w:type="paragraph" w:customStyle="1" w:styleId="80">
    <w:name w:val="章标题"/>
    <w:next w:val="25"/>
    <w:autoRedefine/>
    <w:qFormat/>
    <w:uiPriority w:val="0"/>
    <w:pPr>
      <w:numPr>
        <w:ilvl w:val="0"/>
        <w:numId w:val="3"/>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8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2">
    <w:name w:val="五级条标题"/>
    <w:basedOn w:val="76"/>
    <w:next w:val="25"/>
    <w:autoRedefine/>
    <w:qFormat/>
    <w:uiPriority w:val="0"/>
    <w:pPr>
      <w:numPr>
        <w:ilvl w:val="5"/>
        <w:numId w:val="3"/>
      </w:numPr>
      <w:outlineLvl w:val="6"/>
    </w:pPr>
  </w:style>
  <w:style w:type="paragraph" w:customStyle="1" w:styleId="83">
    <w:name w:val="一级无"/>
    <w:basedOn w:val="62"/>
    <w:autoRedefine/>
    <w:qFormat/>
    <w:uiPriority w:val="0"/>
    <w:pPr>
      <w:spacing w:before="0" w:beforeLines="0" w:after="0" w:afterLines="0"/>
    </w:pPr>
    <w:rPr>
      <w:rFonts w:ascii="宋体" w:eastAsia="宋体"/>
    </w:rPr>
  </w:style>
  <w:style w:type="paragraph" w:customStyle="1" w:styleId="84">
    <w:name w:val="附录表标号"/>
    <w:basedOn w:val="1"/>
    <w:next w:val="25"/>
    <w:autoRedefine/>
    <w:qFormat/>
    <w:uiPriority w:val="0"/>
    <w:pPr>
      <w:numPr>
        <w:ilvl w:val="0"/>
        <w:numId w:val="7"/>
      </w:numPr>
      <w:tabs>
        <w:tab w:val="clear" w:pos="0"/>
      </w:tabs>
      <w:spacing w:line="14" w:lineRule="exact"/>
      <w:ind w:left="811" w:hanging="448"/>
      <w:jc w:val="center"/>
      <w:outlineLvl w:val="0"/>
    </w:pPr>
    <w:rPr>
      <w:color w:val="FFFFFF"/>
    </w:rPr>
  </w:style>
  <w:style w:type="paragraph" w:customStyle="1" w:styleId="85">
    <w:name w:val="封面标准文稿类别2"/>
    <w:basedOn w:val="56"/>
    <w:autoRedefine/>
    <w:qFormat/>
    <w:uiPriority w:val="0"/>
    <w:pPr>
      <w:framePr w:y="4469"/>
    </w:pPr>
  </w:style>
  <w:style w:type="paragraph" w:customStyle="1" w:styleId="86">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87">
    <w:name w:val="注×："/>
    <w:autoRedefine/>
    <w:qFormat/>
    <w:uiPriority w:val="0"/>
    <w:pPr>
      <w:widowControl w:val="0"/>
      <w:numPr>
        <w:ilvl w:val="0"/>
        <w:numId w:val="8"/>
      </w:numPr>
      <w:autoSpaceDE w:val="0"/>
      <w:autoSpaceDN w:val="0"/>
      <w:jc w:val="both"/>
    </w:pPr>
    <w:rPr>
      <w:rFonts w:ascii="宋体" w:hAnsi="Times New Roman" w:eastAsia="宋体" w:cs="Times New Roman"/>
      <w:sz w:val="18"/>
      <w:szCs w:val="18"/>
      <w:lang w:val="en-US" w:eastAsia="zh-CN" w:bidi="ar-SA"/>
    </w:rPr>
  </w:style>
  <w:style w:type="paragraph" w:customStyle="1" w:styleId="88">
    <w:name w:val="附录表标题"/>
    <w:basedOn w:val="1"/>
    <w:next w:val="25"/>
    <w:autoRedefine/>
    <w:qFormat/>
    <w:uiPriority w:val="0"/>
    <w:pPr>
      <w:numPr>
        <w:ilvl w:val="1"/>
        <w:numId w:val="7"/>
      </w:numPr>
      <w:tabs>
        <w:tab w:val="left" w:pos="180"/>
      </w:tabs>
      <w:spacing w:before="50" w:beforeLines="50" w:after="50" w:afterLines="50"/>
      <w:ind w:left="0" w:firstLine="0"/>
      <w:jc w:val="center"/>
    </w:pPr>
    <w:rPr>
      <w:rFonts w:ascii="黑体" w:eastAsia="黑体"/>
      <w:szCs w:val="21"/>
    </w:rPr>
  </w:style>
  <w:style w:type="paragraph" w:customStyle="1" w:styleId="89">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90">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91">
    <w:name w:val="前言、引言标题"/>
    <w:next w:val="25"/>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2">
    <w:name w:val="附录公式编号制表符"/>
    <w:basedOn w:val="1"/>
    <w:next w:val="25"/>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93">
    <w:name w:val="注：（正文）"/>
    <w:basedOn w:val="94"/>
    <w:next w:val="25"/>
    <w:autoRedefine/>
    <w:qFormat/>
    <w:uiPriority w:val="0"/>
  </w:style>
  <w:style w:type="paragraph" w:customStyle="1" w:styleId="94">
    <w:name w:val="注："/>
    <w:next w:val="25"/>
    <w:autoRedefine/>
    <w:qFormat/>
    <w:uiPriority w:val="0"/>
    <w:pPr>
      <w:widowControl w:val="0"/>
      <w:numPr>
        <w:ilvl w:val="0"/>
        <w:numId w:val="9"/>
      </w:numPr>
      <w:autoSpaceDE w:val="0"/>
      <w:autoSpaceDN w:val="0"/>
      <w:ind w:left="726"/>
      <w:jc w:val="both"/>
    </w:pPr>
    <w:rPr>
      <w:rFonts w:ascii="宋体" w:hAnsi="Times New Roman" w:eastAsia="宋体" w:cs="Times New Roman"/>
      <w:sz w:val="18"/>
      <w:szCs w:val="18"/>
      <w:lang w:val="en-US" w:eastAsia="zh-CN" w:bidi="ar-SA"/>
    </w:rPr>
  </w:style>
  <w:style w:type="paragraph" w:customStyle="1" w:styleId="95">
    <w:name w:val="正文图标题"/>
    <w:next w:val="25"/>
    <w:autoRedefine/>
    <w:qFormat/>
    <w:uiPriority w:val="0"/>
    <w:pPr>
      <w:numPr>
        <w:ilvl w:val="0"/>
        <w:numId w:val="10"/>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96">
    <w:name w:val="参考文献、索引标题"/>
    <w:basedOn w:val="1"/>
    <w:next w:val="25"/>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97">
    <w:name w:val="五级无"/>
    <w:basedOn w:val="82"/>
    <w:autoRedefine/>
    <w:qFormat/>
    <w:uiPriority w:val="0"/>
    <w:pPr>
      <w:spacing w:before="0" w:beforeLines="0" w:after="0" w:afterLines="0"/>
    </w:pPr>
    <w:rPr>
      <w:rFonts w:ascii="宋体" w:eastAsia="宋体"/>
    </w:rPr>
  </w:style>
  <w:style w:type="paragraph" w:customStyle="1" w:styleId="98">
    <w:name w:val="其他发布日期"/>
    <w:basedOn w:val="66"/>
    <w:autoRedefine/>
    <w:qFormat/>
    <w:uiPriority w:val="0"/>
    <w:pPr>
      <w:framePr w:vAnchor="page" w:hAnchor="page" w:x="1419"/>
    </w:pPr>
  </w:style>
  <w:style w:type="paragraph" w:customStyle="1" w:styleId="99">
    <w:name w:val="附录三级无"/>
    <w:basedOn w:val="74"/>
    <w:autoRedefine/>
    <w:qFormat/>
    <w:uiPriority w:val="0"/>
    <w:pPr>
      <w:tabs>
        <w:tab w:val="clear" w:pos="360"/>
      </w:tabs>
      <w:spacing w:before="0" w:beforeLines="0" w:after="0" w:afterLines="0"/>
    </w:pPr>
    <w:rPr>
      <w:rFonts w:ascii="宋体" w:eastAsia="宋体"/>
      <w:szCs w:val="21"/>
    </w:rPr>
  </w:style>
  <w:style w:type="paragraph" w:customStyle="1" w:styleId="100">
    <w:name w:val="字母编号列项（一级）"/>
    <w:autoRedefine/>
    <w:qFormat/>
    <w:uiPriority w:val="0"/>
    <w:pPr>
      <w:numPr>
        <w:ilvl w:val="0"/>
        <w:numId w:val="11"/>
      </w:numPr>
      <w:jc w:val="both"/>
    </w:pPr>
    <w:rPr>
      <w:rFonts w:ascii="宋体" w:hAnsi="Times New Roman" w:eastAsia="宋体" w:cs="Times New Roman"/>
      <w:sz w:val="21"/>
      <w:lang w:val="en-US" w:eastAsia="zh-CN" w:bidi="ar-SA"/>
    </w:rPr>
  </w:style>
  <w:style w:type="paragraph" w:customStyle="1" w:styleId="101">
    <w:name w:val="附录图标题"/>
    <w:basedOn w:val="1"/>
    <w:next w:val="25"/>
    <w:autoRedefine/>
    <w:qFormat/>
    <w:uiPriority w:val="0"/>
    <w:pPr>
      <w:numPr>
        <w:ilvl w:val="1"/>
        <w:numId w:val="12"/>
      </w:numPr>
      <w:tabs>
        <w:tab w:val="left" w:pos="363"/>
      </w:tabs>
      <w:spacing w:before="50" w:beforeLines="50" w:after="50" w:afterLines="50"/>
      <w:ind w:left="0" w:firstLine="0"/>
      <w:jc w:val="center"/>
    </w:pPr>
    <w:rPr>
      <w:rFonts w:ascii="黑体" w:eastAsia="黑体"/>
      <w:szCs w:val="21"/>
    </w:rPr>
  </w:style>
  <w:style w:type="paragraph" w:customStyle="1" w:styleId="102">
    <w:name w:val="正文表标题"/>
    <w:next w:val="25"/>
    <w:autoRedefine/>
    <w:qFormat/>
    <w:uiPriority w:val="0"/>
    <w:pPr>
      <w:numPr>
        <w:ilvl w:val="0"/>
        <w:numId w:val="13"/>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03">
    <w:name w:val="示例"/>
    <w:next w:val="104"/>
    <w:autoRedefine/>
    <w:qFormat/>
    <w:uiPriority w:val="0"/>
    <w:pPr>
      <w:widowControl w:val="0"/>
      <w:numPr>
        <w:ilvl w:val="0"/>
        <w:numId w:val="14"/>
      </w:numPr>
      <w:jc w:val="both"/>
    </w:pPr>
    <w:rPr>
      <w:rFonts w:ascii="宋体" w:hAnsi="Times New Roman" w:eastAsia="宋体" w:cs="Times New Roman"/>
      <w:sz w:val="18"/>
      <w:szCs w:val="18"/>
      <w:lang w:val="en-US" w:eastAsia="zh-CN" w:bidi="ar-SA"/>
    </w:rPr>
  </w:style>
  <w:style w:type="paragraph" w:customStyle="1" w:styleId="104">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05">
    <w:name w:val="四级无"/>
    <w:basedOn w:val="76"/>
    <w:autoRedefine/>
    <w:qFormat/>
    <w:uiPriority w:val="0"/>
    <w:pPr>
      <w:spacing w:before="0" w:beforeLines="0" w:after="0" w:afterLines="0"/>
    </w:pPr>
    <w:rPr>
      <w:rFonts w:ascii="宋体" w:eastAsia="宋体"/>
    </w:rPr>
  </w:style>
  <w:style w:type="paragraph" w:customStyle="1" w:styleId="106">
    <w:name w:val="其他标准标志"/>
    <w:basedOn w:val="90"/>
    <w:autoRedefine/>
    <w:qFormat/>
    <w:uiPriority w:val="0"/>
    <w:pPr>
      <w:framePr w:w="6101" w:vAnchor="page" w:hAnchor="page" w:x="4673" w:y="942"/>
    </w:pPr>
    <w:rPr>
      <w:w w:val="130"/>
    </w:rPr>
  </w:style>
  <w:style w:type="paragraph" w:customStyle="1" w:styleId="107">
    <w:name w:val="附录四级条标题"/>
    <w:basedOn w:val="74"/>
    <w:next w:val="25"/>
    <w:autoRedefine/>
    <w:qFormat/>
    <w:uiPriority w:val="0"/>
    <w:pPr>
      <w:numPr>
        <w:ilvl w:val="5"/>
        <w:numId w:val="4"/>
      </w:numPr>
      <w:outlineLvl w:val="5"/>
    </w:pPr>
  </w:style>
  <w:style w:type="paragraph" w:customStyle="1" w:styleId="108">
    <w:name w:val="附录一级无"/>
    <w:basedOn w:val="109"/>
    <w:autoRedefine/>
    <w:qFormat/>
    <w:uiPriority w:val="0"/>
    <w:pPr>
      <w:tabs>
        <w:tab w:val="left" w:pos="360"/>
      </w:tabs>
      <w:spacing w:before="0" w:beforeLines="0" w:after="0" w:afterLines="0"/>
    </w:pPr>
    <w:rPr>
      <w:rFonts w:ascii="宋体" w:eastAsia="宋体"/>
      <w:szCs w:val="21"/>
    </w:rPr>
  </w:style>
  <w:style w:type="paragraph" w:customStyle="1" w:styleId="109">
    <w:name w:val="附录一级条标题"/>
    <w:basedOn w:val="70"/>
    <w:next w:val="25"/>
    <w:autoRedefine/>
    <w:qFormat/>
    <w:uiPriority w:val="0"/>
    <w:pPr>
      <w:numPr>
        <w:ilvl w:val="2"/>
        <w:numId w:val="4"/>
      </w:numPr>
      <w:autoSpaceDN w:val="0"/>
      <w:spacing w:before="50" w:beforeLines="50" w:after="50" w:afterLines="50"/>
      <w:outlineLvl w:val="2"/>
    </w:pPr>
  </w:style>
  <w:style w:type="paragraph" w:customStyle="1" w:styleId="110">
    <w:name w:val="列项◆（三级）"/>
    <w:basedOn w:val="1"/>
    <w:autoRedefine/>
    <w:qFormat/>
    <w:uiPriority w:val="0"/>
    <w:pPr>
      <w:numPr>
        <w:ilvl w:val="2"/>
        <w:numId w:val="15"/>
      </w:numPr>
    </w:pPr>
    <w:rPr>
      <w:rFonts w:ascii="宋体"/>
      <w:szCs w:val="21"/>
    </w:rPr>
  </w:style>
  <w:style w:type="paragraph" w:customStyle="1" w:styleId="111">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12">
    <w:name w:val="附录五级条标题"/>
    <w:basedOn w:val="107"/>
    <w:next w:val="25"/>
    <w:autoRedefine/>
    <w:qFormat/>
    <w:uiPriority w:val="0"/>
    <w:pPr>
      <w:numPr>
        <w:ilvl w:val="6"/>
        <w:numId w:val="4"/>
      </w:numPr>
      <w:outlineLvl w:val="6"/>
    </w:pPr>
  </w:style>
  <w:style w:type="paragraph" w:customStyle="1" w:styleId="113">
    <w:name w:val="附录五级无"/>
    <w:basedOn w:val="112"/>
    <w:autoRedefine/>
    <w:qFormat/>
    <w:uiPriority w:val="0"/>
    <w:pPr>
      <w:tabs>
        <w:tab w:val="clear" w:pos="360"/>
      </w:tabs>
      <w:spacing w:before="0" w:beforeLines="0" w:after="0" w:afterLines="0"/>
    </w:pPr>
    <w:rPr>
      <w:rFonts w:ascii="宋体" w:eastAsia="宋体"/>
      <w:szCs w:val="21"/>
    </w:rPr>
  </w:style>
  <w:style w:type="paragraph" w:customStyle="1" w:styleId="114">
    <w:name w:val="附录字母编号列项（一级）"/>
    <w:autoRedefine/>
    <w:qFormat/>
    <w:uiPriority w:val="0"/>
    <w:pPr>
      <w:numPr>
        <w:ilvl w:val="0"/>
        <w:numId w:val="5"/>
      </w:numPr>
    </w:pPr>
    <w:rPr>
      <w:rFonts w:ascii="宋体" w:hAnsi="Times New Roman" w:eastAsia="宋体" w:cs="Times New Roman"/>
      <w:sz w:val="21"/>
      <w:lang w:val="en-US" w:eastAsia="zh-CN" w:bidi="ar-SA"/>
    </w:rPr>
  </w:style>
  <w:style w:type="paragraph" w:customStyle="1" w:styleId="115">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16">
    <w:name w:val="附录四级无"/>
    <w:basedOn w:val="107"/>
    <w:autoRedefine/>
    <w:qFormat/>
    <w:uiPriority w:val="0"/>
    <w:pPr>
      <w:tabs>
        <w:tab w:val="clear" w:pos="360"/>
      </w:tabs>
      <w:spacing w:before="0" w:beforeLines="0" w:after="0" w:afterLines="0"/>
    </w:pPr>
    <w:rPr>
      <w:rFonts w:ascii="宋体" w:eastAsia="宋体"/>
      <w:szCs w:val="21"/>
    </w:rPr>
  </w:style>
  <w:style w:type="paragraph" w:customStyle="1" w:styleId="117">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18">
    <w:name w:val="列项●（二级）"/>
    <w:autoRedefine/>
    <w:qFormat/>
    <w:uiPriority w:val="0"/>
    <w:pPr>
      <w:numPr>
        <w:ilvl w:val="1"/>
        <w:numId w:val="15"/>
      </w:numPr>
      <w:tabs>
        <w:tab w:val="left" w:pos="840"/>
        <w:tab w:val="clear" w:pos="760"/>
      </w:tabs>
      <w:jc w:val="both"/>
    </w:pPr>
    <w:rPr>
      <w:rFonts w:ascii="宋体" w:hAnsi="Times New Roman" w:eastAsia="宋体" w:cs="Times New Roman"/>
      <w:sz w:val="21"/>
      <w:lang w:val="en-US" w:eastAsia="zh-CN" w:bidi="ar-SA"/>
    </w:rPr>
  </w:style>
  <w:style w:type="paragraph" w:customStyle="1" w:styleId="119">
    <w:name w:val="附录图标号"/>
    <w:basedOn w:val="1"/>
    <w:autoRedefine/>
    <w:qFormat/>
    <w:uiPriority w:val="0"/>
    <w:pPr>
      <w:keepNext/>
      <w:pageBreakBefore/>
      <w:widowControl/>
      <w:numPr>
        <w:ilvl w:val="0"/>
        <w:numId w:val="12"/>
      </w:numPr>
      <w:spacing w:line="14" w:lineRule="exact"/>
      <w:ind w:left="0" w:firstLine="363"/>
      <w:jc w:val="center"/>
      <w:outlineLvl w:val="0"/>
    </w:pPr>
    <w:rPr>
      <w:color w:val="FFFFFF"/>
    </w:rPr>
  </w:style>
  <w:style w:type="paragraph" w:customStyle="1" w:styleId="120">
    <w:name w:val="标准书眉_偶数页"/>
    <w:basedOn w:val="81"/>
    <w:next w:val="1"/>
    <w:autoRedefine/>
    <w:qFormat/>
    <w:uiPriority w:val="0"/>
    <w:pPr>
      <w:jc w:val="left"/>
    </w:pPr>
    <w:rPr>
      <w:rFonts w:ascii="黑体" w:eastAsia="黑体"/>
    </w:rPr>
  </w:style>
  <w:style w:type="paragraph" w:customStyle="1" w:styleId="121">
    <w:name w:val="其他发布部门"/>
    <w:basedOn w:val="122"/>
    <w:autoRedefine/>
    <w:qFormat/>
    <w:uiPriority w:val="0"/>
    <w:pPr>
      <w:framePr w:y="15310"/>
      <w:spacing w:line="0" w:lineRule="atLeast"/>
    </w:pPr>
    <w:rPr>
      <w:rFonts w:ascii="黑体" w:eastAsia="黑体"/>
      <w:b w:val="0"/>
    </w:rPr>
  </w:style>
  <w:style w:type="paragraph" w:customStyle="1" w:styleId="122">
    <w:name w:val="发布部门"/>
    <w:next w:val="25"/>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23">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24">
    <w:name w:val="附录二级无"/>
    <w:basedOn w:val="75"/>
    <w:autoRedefine/>
    <w:qFormat/>
    <w:uiPriority w:val="0"/>
    <w:pPr>
      <w:tabs>
        <w:tab w:val="clear" w:pos="360"/>
      </w:tabs>
      <w:spacing w:before="0" w:beforeLines="0" w:after="0" w:afterLines="0"/>
    </w:pPr>
    <w:rPr>
      <w:rFonts w:ascii="宋体" w:eastAsia="宋体"/>
      <w:szCs w:val="21"/>
    </w:rPr>
  </w:style>
  <w:style w:type="paragraph" w:customStyle="1" w:styleId="12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26">
    <w:name w:val="列项——（一级）"/>
    <w:autoRedefine/>
    <w:qFormat/>
    <w:uiPriority w:val="0"/>
    <w:pPr>
      <w:widowControl w:val="0"/>
      <w:numPr>
        <w:ilvl w:val="0"/>
        <w:numId w:val="15"/>
      </w:numPr>
      <w:jc w:val="both"/>
    </w:pPr>
    <w:rPr>
      <w:rFonts w:ascii="宋体" w:hAnsi="Times New Roman" w:eastAsia="宋体" w:cs="Times New Roman"/>
      <w:sz w:val="21"/>
      <w:lang w:val="en-US" w:eastAsia="zh-CN" w:bidi="ar-SA"/>
    </w:rPr>
  </w:style>
  <w:style w:type="paragraph" w:customStyle="1" w:styleId="127">
    <w:name w:val="条文脚注"/>
    <w:basedOn w:val="26"/>
    <w:autoRedefine/>
    <w:qFormat/>
    <w:uiPriority w:val="0"/>
    <w:pPr>
      <w:numPr>
        <w:ilvl w:val="0"/>
        <w:numId w:val="0"/>
      </w:numPr>
      <w:jc w:val="both"/>
    </w:pPr>
    <w:rPr>
      <w:rFonts w:ascii="宋体"/>
    </w:rPr>
  </w:style>
  <w:style w:type="paragraph" w:customStyle="1" w:styleId="128">
    <w:name w:val="示例后文字"/>
    <w:basedOn w:val="25"/>
    <w:next w:val="25"/>
    <w:autoRedefine/>
    <w:qFormat/>
    <w:uiPriority w:val="0"/>
    <w:pPr>
      <w:ind w:firstLine="360"/>
    </w:pPr>
    <w:rPr>
      <w:sz w:val="18"/>
    </w:rPr>
  </w:style>
  <w:style w:type="paragraph" w:customStyle="1" w:styleId="129">
    <w:name w:val="注×：（正文）"/>
    <w:autoRedefine/>
    <w:qFormat/>
    <w:uiPriority w:val="0"/>
    <w:pPr>
      <w:numPr>
        <w:ilvl w:val="0"/>
        <w:numId w:val="16"/>
      </w:numPr>
      <w:jc w:val="both"/>
    </w:pPr>
    <w:rPr>
      <w:rFonts w:ascii="宋体" w:hAnsi="Times New Roman" w:eastAsia="宋体" w:cs="Times New Roman"/>
      <w:sz w:val="18"/>
      <w:szCs w:val="18"/>
      <w:lang w:val="en-US" w:eastAsia="zh-CN" w:bidi="ar-SA"/>
    </w:rPr>
  </w:style>
  <w:style w:type="paragraph" w:customStyle="1" w:styleId="130">
    <w:name w:val="图的脚注"/>
    <w:next w:val="25"/>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31">
    <w:name w:val="编号列项（三级）"/>
    <w:autoRedefine/>
    <w:qFormat/>
    <w:uiPriority w:val="0"/>
    <w:pPr>
      <w:numPr>
        <w:ilvl w:val="2"/>
        <w:numId w:val="11"/>
      </w:numPr>
    </w:pPr>
    <w:rPr>
      <w:rFonts w:ascii="宋体" w:hAnsi="Times New Roman" w:eastAsia="宋体" w:cs="Times New Roman"/>
      <w:sz w:val="21"/>
      <w:lang w:val="en-US" w:eastAsia="zh-CN" w:bidi="ar-SA"/>
    </w:rPr>
  </w:style>
  <w:style w:type="paragraph" w:customStyle="1" w:styleId="132">
    <w:name w:val="终结线"/>
    <w:basedOn w:val="1"/>
    <w:autoRedefine/>
    <w:qFormat/>
    <w:uiPriority w:val="0"/>
    <w:pPr>
      <w:framePr w:hSpace="181" w:vSpace="181" w:wrap="around" w:vAnchor="text" w:hAnchor="margin" w:xAlign="center" w:y="285"/>
    </w:pPr>
  </w:style>
  <w:style w:type="paragraph" w:customStyle="1" w:styleId="133">
    <w:name w:val="图表脚注说明"/>
    <w:basedOn w:val="1"/>
    <w:autoRedefine/>
    <w:qFormat/>
    <w:uiPriority w:val="0"/>
    <w:pPr>
      <w:numPr>
        <w:ilvl w:val="0"/>
        <w:numId w:val="17"/>
      </w:numPr>
    </w:pPr>
    <w:rPr>
      <w:rFonts w:ascii="宋体"/>
      <w:sz w:val="18"/>
      <w:szCs w:val="18"/>
    </w:rPr>
  </w:style>
  <w:style w:type="paragraph" w:customStyle="1" w:styleId="134">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5">
    <w:name w:val="数字编号列项（二级）"/>
    <w:autoRedefine/>
    <w:qFormat/>
    <w:uiPriority w:val="0"/>
    <w:pPr>
      <w:numPr>
        <w:ilvl w:val="1"/>
        <w:numId w:val="11"/>
      </w:numPr>
      <w:jc w:val="both"/>
    </w:pPr>
    <w:rPr>
      <w:rFonts w:ascii="宋体" w:hAnsi="Times New Roman" w:eastAsia="宋体" w:cs="Times New Roman"/>
      <w:sz w:val="21"/>
      <w:lang w:val="en-US" w:eastAsia="zh-CN" w:bidi="ar-SA"/>
    </w:rPr>
  </w:style>
  <w:style w:type="paragraph" w:customStyle="1" w:styleId="136">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7">
    <w:name w:val="参考文献"/>
    <w:basedOn w:val="1"/>
    <w:next w:val="25"/>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8">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39">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40">
    <w:name w:val="附录标识"/>
    <w:basedOn w:val="1"/>
    <w:next w:val="25"/>
    <w:autoRedefine/>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1">
    <w:name w:val="图标脚注说明"/>
    <w:basedOn w:val="25"/>
    <w:autoRedefine/>
    <w:qFormat/>
    <w:uiPriority w:val="0"/>
    <w:pPr>
      <w:ind w:left="840" w:hanging="420" w:firstLineChars="0"/>
    </w:pPr>
    <w:rPr>
      <w:sz w:val="18"/>
      <w:szCs w:val="18"/>
    </w:rPr>
  </w:style>
  <w:style w:type="paragraph" w:customStyle="1" w:styleId="142">
    <w:name w:val="三级无"/>
    <w:basedOn w:val="77"/>
    <w:autoRedefine/>
    <w:qFormat/>
    <w:uiPriority w:val="0"/>
    <w:pPr>
      <w:spacing w:before="0" w:beforeLines="0" w:after="0" w:afterLines="0"/>
    </w:pPr>
    <w:rPr>
      <w:rFonts w:ascii="宋体" w:eastAsia="宋体"/>
    </w:rPr>
  </w:style>
  <w:style w:type="paragraph" w:customStyle="1" w:styleId="143">
    <w:name w:val="封面一致性程度标识2"/>
    <w:basedOn w:val="57"/>
    <w:autoRedefine/>
    <w:qFormat/>
    <w:uiPriority w:val="0"/>
    <w:pPr>
      <w:framePr w:y="4469"/>
    </w:pPr>
  </w:style>
  <w:style w:type="paragraph" w:customStyle="1" w:styleId="144">
    <w:name w:val="封面标准文稿编辑信息2"/>
    <w:basedOn w:val="55"/>
    <w:autoRedefine/>
    <w:qFormat/>
    <w:uiPriority w:val="0"/>
    <w:pPr>
      <w:framePr w:y="4469"/>
    </w:pPr>
  </w:style>
  <w:style w:type="character" w:customStyle="1" w:styleId="145">
    <w:name w:val="disabled"/>
    <w:basedOn w:val="37"/>
    <w:autoRedefine/>
    <w:qFormat/>
    <w:uiPriority w:val="0"/>
    <w:rPr>
      <w:vanish/>
    </w:rPr>
  </w:style>
  <w:style w:type="character" w:customStyle="1" w:styleId="146">
    <w:name w:val="znspantitle"/>
    <w:basedOn w:val="37"/>
    <w:autoRedefine/>
    <w:qFormat/>
    <w:uiPriority w:val="0"/>
    <w:rPr>
      <w:b/>
      <w:bCs/>
      <w:color w:val="333333"/>
    </w:rPr>
  </w:style>
  <w:style w:type="paragraph" w:customStyle="1" w:styleId="147">
    <w:name w:val="List Paragraph"/>
    <w:basedOn w:val="1"/>
    <w:autoRedefine/>
    <w:unhideWhenUsed/>
    <w:qFormat/>
    <w:uiPriority w:val="99"/>
    <w:pPr>
      <w:ind w:firstLine="420"/>
    </w:pPr>
    <w:rPr>
      <w:szCs w:val="32"/>
    </w:rPr>
  </w:style>
  <w:style w:type="paragraph" w:customStyle="1" w:styleId="148">
    <w:name w:val="_Style 13"/>
    <w:qFormat/>
    <w:uiPriority w:val="0"/>
    <w:pPr>
      <w:spacing w:before="120" w:after="120" w:line="288" w:lineRule="auto"/>
      <w:ind w:left="0"/>
      <w:jc w:val="left"/>
    </w:pPr>
    <w:rPr>
      <w:rFonts w:ascii="Arial" w:hAnsi="Arial" w:eastAsia="等线" w:cs="Arial"/>
      <w:sz w:val="22"/>
      <w:szCs w:val="22"/>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microsoft.com/office/2006/relationships/keyMapCustomizations" Target="customizations.xml"/><Relationship Id="rId24" Type="http://schemas.openxmlformats.org/officeDocument/2006/relationships/numbering" Target="numbering.xml"/><Relationship Id="rId23" Type="http://schemas.openxmlformats.org/officeDocument/2006/relationships/image" Target="media/image1.emf"/><Relationship Id="rId22" Type="http://schemas.openxmlformats.org/officeDocument/2006/relationships/theme" Target="theme/theme1.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45</Pages>
  <Words>335</Words>
  <Characters>489</Characters>
  <Lines>32</Lines>
  <Paragraphs>9</Paragraphs>
  <TotalTime>2</TotalTime>
  <ScaleCrop>false</ScaleCrop>
  <LinksUpToDate>false</LinksUpToDate>
  <CharactersWithSpaces>615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2024-01-12T23:59:00Z</dcterms:created>
  <dc:creator>CNIS</dc:creator>
  <cp:lastModifiedBy>think</cp:lastModifiedBy>
  <cp:lastPrinted>2025-07-02T04:55:00Z</cp:lastPrinted>
  <dcterms:modified xsi:type="dcterms:W3CDTF">2026-03-25T02:02:38Z</dcterms:modified>
  <dc:title>标准名称</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DCB0583481794DA58EEF5B42BC2426B7_13</vt:lpwstr>
  </property>
  <property fmtid="{D5CDD505-2E9C-101B-9397-08002B2CF9AE}" pid="4" name="KSOTemplateDocerSaveRecord">
    <vt:lpwstr>eyJoZGlkIjoiYzMwN2RkYTU1NGY1YTQ5YzRmYjJhNDFmYWE5ZWQzYjUiLCJ1c2VySWQiOiI0MjE5NDA0NzUifQ==</vt:lpwstr>
  </property>
</Properties>
</file>