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15747">
      <w:pPr>
        <w:pStyle w:val="43"/>
        <w:ind w:firstLine="0" w:firstLineChars="0"/>
        <w:jc w:val="left"/>
        <w:rPr>
          <w:sz w:val="21"/>
          <w:szCs w:val="21"/>
        </w:rPr>
      </w:pPr>
      <w:bookmarkStart w:id="236" w:name="_GoBack"/>
      <w:bookmarkEnd w:id="236"/>
      <w:bookmarkStart w:id="0" w:name="_Toc16258"/>
      <w:bookmarkStart w:id="1" w:name="_Toc218963312"/>
      <w:bookmarkStart w:id="2" w:name="_Toc62197056"/>
      <w:bookmarkStart w:id="3" w:name="_Toc62197058"/>
      <w:bookmarkStart w:id="4" w:name="_Toc62140505"/>
      <w:bookmarkStart w:id="5" w:name="_Toc62141030"/>
      <w:bookmarkStart w:id="6" w:name="_Toc66119050"/>
      <w:r>
        <w:rPr>
          <w:rFonts w:hint="eastAsia"/>
          <w:sz w:val="21"/>
          <w:szCs w:val="21"/>
        </w:rPr>
        <w:t>ICS XX.XX</w:t>
      </w:r>
      <w:bookmarkEnd w:id="0"/>
      <w:bookmarkEnd w:id="1"/>
    </w:p>
    <w:p w14:paraId="5E2E2179">
      <w:pPr>
        <w:pStyle w:val="44"/>
        <w:ind w:firstLine="0" w:firstLineChars="0"/>
      </w:pPr>
      <w:r>
        <w:rPr>
          <w:rFonts w:hint="eastAsia"/>
        </w:rPr>
        <w:t>XXX</w:t>
      </w:r>
    </w:p>
    <w:p w14:paraId="2AC70157">
      <w:pPr>
        <w:pStyle w:val="44"/>
        <w:spacing w:line="360" w:lineRule="auto"/>
        <w:ind w:firstLine="0" w:firstLineChars="0"/>
        <w:jc w:val="distribute"/>
        <w:rPr>
          <w:rFonts w:ascii="Times New Roman" w:eastAsia="黑体"/>
          <w:spacing w:val="-20"/>
          <w:sz w:val="48"/>
          <w:szCs w:val="48"/>
        </w:rPr>
      </w:pPr>
      <w:r>
        <w:rPr>
          <w:rFonts w:hint="eastAsia" w:ascii="Times New Roman" w:eastAsia="黑体"/>
          <w:spacing w:val="-20"/>
          <w:sz w:val="48"/>
          <w:szCs w:val="48"/>
        </w:rPr>
        <w:t>团体标准</w:t>
      </w:r>
    </w:p>
    <w:p w14:paraId="2F8B2D0A">
      <w:pPr>
        <w:pStyle w:val="44"/>
        <w:spacing w:line="360" w:lineRule="auto"/>
        <w:ind w:firstLine="0" w:firstLineChars="0"/>
        <w:jc w:val="right"/>
        <w:rPr>
          <w:rFonts w:ascii="Times New Roman"/>
          <w:sz w:val="28"/>
          <w:szCs w:val="28"/>
        </w:rPr>
      </w:pPr>
      <w:r>
        <w:rPr>
          <w:rFonts w:ascii="Times New Roman"/>
          <w:sz w:val="28"/>
          <w:szCs w:val="28"/>
        </w:rPr>
        <w:t>T /CAGHP</w:t>
      </w:r>
      <w:r>
        <w:rPr>
          <w:rFonts w:hint="eastAsia" w:ascii="Times New Roman"/>
          <w:sz w:val="28"/>
          <w:szCs w:val="28"/>
        </w:rPr>
        <w:t>ER</w:t>
      </w:r>
      <w:r>
        <w:rPr>
          <w:rFonts w:ascii="Times New Roman"/>
          <w:sz w:val="28"/>
          <w:szCs w:val="28"/>
        </w:rPr>
        <w:t xml:space="preserve"> XXX—XXXX</w:t>
      </w:r>
    </w:p>
    <w:p w14:paraId="094BA896">
      <w:pPr>
        <w:pStyle w:val="44"/>
        <w:ind w:firstLine="0" w:firstLineChars="0"/>
        <w:jc w:val="right"/>
        <w:rPr>
          <w:rFonts w:ascii="Times New Roman"/>
          <w:szCs w:val="21"/>
        </w:rPr>
      </w:pPr>
    </w:p>
    <w:tbl>
      <w:tblPr>
        <w:tblStyle w:val="29"/>
        <w:tblW w:w="0" w:type="auto"/>
        <w:jc w:val="center"/>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2DFF6950">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571" w:type="dxa"/>
          </w:tcPr>
          <w:p w14:paraId="368F2EB3">
            <w:pPr>
              <w:pStyle w:val="44"/>
              <w:ind w:firstLine="0" w:firstLineChars="0"/>
              <w:jc w:val="center"/>
              <w:rPr>
                <w:rFonts w:ascii="Times New Roman" w:eastAsia="黑体"/>
                <w:sz w:val="48"/>
                <w:szCs w:val="48"/>
              </w:rPr>
            </w:pPr>
          </w:p>
        </w:tc>
      </w:tr>
    </w:tbl>
    <w:p w14:paraId="3A77E533">
      <w:pPr>
        <w:pStyle w:val="44"/>
        <w:ind w:firstLine="0" w:firstLineChars="0"/>
        <w:rPr>
          <w:rFonts w:ascii="Times New Roman" w:eastAsia="黑体"/>
          <w:sz w:val="48"/>
          <w:szCs w:val="48"/>
        </w:rPr>
      </w:pPr>
    </w:p>
    <w:p w14:paraId="24A0A5C7">
      <w:pPr>
        <w:pStyle w:val="44"/>
        <w:ind w:firstLine="0" w:firstLineChars="0"/>
        <w:jc w:val="distribute"/>
        <w:rPr>
          <w:rFonts w:ascii="Times New Roman" w:eastAsia="黑体"/>
          <w:sz w:val="48"/>
          <w:szCs w:val="48"/>
        </w:rPr>
      </w:pPr>
    </w:p>
    <w:p w14:paraId="42048B60">
      <w:pPr>
        <w:pStyle w:val="44"/>
        <w:ind w:firstLine="0" w:firstLineChars="0"/>
        <w:jc w:val="distribute"/>
        <w:rPr>
          <w:rFonts w:ascii="Times New Roman" w:eastAsia="黑体"/>
          <w:sz w:val="48"/>
          <w:szCs w:val="48"/>
        </w:rPr>
      </w:pPr>
    </w:p>
    <w:p w14:paraId="4363B1AC">
      <w:pPr>
        <w:pStyle w:val="61"/>
        <w:framePr w:w="0" w:hRule="auto" w:wrap="auto" w:vAnchor="margin" w:hAnchor="text" w:xAlign="left" w:yAlign="inline"/>
        <w:rPr>
          <w:rFonts w:ascii="Times New Roman"/>
          <w:szCs w:val="52"/>
        </w:rPr>
      </w:pPr>
      <w:r>
        <w:rPr>
          <w:rFonts w:hint="eastAsia" w:ascii="Times New Roman"/>
          <w:szCs w:val="52"/>
        </w:rPr>
        <w:t>露天矿坑生态修复工程验收</w:t>
      </w:r>
      <w:r>
        <w:rPr>
          <w:rFonts w:ascii="Times New Roman"/>
          <w:szCs w:val="52"/>
        </w:rPr>
        <w:t>规范</w:t>
      </w:r>
    </w:p>
    <w:p w14:paraId="62A3FE7B">
      <w:pPr>
        <w:ind w:firstLine="560"/>
        <w:jc w:val="center"/>
        <w:rPr>
          <w:sz w:val="28"/>
          <w:szCs w:val="28"/>
        </w:rPr>
      </w:pPr>
      <w:r>
        <w:rPr>
          <w:sz w:val="28"/>
          <w:szCs w:val="28"/>
        </w:rPr>
        <w:t>Technical specification for ecological restoration project of</w:t>
      </w:r>
    </w:p>
    <w:p w14:paraId="48669D35">
      <w:pPr>
        <w:ind w:firstLine="560"/>
        <w:jc w:val="center"/>
        <w:rPr>
          <w:sz w:val="28"/>
          <w:szCs w:val="28"/>
        </w:rPr>
      </w:pPr>
      <w:r>
        <w:rPr>
          <w:sz w:val="28"/>
          <w:szCs w:val="28"/>
        </w:rPr>
        <w:t>open-pit mine</w:t>
      </w:r>
    </w:p>
    <w:p w14:paraId="23A9E301">
      <w:pPr>
        <w:ind w:firstLine="560"/>
        <w:jc w:val="center"/>
        <w:rPr>
          <w:sz w:val="28"/>
          <w:szCs w:val="28"/>
        </w:rPr>
      </w:pPr>
    </w:p>
    <w:p w14:paraId="477674A8">
      <w:pPr>
        <w:pStyle w:val="44"/>
        <w:ind w:firstLine="0" w:firstLineChars="0"/>
        <w:jc w:val="center"/>
        <w:rPr>
          <w:rFonts w:ascii="Times New Roman"/>
          <w:szCs w:val="21"/>
        </w:rPr>
      </w:pPr>
      <w:r>
        <w:rPr>
          <w:rFonts w:hint="eastAsia" w:ascii="Times New Roman"/>
          <w:szCs w:val="21"/>
        </w:rPr>
        <w:t>（征求意见稿）</w:t>
      </w:r>
    </w:p>
    <w:p w14:paraId="26661BF6">
      <w:pPr>
        <w:pStyle w:val="44"/>
        <w:ind w:firstLine="0" w:firstLineChars="0"/>
        <w:jc w:val="center"/>
        <w:rPr>
          <w:rFonts w:ascii="Times New Roman"/>
          <w:szCs w:val="21"/>
        </w:rPr>
      </w:pPr>
    </w:p>
    <w:p w14:paraId="364B786C">
      <w:pPr>
        <w:pStyle w:val="44"/>
        <w:ind w:firstLine="0" w:firstLineChars="0"/>
        <w:jc w:val="center"/>
        <w:rPr>
          <w:rFonts w:ascii="Times New Roman"/>
          <w:szCs w:val="21"/>
        </w:rPr>
      </w:pPr>
    </w:p>
    <w:p w14:paraId="085788BA">
      <w:pPr>
        <w:pStyle w:val="44"/>
        <w:ind w:firstLine="0" w:firstLineChars="0"/>
        <w:jc w:val="center"/>
        <w:rPr>
          <w:rFonts w:ascii="Times New Roman"/>
          <w:szCs w:val="21"/>
        </w:rPr>
      </w:pPr>
    </w:p>
    <w:p w14:paraId="2124F19B">
      <w:pPr>
        <w:pStyle w:val="44"/>
        <w:ind w:firstLine="0" w:firstLineChars="0"/>
        <w:jc w:val="center"/>
        <w:rPr>
          <w:rFonts w:ascii="Times New Roman"/>
          <w:szCs w:val="21"/>
        </w:rPr>
      </w:pPr>
    </w:p>
    <w:p w14:paraId="21559D54">
      <w:pPr>
        <w:pStyle w:val="44"/>
        <w:ind w:firstLine="0" w:firstLineChars="0"/>
        <w:jc w:val="center"/>
        <w:rPr>
          <w:rFonts w:ascii="Times New Roman"/>
          <w:szCs w:val="21"/>
        </w:rPr>
      </w:pPr>
    </w:p>
    <w:p w14:paraId="6C816712">
      <w:pPr>
        <w:pStyle w:val="44"/>
        <w:ind w:firstLine="0" w:firstLineChars="0"/>
        <w:jc w:val="center"/>
        <w:rPr>
          <w:rFonts w:ascii="Times New Roman"/>
          <w:szCs w:val="21"/>
        </w:rPr>
      </w:pPr>
    </w:p>
    <w:p w14:paraId="3B5C0949">
      <w:pPr>
        <w:pStyle w:val="44"/>
        <w:ind w:firstLine="0" w:firstLineChars="0"/>
        <w:jc w:val="center"/>
        <w:rPr>
          <w:rFonts w:ascii="Times New Roman"/>
          <w:szCs w:val="21"/>
        </w:rPr>
      </w:pPr>
    </w:p>
    <w:p w14:paraId="54DD1726">
      <w:pPr>
        <w:pStyle w:val="44"/>
        <w:ind w:firstLine="0" w:firstLineChars="0"/>
        <w:jc w:val="center"/>
        <w:rPr>
          <w:rFonts w:ascii="Times New Roman"/>
          <w:szCs w:val="21"/>
        </w:rPr>
      </w:pPr>
    </w:p>
    <w:p w14:paraId="40CE00A5">
      <w:pPr>
        <w:pStyle w:val="44"/>
        <w:ind w:firstLine="0" w:firstLineChars="0"/>
        <w:jc w:val="center"/>
        <w:rPr>
          <w:rFonts w:ascii="Times New Roman"/>
          <w:szCs w:val="21"/>
        </w:rPr>
      </w:pPr>
    </w:p>
    <w:p w14:paraId="39FB8CBD">
      <w:pPr>
        <w:pStyle w:val="44"/>
        <w:ind w:firstLine="0" w:firstLineChars="0"/>
        <w:jc w:val="center"/>
        <w:rPr>
          <w:rFonts w:ascii="Times New Roman" w:eastAsia="黑体"/>
          <w:sz w:val="28"/>
          <w:szCs w:val="28"/>
        </w:rPr>
      </w:pPr>
    </w:p>
    <w:p w14:paraId="0252FD7D">
      <w:pPr>
        <w:pStyle w:val="44"/>
        <w:ind w:firstLine="0" w:firstLineChars="0"/>
        <w:jc w:val="center"/>
        <w:rPr>
          <w:rFonts w:ascii="Times New Roman" w:eastAsia="黑体"/>
          <w:sz w:val="28"/>
          <w:szCs w:val="28"/>
        </w:rPr>
      </w:pPr>
    </w:p>
    <w:p w14:paraId="44D35B2F">
      <w:pPr>
        <w:pStyle w:val="44"/>
        <w:ind w:firstLine="0" w:firstLineChars="0"/>
        <w:jc w:val="center"/>
        <w:rPr>
          <w:rFonts w:ascii="Times New Roman" w:eastAsia="黑体"/>
          <w:sz w:val="28"/>
          <w:szCs w:val="28"/>
        </w:rPr>
      </w:pPr>
    </w:p>
    <w:tbl>
      <w:tblPr>
        <w:tblStyle w:val="29"/>
        <w:tblW w:w="9571" w:type="dxa"/>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5D1E6F4C">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7B5DEB72">
            <w:pPr>
              <w:pStyle w:val="44"/>
              <w:ind w:firstLine="0" w:firstLineChars="0"/>
              <w:jc w:val="distribute"/>
              <w:rPr>
                <w:rFonts w:ascii="Times New Roman" w:eastAsia="黑体"/>
                <w:sz w:val="28"/>
                <w:szCs w:val="28"/>
              </w:rPr>
            </w:pPr>
            <w:r>
              <w:rPr>
                <w:rFonts w:ascii="黑体" w:hAnsi="黑体" w:eastAsia="黑体"/>
                <w:sz w:val="28"/>
                <w:szCs w:val="28"/>
              </w:rPr>
              <w:t>XXXX-XX-XX</w:t>
            </w:r>
            <w:r>
              <w:rPr>
                <w:rFonts w:ascii="Times New Roman" w:eastAsia="黑体"/>
                <w:sz w:val="28"/>
                <w:szCs w:val="28"/>
              </w:rPr>
              <w:t xml:space="preserve">发布                               </w:t>
            </w:r>
            <w:r>
              <w:rPr>
                <w:rFonts w:ascii="黑体" w:hAnsi="黑体" w:eastAsia="黑体"/>
                <w:sz w:val="28"/>
                <w:szCs w:val="28"/>
              </w:rPr>
              <w:t>XXXX-XX-XX</w:t>
            </w:r>
            <w:r>
              <w:rPr>
                <w:rFonts w:ascii="Times New Roman" w:eastAsia="黑体"/>
                <w:sz w:val="28"/>
                <w:szCs w:val="28"/>
              </w:rPr>
              <w:t>实施</w:t>
            </w:r>
          </w:p>
        </w:tc>
      </w:tr>
    </w:tbl>
    <w:p w14:paraId="73A08C40">
      <w:pPr>
        <w:pStyle w:val="44"/>
        <w:ind w:firstLine="560"/>
        <w:jc w:val="center"/>
        <w:rPr>
          <w:rFonts w:ascii="Times New Roman" w:eastAsia="黑体"/>
          <w:sz w:val="28"/>
          <w:szCs w:val="28"/>
        </w:rPr>
      </w:pPr>
    </w:p>
    <w:p w14:paraId="713164B0">
      <w:pPr>
        <w:pStyle w:val="44"/>
        <w:ind w:firstLine="560"/>
        <w:jc w:val="center"/>
        <w:rPr>
          <w:rFonts w:ascii="Times New Roman" w:eastAsia="黑体"/>
          <w:sz w:val="28"/>
          <w:szCs w:val="28"/>
        </w:rPr>
      </w:pPr>
      <w:r>
        <w:rPr>
          <w:rFonts w:ascii="Times New Roman" w:eastAsia="黑体"/>
          <w:sz w:val="28"/>
          <w:szCs w:val="28"/>
        </w:rPr>
        <w:t>中国地质灾害防治</w:t>
      </w:r>
      <w:r>
        <w:rPr>
          <w:rFonts w:hint="eastAsia" w:ascii="Times New Roman" w:eastAsia="黑体"/>
          <w:sz w:val="28"/>
          <w:szCs w:val="28"/>
        </w:rPr>
        <w:t>与生态修复</w:t>
      </w:r>
      <w:r>
        <w:rPr>
          <w:rFonts w:ascii="Times New Roman" w:eastAsia="黑体"/>
          <w:sz w:val="28"/>
          <w:szCs w:val="28"/>
        </w:rPr>
        <w:t>协会</w:t>
      </w:r>
      <w:r>
        <w:rPr>
          <w:rFonts w:hint="eastAsia" w:ascii="Times New Roman" w:eastAsia="黑体"/>
          <w:sz w:val="28"/>
          <w:szCs w:val="28"/>
        </w:rPr>
        <w:t xml:space="preserve">  </w:t>
      </w:r>
      <w:r>
        <w:rPr>
          <w:rFonts w:ascii="Times New Roman" w:eastAsia="黑体"/>
          <w:sz w:val="28"/>
          <w:szCs w:val="28"/>
        </w:rPr>
        <w:t>发布</w:t>
      </w:r>
    </w:p>
    <w:p w14:paraId="0EF0B471">
      <w:pPr>
        <w:pStyle w:val="23"/>
        <w:sectPr>
          <w:headerReference r:id="rId7" w:type="first"/>
          <w:footerReference r:id="rId10" w:type="first"/>
          <w:headerReference r:id="rId5" w:type="default"/>
          <w:footerReference r:id="rId8" w:type="default"/>
          <w:headerReference r:id="rId6" w:type="even"/>
          <w:footerReference r:id="rId9" w:type="even"/>
          <w:pgSz w:w="11906" w:h="16838"/>
          <w:pgMar w:top="567" w:right="851" w:bottom="1134" w:left="1418" w:header="0" w:footer="0" w:gutter="0"/>
          <w:pgNumType w:fmt="upperRoman" w:start="1"/>
          <w:cols w:space="720" w:num="1"/>
          <w:docGrid w:type="lines" w:linePitch="312" w:charSpace="0"/>
        </w:sectPr>
      </w:pPr>
    </w:p>
    <w:p w14:paraId="43471A4F">
      <w:pPr>
        <w:pStyle w:val="23"/>
        <w:sectPr>
          <w:pgSz w:w="11906" w:h="16838"/>
          <w:pgMar w:top="567" w:right="1134" w:bottom="1134" w:left="1418" w:header="1418" w:footer="1134" w:gutter="0"/>
          <w:pgNumType w:fmt="upperRoman" w:start="1"/>
          <w:cols w:space="720" w:num="1"/>
          <w:docGrid w:type="lines" w:linePitch="312" w:charSpace="0"/>
        </w:sectPr>
      </w:pPr>
    </w:p>
    <w:p w14:paraId="19C91893">
      <w:pPr>
        <w:pStyle w:val="23"/>
        <w:spacing w:before="640" w:after="560" w:line="460" w:lineRule="exact"/>
        <w:jc w:val="center"/>
        <w:rPr>
          <w:rFonts w:hint="eastAsia" w:ascii="黑体" w:hAnsi="黑体" w:eastAsia="黑体"/>
          <w:sz w:val="32"/>
          <w:szCs w:val="32"/>
        </w:rPr>
      </w:pPr>
      <w:r>
        <w:rPr>
          <w:rFonts w:hint="eastAsia" w:ascii="黑体" w:hAnsi="黑体" w:eastAsia="黑体"/>
          <w:sz w:val="32"/>
          <w:szCs w:val="32"/>
        </w:rPr>
        <w:t>目  次</w:t>
      </w:r>
    </w:p>
    <w:p w14:paraId="52C08B01">
      <w:pPr>
        <w:pStyle w:val="23"/>
        <w:tabs>
          <w:tab w:val="right" w:leader="dot" w:pos="9354"/>
        </w:tabs>
        <w:adjustRightInd/>
        <w:snapToGrid/>
        <w:spacing w:before="78" w:beforeLines="25" w:after="78" w:afterLines="25"/>
        <w:rPr>
          <w:rFonts w:cs="Times New Roman" w:eastAsiaTheme="minorEastAsia"/>
          <w:b w:val="0"/>
        </w:rPr>
      </w:pPr>
      <w:r>
        <w:rPr>
          <w:rFonts w:cs="Times New Roman" w:eastAsiaTheme="minorEastAsia"/>
          <w:b w:val="0"/>
        </w:rPr>
        <w:fldChar w:fldCharType="begin"/>
      </w:r>
      <w:r>
        <w:rPr>
          <w:rFonts w:cs="Times New Roman" w:eastAsiaTheme="minorEastAsia"/>
          <w:b w:val="0"/>
        </w:rPr>
        <w:instrText xml:space="preserve"> TOC \o "1-2" \h \z \u </w:instrText>
      </w:r>
      <w:r>
        <w:rPr>
          <w:rFonts w:cs="Times New Roman" w:eastAsiaTheme="minorEastAsia"/>
          <w:b w:val="0"/>
        </w:rPr>
        <w:fldChar w:fldCharType="separate"/>
      </w:r>
      <w:r>
        <w:fldChar w:fldCharType="begin"/>
      </w:r>
      <w:r>
        <w:instrText xml:space="preserve"> HYPERLINK \l "_Toc28936" </w:instrText>
      </w:r>
      <w:r>
        <w:fldChar w:fldCharType="separate"/>
      </w:r>
      <w:r>
        <w:rPr>
          <w:rFonts w:cs="Times New Roman" w:eastAsiaTheme="minorEastAsia"/>
          <w:b w:val="0"/>
        </w:rPr>
        <w:t>前  言</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_Toc28936 \h </w:instrText>
      </w:r>
      <w:r>
        <w:rPr>
          <w:rFonts w:cs="Times New Roman" w:eastAsiaTheme="minorEastAsia"/>
          <w:b w:val="0"/>
        </w:rPr>
        <w:fldChar w:fldCharType="separate"/>
      </w:r>
      <w:r>
        <w:rPr>
          <w:rFonts w:cs="Times New Roman" w:eastAsiaTheme="minorEastAsia"/>
          <w:b w:val="0"/>
        </w:rPr>
        <w:t>III</w:t>
      </w:r>
      <w:r>
        <w:rPr>
          <w:rFonts w:cs="Times New Roman" w:eastAsiaTheme="minorEastAsia"/>
          <w:b w:val="0"/>
        </w:rPr>
        <w:fldChar w:fldCharType="end"/>
      </w:r>
      <w:r>
        <w:rPr>
          <w:rFonts w:cs="Times New Roman" w:eastAsiaTheme="minorEastAsia"/>
          <w:b w:val="0"/>
        </w:rPr>
        <w:fldChar w:fldCharType="end"/>
      </w:r>
    </w:p>
    <w:p w14:paraId="3FA189C4">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"_Toc16548" </w:instrText>
      </w:r>
      <w:r>
        <w:fldChar w:fldCharType="separate"/>
      </w:r>
      <w:r>
        <w:rPr>
          <w:rFonts w:cs="Times New Roman" w:eastAsiaTheme="minorEastAsia"/>
          <w:b w:val="0"/>
        </w:rPr>
        <w:t>1 范围</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_Toc16548 \h </w:instrText>
      </w:r>
      <w:r>
        <w:rPr>
          <w:rFonts w:cs="Times New Roman" w:eastAsiaTheme="minorEastAsia"/>
          <w:b w:val="0"/>
        </w:rPr>
        <w:fldChar w:fldCharType="separate"/>
      </w:r>
      <w:r>
        <w:rPr>
          <w:rFonts w:cs="Times New Roman" w:eastAsiaTheme="minorEastAsia"/>
          <w:b w:val="0"/>
        </w:rPr>
        <w:t>1</w:t>
      </w:r>
      <w:r>
        <w:rPr>
          <w:rFonts w:cs="Times New Roman" w:eastAsiaTheme="minorEastAsia"/>
          <w:b w:val="0"/>
        </w:rPr>
        <w:fldChar w:fldCharType="end"/>
      </w:r>
      <w:r>
        <w:rPr>
          <w:rFonts w:cs="Times New Roman" w:eastAsiaTheme="minorEastAsia"/>
          <w:b w:val="0"/>
        </w:rPr>
        <w:fldChar w:fldCharType="end"/>
      </w:r>
    </w:p>
    <w:p w14:paraId="332F0D54">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"_Toc499" </w:instrText>
      </w:r>
      <w:r>
        <w:fldChar w:fldCharType="separate"/>
      </w:r>
      <w:r>
        <w:rPr>
          <w:rFonts w:cs="Times New Roman" w:eastAsiaTheme="minorEastAsia"/>
          <w:b w:val="0"/>
        </w:rPr>
        <w:t>2 规范性引用文件</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_Toc499 \h </w:instrText>
      </w:r>
      <w:r>
        <w:rPr>
          <w:rFonts w:cs="Times New Roman" w:eastAsiaTheme="minorEastAsia"/>
          <w:b w:val="0"/>
        </w:rPr>
        <w:fldChar w:fldCharType="separate"/>
      </w:r>
      <w:r>
        <w:rPr>
          <w:rFonts w:cs="Times New Roman" w:eastAsiaTheme="minorEastAsia"/>
          <w:b w:val="0"/>
        </w:rPr>
        <w:t>1</w:t>
      </w:r>
      <w:r>
        <w:rPr>
          <w:rFonts w:cs="Times New Roman" w:eastAsiaTheme="minorEastAsia"/>
          <w:b w:val="0"/>
        </w:rPr>
        <w:fldChar w:fldCharType="end"/>
      </w:r>
      <w:r>
        <w:rPr>
          <w:rFonts w:cs="Times New Roman" w:eastAsiaTheme="minorEastAsia"/>
          <w:b w:val="0"/>
        </w:rPr>
        <w:fldChar w:fldCharType="end"/>
      </w:r>
    </w:p>
    <w:p w14:paraId="2F1F2349">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"_Toc22418" </w:instrText>
      </w:r>
      <w:r>
        <w:fldChar w:fldCharType="separate"/>
      </w:r>
      <w:r>
        <w:rPr>
          <w:rFonts w:cs="Times New Roman" w:eastAsiaTheme="minorEastAsia"/>
          <w:b w:val="0"/>
        </w:rPr>
        <w:t>3 术语和定义</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_Toc22418 \h </w:instrText>
      </w:r>
      <w:r>
        <w:rPr>
          <w:rFonts w:cs="Times New Roman" w:eastAsiaTheme="minorEastAsia"/>
          <w:b w:val="0"/>
        </w:rPr>
        <w:fldChar w:fldCharType="separate"/>
      </w:r>
      <w:r>
        <w:rPr>
          <w:rFonts w:cs="Times New Roman" w:eastAsiaTheme="minorEastAsia"/>
          <w:b w:val="0"/>
        </w:rPr>
        <w:t>2</w:t>
      </w:r>
      <w:r>
        <w:rPr>
          <w:rFonts w:cs="Times New Roman" w:eastAsiaTheme="minorEastAsia"/>
          <w:b w:val="0"/>
        </w:rPr>
        <w:fldChar w:fldCharType="end"/>
      </w:r>
      <w:r>
        <w:rPr>
          <w:rFonts w:cs="Times New Roman" w:eastAsiaTheme="minorEastAsia"/>
          <w:b w:val="0"/>
        </w:rPr>
        <w:fldChar w:fldCharType="end"/>
      </w:r>
    </w:p>
    <w:p w14:paraId="58998434">
      <w:pPr>
        <w:pStyle w:val="26"/>
        <w:tabs>
          <w:tab w:val="right" w:leader="dot" w:pos="9354"/>
        </w:tabs>
        <w:adjustRightInd/>
        <w:snapToGrid/>
        <w:ind w:left="420"/>
        <w:rPr>
          <w:rFonts w:cs="Times New Roman" w:eastAsiaTheme="minorEastAsia"/>
        </w:rPr>
      </w:pPr>
      <w:r>
        <w:fldChar w:fldCharType="begin"/>
      </w:r>
      <w:r>
        <w:instrText xml:space="preserve"> HYPERLINK \l "_Toc19523" </w:instrText>
      </w:r>
      <w:r>
        <w:fldChar w:fldCharType="separate"/>
      </w:r>
      <w:r>
        <w:rPr>
          <w:rFonts w:cs="Times New Roman" w:eastAsiaTheme="minorEastAsia"/>
        </w:rPr>
        <w:t>3.1 露天矿坑 Open-pit mine</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_Toc19523 \h </w:instrText>
      </w:r>
      <w:r>
        <w:rPr>
          <w:rFonts w:cs="Times New Roman" w:eastAsiaTheme="minorEastAsia"/>
        </w:rPr>
        <w:fldChar w:fldCharType="separate"/>
      </w:r>
      <w:r>
        <w:rPr>
          <w:rFonts w:cs="Times New Roman" w:eastAsiaTheme="minorEastAsia"/>
        </w:rPr>
        <w:t>2</w:t>
      </w:r>
      <w:r>
        <w:rPr>
          <w:rFonts w:cs="Times New Roman" w:eastAsiaTheme="minorEastAsia"/>
        </w:rPr>
        <w:fldChar w:fldCharType="end"/>
      </w:r>
      <w:r>
        <w:rPr>
          <w:rFonts w:cs="Times New Roman" w:eastAsiaTheme="minorEastAsia"/>
        </w:rPr>
        <w:fldChar w:fldCharType="end"/>
      </w:r>
    </w:p>
    <w:p w14:paraId="1471B32F">
      <w:pPr>
        <w:pStyle w:val="26"/>
        <w:tabs>
          <w:tab w:val="right" w:leader="dot" w:pos="9354"/>
        </w:tabs>
        <w:adjustRightInd/>
        <w:snapToGrid/>
        <w:ind w:left="420"/>
        <w:rPr>
          <w:rFonts w:cs="Times New Roman" w:eastAsiaTheme="minorEastAsia"/>
        </w:rPr>
      </w:pPr>
      <w:r>
        <w:fldChar w:fldCharType="begin"/>
      </w:r>
      <w:r>
        <w:instrText xml:space="preserve"> HYPERLINK \l "_Toc1777" </w:instrText>
      </w:r>
      <w:r>
        <w:fldChar w:fldCharType="separate"/>
      </w:r>
      <w:r>
        <w:rPr>
          <w:rFonts w:cs="Times New Roman" w:eastAsiaTheme="minorEastAsia"/>
        </w:rPr>
        <w:t>3.2生态修复工程 Ecological Restoration Project</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_Toc1777 \h </w:instrText>
      </w:r>
      <w:r>
        <w:rPr>
          <w:rFonts w:cs="Times New Roman" w:eastAsiaTheme="minorEastAsia"/>
        </w:rPr>
        <w:fldChar w:fldCharType="separate"/>
      </w:r>
      <w:r>
        <w:rPr>
          <w:rFonts w:cs="Times New Roman" w:eastAsiaTheme="minorEastAsia"/>
        </w:rPr>
        <w:t>2</w:t>
      </w:r>
      <w:r>
        <w:rPr>
          <w:rFonts w:cs="Times New Roman" w:eastAsiaTheme="minorEastAsia"/>
        </w:rPr>
        <w:fldChar w:fldCharType="end"/>
      </w:r>
      <w:r>
        <w:rPr>
          <w:rFonts w:cs="Times New Roman" w:eastAsiaTheme="minorEastAsia"/>
        </w:rPr>
        <w:fldChar w:fldCharType="end"/>
      </w:r>
    </w:p>
    <w:p w14:paraId="68F3C1F4">
      <w:pPr>
        <w:pStyle w:val="26"/>
        <w:tabs>
          <w:tab w:val="right" w:leader="dot" w:pos="9354"/>
        </w:tabs>
        <w:adjustRightInd/>
        <w:snapToGrid/>
        <w:ind w:left="420"/>
        <w:rPr>
          <w:rFonts w:cs="Times New Roman" w:eastAsiaTheme="minorEastAsia"/>
        </w:rPr>
      </w:pPr>
      <w:r>
        <w:fldChar w:fldCharType="begin"/>
      </w:r>
      <w:r>
        <w:instrText xml:space="preserve"> HYPERLINK \l "_Toc24659" </w:instrText>
      </w:r>
      <w:r>
        <w:fldChar w:fldCharType="separate"/>
      </w:r>
      <w:r>
        <w:rPr>
          <w:rFonts w:cs="Times New Roman" w:eastAsiaTheme="minorEastAsia"/>
        </w:rPr>
        <w:t>3.3露天矿坑生态修复 Ecological Restoration of Open-pit mine</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_Toc24659 \h </w:instrText>
      </w:r>
      <w:r>
        <w:rPr>
          <w:rFonts w:cs="Times New Roman" w:eastAsiaTheme="minorEastAsia"/>
        </w:rPr>
        <w:fldChar w:fldCharType="separate"/>
      </w:r>
      <w:r>
        <w:rPr>
          <w:rFonts w:cs="Times New Roman" w:eastAsiaTheme="minorEastAsia"/>
        </w:rPr>
        <w:t>2</w:t>
      </w:r>
      <w:r>
        <w:rPr>
          <w:rFonts w:cs="Times New Roman" w:eastAsiaTheme="minorEastAsia"/>
        </w:rPr>
        <w:fldChar w:fldCharType="end"/>
      </w:r>
      <w:r>
        <w:rPr>
          <w:rFonts w:cs="Times New Roman" w:eastAsiaTheme="minorEastAsia"/>
        </w:rPr>
        <w:fldChar w:fldCharType="end"/>
      </w:r>
    </w:p>
    <w:p w14:paraId="6A648A1A">
      <w:pPr>
        <w:pStyle w:val="26"/>
        <w:tabs>
          <w:tab w:val="right" w:leader="dot" w:pos="9354"/>
        </w:tabs>
        <w:adjustRightInd/>
        <w:snapToGrid/>
        <w:ind w:left="420"/>
        <w:rPr>
          <w:rFonts w:cs="Times New Roman" w:eastAsiaTheme="minorEastAsia"/>
        </w:rPr>
      </w:pPr>
      <w:r>
        <w:fldChar w:fldCharType="begin"/>
      </w:r>
      <w:r>
        <w:instrText xml:space="preserve"> HYPERLINK \l "_Toc31959" </w:instrText>
      </w:r>
      <w:r>
        <w:fldChar w:fldCharType="separate"/>
      </w:r>
      <w:r>
        <w:rPr>
          <w:rFonts w:cs="Times New Roman" w:eastAsiaTheme="minorEastAsia"/>
        </w:rPr>
        <w:t>3.4 工程验收 Project Acceptance</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_Toc31959 \h </w:instrText>
      </w:r>
      <w:r>
        <w:rPr>
          <w:rFonts w:cs="Times New Roman" w:eastAsiaTheme="minorEastAsia"/>
        </w:rPr>
        <w:fldChar w:fldCharType="separate"/>
      </w:r>
      <w:r>
        <w:rPr>
          <w:rFonts w:cs="Times New Roman" w:eastAsiaTheme="minorEastAsia"/>
        </w:rPr>
        <w:t>2</w:t>
      </w:r>
      <w:r>
        <w:rPr>
          <w:rFonts w:cs="Times New Roman" w:eastAsiaTheme="minorEastAsia"/>
        </w:rPr>
        <w:fldChar w:fldCharType="end"/>
      </w:r>
      <w:r>
        <w:rPr>
          <w:rFonts w:cs="Times New Roman" w:eastAsiaTheme="minorEastAsia"/>
        </w:rPr>
        <w:fldChar w:fldCharType="end"/>
      </w:r>
    </w:p>
    <w:p w14:paraId="2E12E6D5">
      <w:pPr>
        <w:pStyle w:val="26"/>
        <w:tabs>
          <w:tab w:val="right" w:leader="dot" w:pos="9354"/>
        </w:tabs>
        <w:adjustRightInd/>
        <w:snapToGrid/>
        <w:ind w:left="420"/>
        <w:rPr>
          <w:rFonts w:cs="Times New Roman" w:eastAsiaTheme="minorEastAsia"/>
        </w:rPr>
      </w:pPr>
      <w:r>
        <w:fldChar w:fldCharType="begin"/>
      </w:r>
      <w:r>
        <w:instrText xml:space="preserve"> HYPERLINK \l "_Toc7804" </w:instrText>
      </w:r>
      <w:r>
        <w:fldChar w:fldCharType="separate"/>
      </w:r>
      <w:r>
        <w:rPr>
          <w:rFonts w:cs="Times New Roman" w:eastAsiaTheme="minorEastAsia"/>
        </w:rPr>
        <w:t>3.5 露天矿坑生态修复验收 Ecological Restoration and acceptance of Open-pit mine</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_Toc7804 \h </w:instrText>
      </w:r>
      <w:r>
        <w:rPr>
          <w:rFonts w:cs="Times New Roman" w:eastAsiaTheme="minorEastAsia"/>
        </w:rPr>
        <w:fldChar w:fldCharType="separate"/>
      </w:r>
      <w:r>
        <w:rPr>
          <w:rFonts w:cs="Times New Roman" w:eastAsiaTheme="minorEastAsia"/>
        </w:rPr>
        <w:t>2</w:t>
      </w:r>
      <w:r>
        <w:rPr>
          <w:rFonts w:cs="Times New Roman" w:eastAsiaTheme="minorEastAsia"/>
        </w:rPr>
        <w:fldChar w:fldCharType="end"/>
      </w:r>
      <w:r>
        <w:rPr>
          <w:rFonts w:cs="Times New Roman" w:eastAsiaTheme="minorEastAsia"/>
        </w:rPr>
        <w:fldChar w:fldCharType="end"/>
      </w:r>
    </w:p>
    <w:p w14:paraId="262E35A0">
      <w:pPr>
        <w:pStyle w:val="26"/>
        <w:tabs>
          <w:tab w:val="right" w:leader="dot" w:pos="9354"/>
        </w:tabs>
        <w:adjustRightInd/>
        <w:snapToGrid/>
        <w:ind w:left="420"/>
        <w:rPr>
          <w:rFonts w:cs="Times New Roman" w:eastAsiaTheme="minorEastAsia"/>
        </w:rPr>
      </w:pPr>
      <w:r>
        <w:fldChar w:fldCharType="begin"/>
      </w:r>
      <w:r>
        <w:instrText xml:space="preserve"> HYPERLINK \l "_Toc16493" </w:instrText>
      </w:r>
      <w:r>
        <w:fldChar w:fldCharType="separate"/>
      </w:r>
      <w:r>
        <w:rPr>
          <w:rFonts w:cs="Times New Roman" w:eastAsiaTheme="minorEastAsia"/>
        </w:rPr>
        <w:t>3.6 参照生态系统 Reference Ecosystem</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_Toc16493 \h </w:instrText>
      </w:r>
      <w:r>
        <w:rPr>
          <w:rFonts w:cs="Times New Roman" w:eastAsiaTheme="minorEastAsia"/>
        </w:rPr>
        <w:fldChar w:fldCharType="separate"/>
      </w:r>
      <w:r>
        <w:rPr>
          <w:rFonts w:cs="Times New Roman" w:eastAsiaTheme="minorEastAsia"/>
        </w:rPr>
        <w:t>2</w:t>
      </w:r>
      <w:r>
        <w:rPr>
          <w:rFonts w:cs="Times New Roman" w:eastAsiaTheme="minorEastAsia"/>
        </w:rPr>
        <w:fldChar w:fldCharType="end"/>
      </w:r>
      <w:r>
        <w:rPr>
          <w:rFonts w:cs="Times New Roman" w:eastAsiaTheme="minorEastAsia"/>
        </w:rPr>
        <w:fldChar w:fldCharType="end"/>
      </w:r>
    </w:p>
    <w:p w14:paraId="55CBF019">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"_Toc16556" </w:instrText>
      </w:r>
      <w:r>
        <w:fldChar w:fldCharType="separate"/>
      </w:r>
      <w:r>
        <w:rPr>
          <w:rFonts w:cs="Times New Roman" w:eastAsiaTheme="minorEastAsia"/>
          <w:b w:val="0"/>
        </w:rPr>
        <w:t>4 总体要求</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_Toc16556 \h </w:instrText>
      </w:r>
      <w:r>
        <w:rPr>
          <w:rFonts w:cs="Times New Roman" w:eastAsiaTheme="minorEastAsia"/>
          <w:b w:val="0"/>
        </w:rPr>
        <w:fldChar w:fldCharType="separate"/>
      </w:r>
      <w:r>
        <w:rPr>
          <w:rFonts w:cs="Times New Roman" w:eastAsiaTheme="minorEastAsia"/>
          <w:b w:val="0"/>
        </w:rPr>
        <w:t>2</w:t>
      </w:r>
      <w:r>
        <w:rPr>
          <w:rFonts w:cs="Times New Roman" w:eastAsiaTheme="minorEastAsia"/>
          <w:b w:val="0"/>
        </w:rPr>
        <w:fldChar w:fldCharType="end"/>
      </w:r>
      <w:r>
        <w:rPr>
          <w:rFonts w:cs="Times New Roman" w:eastAsiaTheme="minorEastAsia"/>
          <w:b w:val="0"/>
        </w:rPr>
        <w:fldChar w:fldCharType="end"/>
      </w:r>
    </w:p>
    <w:p w14:paraId="0BC6D909">
      <w:pPr>
        <w:pStyle w:val="26"/>
        <w:tabs>
          <w:tab w:val="right" w:leader="dot" w:pos="9354"/>
        </w:tabs>
        <w:adjustRightInd/>
        <w:snapToGrid/>
        <w:ind w:left="420"/>
        <w:rPr>
          <w:rFonts w:cs="Times New Roman" w:eastAsiaTheme="minorEastAsia"/>
        </w:rPr>
      </w:pPr>
      <w:r>
        <w:fldChar w:fldCharType="begin"/>
      </w:r>
      <w:r>
        <w:instrText xml:space="preserve"> HYPERLINK \l "_Toc23975" </w:instrText>
      </w:r>
      <w:r>
        <w:fldChar w:fldCharType="separate"/>
      </w:r>
      <w:r>
        <w:rPr>
          <w:rFonts w:cs="Times New Roman" w:eastAsiaTheme="minorEastAsia"/>
        </w:rPr>
        <w:t>4.1 基本原则</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_Toc23975 \h </w:instrText>
      </w:r>
      <w:r>
        <w:rPr>
          <w:rFonts w:cs="Times New Roman" w:eastAsiaTheme="minorEastAsia"/>
        </w:rPr>
        <w:fldChar w:fldCharType="separate"/>
      </w:r>
      <w:r>
        <w:rPr>
          <w:rFonts w:cs="Times New Roman" w:eastAsiaTheme="minorEastAsia"/>
        </w:rPr>
        <w:t>2</w:t>
      </w:r>
      <w:r>
        <w:rPr>
          <w:rFonts w:cs="Times New Roman" w:eastAsiaTheme="minorEastAsia"/>
        </w:rPr>
        <w:fldChar w:fldCharType="end"/>
      </w:r>
      <w:r>
        <w:rPr>
          <w:rFonts w:cs="Times New Roman" w:eastAsiaTheme="minorEastAsia"/>
        </w:rPr>
        <w:fldChar w:fldCharType="end"/>
      </w:r>
    </w:p>
    <w:p w14:paraId="6680DB99">
      <w:pPr>
        <w:pStyle w:val="26"/>
        <w:tabs>
          <w:tab w:val="right" w:leader="dot" w:pos="9354"/>
        </w:tabs>
        <w:adjustRightInd/>
        <w:snapToGrid/>
        <w:ind w:left="420"/>
        <w:rPr>
          <w:rFonts w:cs="Times New Roman" w:eastAsiaTheme="minorEastAsia"/>
        </w:rPr>
      </w:pPr>
      <w:r>
        <w:fldChar w:fldCharType="begin"/>
      </w:r>
      <w:r>
        <w:instrText xml:space="preserve"> HYPERLINK \l "_Toc32195" </w:instrText>
      </w:r>
      <w:r>
        <w:fldChar w:fldCharType="separate"/>
      </w:r>
      <w:r>
        <w:rPr>
          <w:rFonts w:cs="Times New Roman" w:eastAsiaTheme="minorEastAsia"/>
        </w:rPr>
        <w:t>4.2 验收依据</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_Toc32195 \h </w:instrText>
      </w:r>
      <w:r>
        <w:rPr>
          <w:rFonts w:cs="Times New Roman" w:eastAsiaTheme="minorEastAsia"/>
        </w:rPr>
        <w:fldChar w:fldCharType="separate"/>
      </w:r>
      <w:r>
        <w:rPr>
          <w:rFonts w:cs="Times New Roman" w:eastAsiaTheme="minorEastAsia"/>
        </w:rPr>
        <w:t>3</w:t>
      </w:r>
      <w:r>
        <w:rPr>
          <w:rFonts w:cs="Times New Roman" w:eastAsiaTheme="minorEastAsia"/>
        </w:rPr>
        <w:fldChar w:fldCharType="end"/>
      </w:r>
      <w:r>
        <w:rPr>
          <w:rFonts w:cs="Times New Roman" w:eastAsiaTheme="minorEastAsia"/>
        </w:rPr>
        <w:fldChar w:fldCharType="end"/>
      </w:r>
    </w:p>
    <w:p w14:paraId="787578A9">
      <w:pPr>
        <w:pStyle w:val="26"/>
        <w:tabs>
          <w:tab w:val="right" w:leader="dot" w:pos="9354"/>
        </w:tabs>
        <w:adjustRightInd/>
        <w:snapToGrid/>
        <w:ind w:left="420"/>
        <w:rPr>
          <w:rFonts w:cs="Times New Roman" w:eastAsiaTheme="minorEastAsia"/>
        </w:rPr>
      </w:pPr>
      <w:r>
        <w:fldChar w:fldCharType="begin"/>
      </w:r>
      <w:r>
        <w:instrText xml:space="preserve"> HYPERLINK \l "_Toc1974" </w:instrText>
      </w:r>
      <w:r>
        <w:fldChar w:fldCharType="separate"/>
      </w:r>
      <w:r>
        <w:rPr>
          <w:rFonts w:cs="Times New Roman" w:eastAsiaTheme="minorEastAsia"/>
        </w:rPr>
        <w:t>4.3 工作流程</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_Toc1974 \h </w:instrText>
      </w:r>
      <w:r>
        <w:rPr>
          <w:rFonts w:cs="Times New Roman" w:eastAsiaTheme="minorEastAsia"/>
        </w:rPr>
        <w:fldChar w:fldCharType="separate"/>
      </w:r>
      <w:r>
        <w:rPr>
          <w:rFonts w:cs="Times New Roman" w:eastAsiaTheme="minorEastAsia"/>
        </w:rPr>
        <w:t>3</w:t>
      </w:r>
      <w:r>
        <w:rPr>
          <w:rFonts w:cs="Times New Roman" w:eastAsiaTheme="minorEastAsia"/>
        </w:rPr>
        <w:fldChar w:fldCharType="end"/>
      </w:r>
      <w:r>
        <w:rPr>
          <w:rFonts w:cs="Times New Roman" w:eastAsiaTheme="minorEastAsia"/>
        </w:rPr>
        <w:fldChar w:fldCharType="end"/>
      </w:r>
    </w:p>
    <w:p w14:paraId="4DA2E3CE">
      <w:pPr>
        <w:pStyle w:val="26"/>
        <w:tabs>
          <w:tab w:val="right" w:leader="dot" w:pos="9354"/>
        </w:tabs>
        <w:adjustRightInd/>
        <w:snapToGrid/>
        <w:ind w:left="420"/>
        <w:rPr>
          <w:rFonts w:cs="Times New Roman" w:eastAsiaTheme="minorEastAsia"/>
        </w:rPr>
      </w:pPr>
      <w:r>
        <w:fldChar w:fldCharType="begin"/>
      </w:r>
      <w:r>
        <w:instrText xml:space="preserve"> HYPERLINK \l "_Toc31925" </w:instrText>
      </w:r>
      <w:r>
        <w:fldChar w:fldCharType="separate"/>
      </w:r>
      <w:r>
        <w:rPr>
          <w:rFonts w:cs="Times New Roman" w:eastAsiaTheme="minorEastAsia"/>
        </w:rPr>
        <w:t>4.4 工程验收</w:t>
      </w:r>
      <w:r>
        <w:rPr>
          <w:rFonts w:hint="eastAsia" w:cs="Times New Roman" w:eastAsiaTheme="minorEastAsia"/>
        </w:rPr>
        <w:t>结论</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_Toc31925 \h </w:instrText>
      </w:r>
      <w:r>
        <w:rPr>
          <w:rFonts w:cs="Times New Roman" w:eastAsiaTheme="minorEastAsia"/>
        </w:rPr>
        <w:fldChar w:fldCharType="separate"/>
      </w:r>
      <w:r>
        <w:rPr>
          <w:rFonts w:cs="Times New Roman" w:eastAsiaTheme="minorEastAsia"/>
        </w:rPr>
        <w:t>3</w:t>
      </w:r>
      <w:r>
        <w:rPr>
          <w:rFonts w:cs="Times New Roman" w:eastAsiaTheme="minorEastAsia"/>
        </w:rPr>
        <w:fldChar w:fldCharType="end"/>
      </w:r>
      <w:r>
        <w:rPr>
          <w:rFonts w:cs="Times New Roman" w:eastAsiaTheme="minorEastAsia"/>
        </w:rPr>
        <w:fldChar w:fldCharType="end"/>
      </w:r>
    </w:p>
    <w:p w14:paraId="7D0A2BC6">
      <w:pPr>
        <w:pStyle w:val="26"/>
        <w:tabs>
          <w:tab w:val="right" w:leader="dot" w:pos="9354"/>
        </w:tabs>
        <w:adjustRightInd/>
        <w:snapToGrid/>
        <w:ind w:left="420"/>
        <w:rPr>
          <w:rFonts w:cs="Times New Roman" w:eastAsiaTheme="minorEastAsia"/>
        </w:rPr>
      </w:pPr>
      <w:r>
        <w:fldChar w:fldCharType="begin"/>
      </w:r>
      <w:r>
        <w:instrText xml:space="preserve"> HYPERLINK \l "_Toc12326" </w:instrText>
      </w:r>
      <w:r>
        <w:fldChar w:fldCharType="separate"/>
      </w:r>
      <w:r>
        <w:rPr>
          <w:rFonts w:cs="Times New Roman" w:eastAsiaTheme="minorEastAsia"/>
        </w:rPr>
        <w:t>4.5 工程验收资料</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_Toc12326 \h </w:instrText>
      </w:r>
      <w:r>
        <w:rPr>
          <w:rFonts w:cs="Times New Roman" w:eastAsiaTheme="minorEastAsia"/>
        </w:rPr>
        <w:fldChar w:fldCharType="separate"/>
      </w:r>
      <w:r>
        <w:rPr>
          <w:rFonts w:cs="Times New Roman" w:eastAsiaTheme="minorEastAsia"/>
        </w:rPr>
        <w:t>3</w:t>
      </w:r>
      <w:r>
        <w:rPr>
          <w:rFonts w:cs="Times New Roman" w:eastAsiaTheme="minorEastAsia"/>
        </w:rPr>
        <w:fldChar w:fldCharType="end"/>
      </w:r>
      <w:r>
        <w:rPr>
          <w:rFonts w:cs="Times New Roman" w:eastAsiaTheme="minorEastAsia"/>
        </w:rPr>
        <w:fldChar w:fldCharType="end"/>
      </w:r>
    </w:p>
    <w:p w14:paraId="0A3E5840">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"_Toc15799" </w:instrText>
      </w:r>
      <w:r>
        <w:fldChar w:fldCharType="separate"/>
      </w:r>
      <w:r>
        <w:rPr>
          <w:rFonts w:cs="Times New Roman" w:eastAsiaTheme="minorEastAsia"/>
          <w:b w:val="0"/>
        </w:rPr>
        <w:t>5 验收组织与程序</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_Toc15799 \h </w:instrText>
      </w:r>
      <w:r>
        <w:rPr>
          <w:rFonts w:cs="Times New Roman" w:eastAsiaTheme="minorEastAsia"/>
          <w:b w:val="0"/>
        </w:rPr>
        <w:fldChar w:fldCharType="separate"/>
      </w:r>
      <w:r>
        <w:rPr>
          <w:rFonts w:cs="Times New Roman" w:eastAsiaTheme="minorEastAsia"/>
          <w:b w:val="0"/>
        </w:rPr>
        <w:t>4</w:t>
      </w:r>
      <w:r>
        <w:rPr>
          <w:rFonts w:cs="Times New Roman" w:eastAsiaTheme="minorEastAsia"/>
          <w:b w:val="0"/>
        </w:rPr>
        <w:fldChar w:fldCharType="end"/>
      </w:r>
      <w:r>
        <w:rPr>
          <w:rFonts w:cs="Times New Roman" w:eastAsiaTheme="minorEastAsia"/>
          <w:b w:val="0"/>
        </w:rPr>
        <w:fldChar w:fldCharType="end"/>
      </w:r>
    </w:p>
    <w:p w14:paraId="14CC328B">
      <w:pPr>
        <w:pStyle w:val="26"/>
        <w:tabs>
          <w:tab w:val="right" w:leader="dot" w:pos="9354"/>
        </w:tabs>
        <w:adjustRightInd/>
        <w:snapToGrid/>
        <w:ind w:left="420"/>
        <w:rPr>
          <w:rFonts w:cs="Times New Roman" w:eastAsiaTheme="minorEastAsia"/>
        </w:rPr>
      </w:pPr>
      <w:r>
        <w:fldChar w:fldCharType="begin"/>
      </w:r>
      <w:r>
        <w:instrText xml:space="preserve"> HYPERLINK \l "_Toc16323" </w:instrText>
      </w:r>
      <w:r>
        <w:fldChar w:fldCharType="separate"/>
      </w:r>
      <w:r>
        <w:rPr>
          <w:rFonts w:cs="Times New Roman" w:eastAsiaTheme="minorEastAsia"/>
        </w:rPr>
        <w:t>5.1 验收组织</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_Toc16323 \h </w:instrText>
      </w:r>
      <w:r>
        <w:rPr>
          <w:rFonts w:cs="Times New Roman" w:eastAsiaTheme="minorEastAsia"/>
        </w:rPr>
        <w:fldChar w:fldCharType="separate"/>
      </w:r>
      <w:r>
        <w:rPr>
          <w:rFonts w:cs="Times New Roman" w:eastAsiaTheme="minorEastAsia"/>
        </w:rPr>
        <w:t>5</w:t>
      </w:r>
      <w:r>
        <w:rPr>
          <w:rFonts w:cs="Times New Roman" w:eastAsiaTheme="minorEastAsia"/>
        </w:rPr>
        <w:fldChar w:fldCharType="end"/>
      </w:r>
      <w:r>
        <w:rPr>
          <w:rFonts w:cs="Times New Roman" w:eastAsiaTheme="minorEastAsia"/>
        </w:rPr>
        <w:fldChar w:fldCharType="end"/>
      </w:r>
    </w:p>
    <w:p w14:paraId="78BBC72C">
      <w:pPr>
        <w:pStyle w:val="26"/>
        <w:tabs>
          <w:tab w:val="right" w:leader="dot" w:pos="9354"/>
        </w:tabs>
        <w:adjustRightInd/>
        <w:snapToGrid/>
        <w:ind w:left="420"/>
        <w:rPr>
          <w:rFonts w:cs="Times New Roman" w:eastAsiaTheme="minorEastAsia"/>
        </w:rPr>
      </w:pPr>
      <w:r>
        <w:fldChar w:fldCharType="begin"/>
      </w:r>
      <w:r>
        <w:instrText xml:space="preserve"> HYPERLINK \l "_Toc4628" </w:instrText>
      </w:r>
      <w:r>
        <w:fldChar w:fldCharType="separate"/>
      </w:r>
      <w:r>
        <w:rPr>
          <w:rFonts w:cs="Times New Roman" w:eastAsiaTheme="minorEastAsia"/>
        </w:rPr>
        <w:t>5.2 验收程序</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_Toc4628 \h </w:instrText>
      </w:r>
      <w:r>
        <w:rPr>
          <w:rFonts w:cs="Times New Roman" w:eastAsiaTheme="minorEastAsia"/>
        </w:rPr>
        <w:fldChar w:fldCharType="separate"/>
      </w:r>
      <w:r>
        <w:rPr>
          <w:rFonts w:cs="Times New Roman" w:eastAsiaTheme="minorEastAsia"/>
        </w:rPr>
        <w:t>5</w:t>
      </w:r>
      <w:r>
        <w:rPr>
          <w:rFonts w:cs="Times New Roman" w:eastAsiaTheme="minorEastAsia"/>
        </w:rPr>
        <w:fldChar w:fldCharType="end"/>
      </w:r>
      <w:r>
        <w:rPr>
          <w:rFonts w:cs="Times New Roman" w:eastAsiaTheme="minorEastAsia"/>
        </w:rPr>
        <w:fldChar w:fldCharType="end"/>
      </w:r>
    </w:p>
    <w:p w14:paraId="56D4EA87">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"_Toc18354" </w:instrText>
      </w:r>
      <w:r>
        <w:fldChar w:fldCharType="separate"/>
      </w:r>
      <w:r>
        <w:rPr>
          <w:rFonts w:cs="Times New Roman" w:eastAsiaTheme="minorEastAsia"/>
          <w:b w:val="0"/>
        </w:rPr>
        <w:t>6 工程验收形式和内容</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_Toc18354 \h </w:instrText>
      </w:r>
      <w:r>
        <w:rPr>
          <w:rFonts w:cs="Times New Roman" w:eastAsiaTheme="minorEastAsia"/>
          <w:b w:val="0"/>
        </w:rPr>
        <w:fldChar w:fldCharType="separate"/>
      </w:r>
      <w:r>
        <w:rPr>
          <w:rFonts w:cs="Times New Roman" w:eastAsiaTheme="minorEastAsia"/>
          <w:b w:val="0"/>
        </w:rPr>
        <w:t>5</w:t>
      </w:r>
      <w:r>
        <w:rPr>
          <w:rFonts w:cs="Times New Roman" w:eastAsiaTheme="minorEastAsia"/>
          <w:b w:val="0"/>
        </w:rPr>
        <w:fldChar w:fldCharType="end"/>
      </w:r>
      <w:r>
        <w:rPr>
          <w:rFonts w:cs="Times New Roman" w:eastAsiaTheme="minorEastAsia"/>
          <w:b w:val="0"/>
        </w:rPr>
        <w:fldChar w:fldCharType="end"/>
      </w:r>
    </w:p>
    <w:p w14:paraId="41362D83">
      <w:pPr>
        <w:pStyle w:val="26"/>
        <w:tabs>
          <w:tab w:val="right" w:leader="dot" w:pos="9354"/>
        </w:tabs>
        <w:adjustRightInd/>
        <w:snapToGrid/>
        <w:ind w:left="420"/>
        <w:rPr>
          <w:rFonts w:cs="Times New Roman" w:eastAsiaTheme="minorEastAsia"/>
        </w:rPr>
      </w:pPr>
      <w:r>
        <w:fldChar w:fldCharType="begin"/>
      </w:r>
      <w:r>
        <w:instrText xml:space="preserve"> HYPERLINK \l "_Toc16213" </w:instrText>
      </w:r>
      <w:r>
        <w:fldChar w:fldCharType="separate"/>
      </w:r>
      <w:r>
        <w:rPr>
          <w:rFonts w:cs="Times New Roman" w:eastAsiaTheme="minorEastAsia"/>
        </w:rPr>
        <w:t>6.1 工程验收形式</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_Toc16213 \h </w:instrText>
      </w:r>
      <w:r>
        <w:rPr>
          <w:rFonts w:cs="Times New Roman" w:eastAsiaTheme="minorEastAsia"/>
        </w:rPr>
        <w:fldChar w:fldCharType="separate"/>
      </w:r>
      <w:r>
        <w:rPr>
          <w:rFonts w:cs="Times New Roman" w:eastAsiaTheme="minorEastAsia"/>
        </w:rPr>
        <w:t>5</w:t>
      </w:r>
      <w:r>
        <w:rPr>
          <w:rFonts w:cs="Times New Roman" w:eastAsiaTheme="minorEastAsia"/>
        </w:rPr>
        <w:fldChar w:fldCharType="end"/>
      </w:r>
      <w:r>
        <w:rPr>
          <w:rFonts w:cs="Times New Roman" w:eastAsiaTheme="minorEastAsia"/>
        </w:rPr>
        <w:fldChar w:fldCharType="end"/>
      </w:r>
    </w:p>
    <w:p w14:paraId="567CC6B7">
      <w:pPr>
        <w:pStyle w:val="26"/>
        <w:tabs>
          <w:tab w:val="right" w:leader="dot" w:pos="9354"/>
        </w:tabs>
        <w:adjustRightInd/>
        <w:snapToGrid/>
        <w:ind w:left="420"/>
        <w:rPr>
          <w:rFonts w:cs="Times New Roman" w:eastAsiaTheme="minorEastAsia"/>
        </w:rPr>
      </w:pPr>
      <w:r>
        <w:fldChar w:fldCharType="begin"/>
      </w:r>
      <w:r>
        <w:instrText xml:space="preserve"> HYPERLINK \l "_Toc29804" </w:instrText>
      </w:r>
      <w:r>
        <w:fldChar w:fldCharType="separate"/>
      </w:r>
      <w:r>
        <w:rPr>
          <w:rFonts w:cs="Times New Roman" w:eastAsiaTheme="minorEastAsia"/>
        </w:rPr>
        <w:t>6.2 工程验收意见</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_Toc29804 \h </w:instrText>
      </w:r>
      <w:r>
        <w:rPr>
          <w:rFonts w:cs="Times New Roman" w:eastAsiaTheme="minorEastAsia"/>
        </w:rPr>
        <w:fldChar w:fldCharType="separate"/>
      </w:r>
      <w:r>
        <w:rPr>
          <w:rFonts w:cs="Times New Roman" w:eastAsiaTheme="minorEastAsia"/>
        </w:rPr>
        <w:t>6</w:t>
      </w:r>
      <w:r>
        <w:rPr>
          <w:rFonts w:cs="Times New Roman" w:eastAsiaTheme="minorEastAsia"/>
        </w:rPr>
        <w:fldChar w:fldCharType="end"/>
      </w:r>
      <w:r>
        <w:rPr>
          <w:rFonts w:cs="Times New Roman" w:eastAsiaTheme="minorEastAsia"/>
        </w:rPr>
        <w:fldChar w:fldCharType="end"/>
      </w:r>
    </w:p>
    <w:p w14:paraId="0BE0494E">
      <w:pPr>
        <w:pStyle w:val="26"/>
        <w:tabs>
          <w:tab w:val="right" w:leader="dot" w:pos="9354"/>
        </w:tabs>
        <w:adjustRightInd/>
        <w:snapToGrid/>
        <w:ind w:left="420"/>
        <w:rPr>
          <w:rFonts w:cs="Times New Roman" w:eastAsiaTheme="minorEastAsia"/>
        </w:rPr>
      </w:pPr>
      <w:r>
        <w:fldChar w:fldCharType="begin"/>
      </w:r>
      <w:r>
        <w:instrText xml:space="preserve"> HYPERLINK \l "_Toc4308" </w:instrText>
      </w:r>
      <w:r>
        <w:fldChar w:fldCharType="separate"/>
      </w:r>
      <w:r>
        <w:rPr>
          <w:rFonts w:cs="Times New Roman" w:eastAsiaTheme="minorEastAsia"/>
        </w:rPr>
        <w:t>6.3 工程验收内容和要求</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_Toc4308 \h </w:instrText>
      </w:r>
      <w:r>
        <w:rPr>
          <w:rFonts w:cs="Times New Roman" w:eastAsiaTheme="minorEastAsia"/>
        </w:rPr>
        <w:fldChar w:fldCharType="separate"/>
      </w:r>
      <w:r>
        <w:rPr>
          <w:rFonts w:cs="Times New Roman" w:eastAsiaTheme="minorEastAsia"/>
        </w:rPr>
        <w:t>6</w:t>
      </w:r>
      <w:r>
        <w:rPr>
          <w:rFonts w:cs="Times New Roman" w:eastAsiaTheme="minorEastAsia"/>
        </w:rPr>
        <w:fldChar w:fldCharType="end"/>
      </w:r>
      <w:r>
        <w:rPr>
          <w:rFonts w:cs="Times New Roman" w:eastAsiaTheme="minorEastAsia"/>
        </w:rPr>
        <w:fldChar w:fldCharType="end"/>
      </w:r>
    </w:p>
    <w:p w14:paraId="3668DB40">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"_Toc6526" </w:instrText>
      </w:r>
      <w:r>
        <w:fldChar w:fldCharType="separate"/>
      </w:r>
      <w:r>
        <w:rPr>
          <w:rFonts w:cs="Times New Roman" w:eastAsiaTheme="minorEastAsia"/>
          <w:b w:val="0"/>
        </w:rPr>
        <w:t>7 工程自验</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_Toc6526 \h </w:instrText>
      </w:r>
      <w:r>
        <w:rPr>
          <w:rFonts w:cs="Times New Roman" w:eastAsiaTheme="minorEastAsia"/>
          <w:b w:val="0"/>
        </w:rPr>
        <w:fldChar w:fldCharType="separate"/>
      </w:r>
      <w:r>
        <w:rPr>
          <w:rFonts w:cs="Times New Roman" w:eastAsiaTheme="minorEastAsia"/>
          <w:b w:val="0"/>
        </w:rPr>
        <w:t>9</w:t>
      </w:r>
      <w:r>
        <w:rPr>
          <w:rFonts w:cs="Times New Roman" w:eastAsiaTheme="minorEastAsia"/>
          <w:b w:val="0"/>
        </w:rPr>
        <w:fldChar w:fldCharType="end"/>
      </w:r>
      <w:r>
        <w:rPr>
          <w:rFonts w:cs="Times New Roman" w:eastAsiaTheme="minorEastAsia"/>
          <w:b w:val="0"/>
        </w:rPr>
        <w:fldChar w:fldCharType="end"/>
      </w:r>
    </w:p>
    <w:p w14:paraId="6FAFFCA4">
      <w:pPr>
        <w:pStyle w:val="26"/>
        <w:tabs>
          <w:tab w:val="right" w:leader="dot" w:pos="9354"/>
        </w:tabs>
        <w:adjustRightInd/>
        <w:snapToGrid/>
        <w:ind w:left="420"/>
        <w:rPr>
          <w:rFonts w:cs="Times New Roman" w:eastAsiaTheme="minorEastAsia"/>
        </w:rPr>
      </w:pPr>
      <w:r>
        <w:fldChar w:fldCharType="begin"/>
      </w:r>
      <w:r>
        <w:instrText xml:space="preserve"> HYPERLINK \l "_Toc29453" </w:instrText>
      </w:r>
      <w:r>
        <w:fldChar w:fldCharType="separate"/>
      </w:r>
      <w:r>
        <w:rPr>
          <w:rFonts w:cs="Times New Roman" w:eastAsiaTheme="minorEastAsia"/>
        </w:rPr>
        <w:t>7.1 工程自验内容</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_Toc29453 \h </w:instrText>
      </w:r>
      <w:r>
        <w:rPr>
          <w:rFonts w:cs="Times New Roman" w:eastAsiaTheme="minorEastAsia"/>
        </w:rPr>
        <w:fldChar w:fldCharType="separate"/>
      </w:r>
      <w:r>
        <w:rPr>
          <w:rFonts w:cs="Times New Roman" w:eastAsiaTheme="minorEastAsia"/>
        </w:rPr>
        <w:t>9</w:t>
      </w:r>
      <w:r>
        <w:rPr>
          <w:rFonts w:cs="Times New Roman" w:eastAsiaTheme="minorEastAsia"/>
        </w:rPr>
        <w:fldChar w:fldCharType="end"/>
      </w:r>
      <w:r>
        <w:rPr>
          <w:rFonts w:cs="Times New Roman" w:eastAsiaTheme="minorEastAsia"/>
        </w:rPr>
        <w:fldChar w:fldCharType="end"/>
      </w:r>
    </w:p>
    <w:p w14:paraId="4D7C09FA">
      <w:pPr>
        <w:pStyle w:val="26"/>
        <w:tabs>
          <w:tab w:val="right" w:leader="dot" w:pos="9354"/>
        </w:tabs>
        <w:adjustRightInd/>
        <w:snapToGrid/>
        <w:ind w:left="420"/>
        <w:rPr>
          <w:rFonts w:cs="Times New Roman" w:eastAsiaTheme="minorEastAsia"/>
        </w:rPr>
      </w:pPr>
      <w:r>
        <w:fldChar w:fldCharType="begin"/>
      </w:r>
      <w:r>
        <w:instrText xml:space="preserve"> HYPERLINK \l "_Toc9261" </w:instrText>
      </w:r>
      <w:r>
        <w:fldChar w:fldCharType="separate"/>
      </w:r>
      <w:r>
        <w:rPr>
          <w:rFonts w:cs="Times New Roman" w:eastAsiaTheme="minorEastAsia"/>
        </w:rPr>
        <w:t>7.2 工程自验通过条件</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_Toc9261 \h </w:instrText>
      </w:r>
      <w:r>
        <w:rPr>
          <w:rFonts w:cs="Times New Roman" w:eastAsiaTheme="minorEastAsia"/>
        </w:rPr>
        <w:fldChar w:fldCharType="separate"/>
      </w:r>
      <w:r>
        <w:rPr>
          <w:rFonts w:cs="Times New Roman" w:eastAsiaTheme="minorEastAsia"/>
        </w:rPr>
        <w:t>9</w:t>
      </w:r>
      <w:r>
        <w:rPr>
          <w:rFonts w:cs="Times New Roman" w:eastAsiaTheme="minorEastAsia"/>
        </w:rPr>
        <w:fldChar w:fldCharType="end"/>
      </w:r>
      <w:r>
        <w:rPr>
          <w:rFonts w:cs="Times New Roman" w:eastAsiaTheme="minorEastAsia"/>
        </w:rPr>
        <w:fldChar w:fldCharType="end"/>
      </w:r>
    </w:p>
    <w:p w14:paraId="2A9792F7">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"_Toc19988" </w:instrText>
      </w:r>
      <w:r>
        <w:fldChar w:fldCharType="separate"/>
      </w:r>
      <w:r>
        <w:rPr>
          <w:rFonts w:cs="Times New Roman" w:eastAsiaTheme="minorEastAsia"/>
          <w:b w:val="0"/>
        </w:rPr>
        <w:t>8 工程最终验收</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_Toc19988 \h </w:instrText>
      </w:r>
      <w:r>
        <w:rPr>
          <w:rFonts w:cs="Times New Roman" w:eastAsiaTheme="minorEastAsia"/>
          <w:b w:val="0"/>
        </w:rPr>
        <w:fldChar w:fldCharType="separate"/>
      </w:r>
      <w:r>
        <w:rPr>
          <w:rFonts w:cs="Times New Roman" w:eastAsiaTheme="minorEastAsia"/>
          <w:b w:val="0"/>
        </w:rPr>
        <w:t>9</w:t>
      </w:r>
      <w:r>
        <w:rPr>
          <w:rFonts w:cs="Times New Roman" w:eastAsiaTheme="minorEastAsia"/>
          <w:b w:val="0"/>
        </w:rPr>
        <w:fldChar w:fldCharType="end"/>
      </w:r>
      <w:r>
        <w:rPr>
          <w:rFonts w:cs="Times New Roman" w:eastAsiaTheme="minorEastAsia"/>
          <w:b w:val="0"/>
        </w:rPr>
        <w:fldChar w:fldCharType="end"/>
      </w:r>
    </w:p>
    <w:p w14:paraId="13EDCABA">
      <w:pPr>
        <w:pStyle w:val="26"/>
        <w:tabs>
          <w:tab w:val="right" w:leader="dot" w:pos="9354"/>
        </w:tabs>
        <w:adjustRightInd/>
        <w:snapToGrid/>
        <w:ind w:left="420"/>
        <w:rPr>
          <w:rFonts w:cs="Times New Roman" w:eastAsiaTheme="minorEastAsia"/>
        </w:rPr>
      </w:pPr>
      <w:r>
        <w:fldChar w:fldCharType="begin"/>
      </w:r>
      <w:r>
        <w:instrText xml:space="preserve"> HYPERLINK \l "_Toc29820" </w:instrText>
      </w:r>
      <w:r>
        <w:fldChar w:fldCharType="separate"/>
      </w:r>
      <w:r>
        <w:rPr>
          <w:rFonts w:cs="Times New Roman" w:eastAsiaTheme="minorEastAsia"/>
        </w:rPr>
        <w:t>8.1 工程最终验收的条件与依据</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_Toc29820 \h </w:instrText>
      </w:r>
      <w:r>
        <w:rPr>
          <w:rFonts w:cs="Times New Roman" w:eastAsiaTheme="minorEastAsia"/>
        </w:rPr>
        <w:fldChar w:fldCharType="separate"/>
      </w:r>
      <w:r>
        <w:rPr>
          <w:rFonts w:cs="Times New Roman" w:eastAsiaTheme="minorEastAsia"/>
        </w:rPr>
        <w:t>9</w:t>
      </w:r>
      <w:r>
        <w:rPr>
          <w:rFonts w:cs="Times New Roman" w:eastAsiaTheme="minorEastAsia"/>
        </w:rPr>
        <w:fldChar w:fldCharType="end"/>
      </w:r>
      <w:r>
        <w:rPr>
          <w:rFonts w:cs="Times New Roman" w:eastAsiaTheme="minorEastAsia"/>
        </w:rPr>
        <w:fldChar w:fldCharType="end"/>
      </w:r>
    </w:p>
    <w:p w14:paraId="2486EF81">
      <w:pPr>
        <w:pStyle w:val="26"/>
        <w:tabs>
          <w:tab w:val="right" w:leader="dot" w:pos="9354"/>
        </w:tabs>
        <w:adjustRightInd/>
        <w:snapToGrid/>
        <w:ind w:left="420"/>
        <w:rPr>
          <w:rFonts w:cs="Times New Roman" w:eastAsiaTheme="minorEastAsia"/>
        </w:rPr>
      </w:pPr>
      <w:r>
        <w:fldChar w:fldCharType="begin"/>
      </w:r>
      <w:r>
        <w:instrText xml:space="preserve"> HYPERLINK \l "_Toc16667" </w:instrText>
      </w:r>
      <w:r>
        <w:fldChar w:fldCharType="separate"/>
      </w:r>
      <w:r>
        <w:rPr>
          <w:rFonts w:cs="Times New Roman" w:eastAsiaTheme="minorEastAsia"/>
        </w:rPr>
        <w:t>8.2 工程最终验收的总体要求</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_Toc16667 \h </w:instrText>
      </w:r>
      <w:r>
        <w:rPr>
          <w:rFonts w:cs="Times New Roman" w:eastAsiaTheme="minorEastAsia"/>
        </w:rPr>
        <w:fldChar w:fldCharType="separate"/>
      </w:r>
      <w:r>
        <w:rPr>
          <w:rFonts w:cs="Times New Roman" w:eastAsiaTheme="minorEastAsia"/>
        </w:rPr>
        <w:t>10</w:t>
      </w:r>
      <w:r>
        <w:rPr>
          <w:rFonts w:cs="Times New Roman" w:eastAsiaTheme="minorEastAsia"/>
        </w:rPr>
        <w:fldChar w:fldCharType="end"/>
      </w:r>
      <w:r>
        <w:rPr>
          <w:rFonts w:cs="Times New Roman" w:eastAsiaTheme="minorEastAsia"/>
        </w:rPr>
        <w:fldChar w:fldCharType="end"/>
      </w:r>
    </w:p>
    <w:p w14:paraId="679EE899">
      <w:pPr>
        <w:pStyle w:val="26"/>
        <w:tabs>
          <w:tab w:val="right" w:leader="dot" w:pos="9354"/>
        </w:tabs>
        <w:adjustRightInd/>
        <w:snapToGrid/>
        <w:ind w:left="420"/>
        <w:rPr>
          <w:rFonts w:cs="Times New Roman" w:eastAsiaTheme="minorEastAsia"/>
        </w:rPr>
      </w:pPr>
      <w:r>
        <w:fldChar w:fldCharType="begin"/>
      </w:r>
      <w:r>
        <w:instrText xml:space="preserve"> HYPERLINK \l "_Toc22311" </w:instrText>
      </w:r>
      <w:r>
        <w:fldChar w:fldCharType="separate"/>
      </w:r>
      <w:r>
        <w:rPr>
          <w:rFonts w:cs="Times New Roman" w:eastAsiaTheme="minorEastAsia"/>
        </w:rPr>
        <w:t>8.3 工程最终验收内容</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_Toc22311 \h </w:instrText>
      </w:r>
      <w:r>
        <w:rPr>
          <w:rFonts w:cs="Times New Roman" w:eastAsiaTheme="minorEastAsia"/>
        </w:rPr>
        <w:fldChar w:fldCharType="separate"/>
      </w:r>
      <w:r>
        <w:rPr>
          <w:rFonts w:cs="Times New Roman" w:eastAsiaTheme="minorEastAsia"/>
        </w:rPr>
        <w:t>10</w:t>
      </w:r>
      <w:r>
        <w:rPr>
          <w:rFonts w:cs="Times New Roman" w:eastAsiaTheme="minorEastAsia"/>
        </w:rPr>
        <w:fldChar w:fldCharType="end"/>
      </w:r>
      <w:r>
        <w:rPr>
          <w:rFonts w:cs="Times New Roman" w:eastAsiaTheme="minorEastAsia"/>
        </w:rPr>
        <w:fldChar w:fldCharType="end"/>
      </w:r>
    </w:p>
    <w:p w14:paraId="564E3363">
      <w:pPr>
        <w:pStyle w:val="26"/>
        <w:tabs>
          <w:tab w:val="right" w:leader="dot" w:pos="9354"/>
        </w:tabs>
        <w:adjustRightInd/>
        <w:snapToGrid/>
        <w:ind w:left="420"/>
        <w:rPr>
          <w:rFonts w:cs="Times New Roman" w:eastAsiaTheme="minorEastAsia"/>
        </w:rPr>
      </w:pPr>
      <w:r>
        <w:fldChar w:fldCharType="begin"/>
      </w:r>
      <w:r>
        <w:instrText xml:space="preserve"> HYPERLINK \l "_Toc12028" </w:instrText>
      </w:r>
      <w:r>
        <w:fldChar w:fldCharType="separate"/>
      </w:r>
      <w:r>
        <w:rPr>
          <w:rFonts w:cs="Times New Roman" w:eastAsiaTheme="minorEastAsia"/>
        </w:rPr>
        <w:t>8.4 工程最终验收通过条件</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_Toc12028 \h </w:instrText>
      </w:r>
      <w:r>
        <w:rPr>
          <w:rFonts w:cs="Times New Roman" w:eastAsiaTheme="minorEastAsia"/>
        </w:rPr>
        <w:fldChar w:fldCharType="separate"/>
      </w:r>
      <w:r>
        <w:rPr>
          <w:rFonts w:cs="Times New Roman" w:eastAsiaTheme="minorEastAsia"/>
        </w:rPr>
        <w:t>10</w:t>
      </w:r>
      <w:r>
        <w:rPr>
          <w:rFonts w:cs="Times New Roman" w:eastAsiaTheme="minorEastAsia"/>
        </w:rPr>
        <w:fldChar w:fldCharType="end"/>
      </w:r>
      <w:r>
        <w:rPr>
          <w:rFonts w:cs="Times New Roman" w:eastAsiaTheme="minorEastAsia"/>
        </w:rPr>
        <w:fldChar w:fldCharType="end"/>
      </w:r>
    </w:p>
    <w:p w14:paraId="111635D5">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"_Toc28801" </w:instrText>
      </w:r>
      <w:r>
        <w:fldChar w:fldCharType="separate"/>
      </w:r>
      <w:r>
        <w:rPr>
          <w:rFonts w:cs="Times New Roman" w:eastAsiaTheme="minorEastAsia"/>
          <w:b w:val="0"/>
        </w:rPr>
        <w:t>9 移交归档</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_Toc28801 \h </w:instrText>
      </w:r>
      <w:r>
        <w:rPr>
          <w:rFonts w:cs="Times New Roman" w:eastAsiaTheme="minorEastAsia"/>
          <w:b w:val="0"/>
        </w:rPr>
        <w:fldChar w:fldCharType="separate"/>
      </w:r>
      <w:r>
        <w:rPr>
          <w:rFonts w:cs="Times New Roman" w:eastAsiaTheme="minorEastAsia"/>
          <w:b w:val="0"/>
        </w:rPr>
        <w:t>11</w:t>
      </w:r>
      <w:r>
        <w:rPr>
          <w:rFonts w:cs="Times New Roman" w:eastAsiaTheme="minorEastAsia"/>
          <w:b w:val="0"/>
        </w:rPr>
        <w:fldChar w:fldCharType="end"/>
      </w:r>
      <w:r>
        <w:rPr>
          <w:rFonts w:cs="Times New Roman" w:eastAsiaTheme="minorEastAsia"/>
          <w:b w:val="0"/>
        </w:rPr>
        <w:fldChar w:fldCharType="end"/>
      </w:r>
    </w:p>
    <w:p w14:paraId="1C1BF031">
      <w:pPr>
        <w:pStyle w:val="26"/>
        <w:tabs>
          <w:tab w:val="right" w:leader="dot" w:pos="9354"/>
        </w:tabs>
        <w:adjustRightInd/>
        <w:snapToGrid/>
        <w:ind w:left="420"/>
        <w:rPr>
          <w:rFonts w:cs="Times New Roman" w:eastAsiaTheme="minorEastAsia"/>
        </w:rPr>
      </w:pPr>
      <w:r>
        <w:fldChar w:fldCharType="begin"/>
      </w:r>
      <w:r>
        <w:instrText xml:space="preserve"> HYPERLINK \l "_Toc19476" </w:instrText>
      </w:r>
      <w:r>
        <w:fldChar w:fldCharType="separate"/>
      </w:r>
      <w:r>
        <w:rPr>
          <w:rFonts w:cs="Times New Roman" w:eastAsiaTheme="minorEastAsia"/>
        </w:rPr>
        <w:t>9.1 移交管护</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_Toc19476 \h </w:instrText>
      </w:r>
      <w:r>
        <w:rPr>
          <w:rFonts w:cs="Times New Roman" w:eastAsiaTheme="minorEastAsia"/>
        </w:rPr>
        <w:fldChar w:fldCharType="separate"/>
      </w:r>
      <w:r>
        <w:rPr>
          <w:rFonts w:cs="Times New Roman" w:eastAsiaTheme="minorEastAsia"/>
        </w:rPr>
        <w:t>11</w:t>
      </w:r>
      <w:r>
        <w:rPr>
          <w:rFonts w:cs="Times New Roman" w:eastAsiaTheme="minorEastAsia"/>
        </w:rPr>
        <w:fldChar w:fldCharType="end"/>
      </w:r>
      <w:r>
        <w:rPr>
          <w:rFonts w:cs="Times New Roman" w:eastAsiaTheme="minorEastAsia"/>
        </w:rPr>
        <w:fldChar w:fldCharType="end"/>
      </w:r>
    </w:p>
    <w:p w14:paraId="76DA4A09">
      <w:pPr>
        <w:pStyle w:val="26"/>
        <w:tabs>
          <w:tab w:val="right" w:leader="dot" w:pos="9354"/>
        </w:tabs>
        <w:adjustRightInd/>
        <w:snapToGrid/>
        <w:ind w:left="420"/>
        <w:rPr>
          <w:rFonts w:cs="Times New Roman" w:eastAsiaTheme="minorEastAsia"/>
        </w:rPr>
      </w:pPr>
      <w:r>
        <w:fldChar w:fldCharType="begin"/>
      </w:r>
      <w:r>
        <w:instrText xml:space="preserve"> HYPERLINK \l "_Toc10087" </w:instrText>
      </w:r>
      <w:r>
        <w:fldChar w:fldCharType="separate"/>
      </w:r>
      <w:r>
        <w:rPr>
          <w:rFonts w:cs="Times New Roman" w:eastAsiaTheme="minorEastAsia"/>
        </w:rPr>
        <w:t>9.2 资料归档</w:t>
      </w:r>
      <w:r>
        <w:rPr>
          <w:rFonts w:cs="Times New Roman" w:eastAsiaTheme="minorEastAsia"/>
        </w:rPr>
        <w:tab/>
      </w:r>
      <w:r>
        <w:rPr>
          <w:rFonts w:cs="Times New Roman" w:eastAsiaTheme="minorEastAsia"/>
        </w:rPr>
        <w:fldChar w:fldCharType="begin"/>
      </w:r>
      <w:r>
        <w:rPr>
          <w:rFonts w:cs="Times New Roman" w:eastAsiaTheme="minorEastAsia"/>
        </w:rPr>
        <w:instrText xml:space="preserve"> PAGEREF _Toc10087 \h </w:instrText>
      </w:r>
      <w:r>
        <w:rPr>
          <w:rFonts w:cs="Times New Roman" w:eastAsiaTheme="minorEastAsia"/>
        </w:rPr>
        <w:fldChar w:fldCharType="separate"/>
      </w:r>
      <w:r>
        <w:rPr>
          <w:rFonts w:cs="Times New Roman" w:eastAsiaTheme="minorEastAsia"/>
        </w:rPr>
        <w:t>11</w:t>
      </w:r>
      <w:r>
        <w:rPr>
          <w:rFonts w:cs="Times New Roman" w:eastAsiaTheme="minorEastAsia"/>
        </w:rPr>
        <w:fldChar w:fldCharType="end"/>
      </w:r>
      <w:r>
        <w:rPr>
          <w:rFonts w:cs="Times New Roman" w:eastAsiaTheme="minorEastAsia"/>
        </w:rPr>
        <w:fldChar w:fldCharType="end"/>
      </w:r>
    </w:p>
    <w:p w14:paraId="2F572AFD">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"_Toc22692" </w:instrText>
      </w:r>
      <w:r>
        <w:fldChar w:fldCharType="separate"/>
      </w:r>
      <w:r>
        <w:rPr>
          <w:rFonts w:cs="Times New Roman" w:eastAsiaTheme="minorEastAsia"/>
          <w:b w:val="0"/>
        </w:rPr>
        <w:t>附　录　A  （资料性） 露天矿坑生态修复工程验收资料清单</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_Toc22692 \h </w:instrText>
      </w:r>
      <w:r>
        <w:rPr>
          <w:rFonts w:cs="Times New Roman" w:eastAsiaTheme="minorEastAsia"/>
          <w:b w:val="0"/>
        </w:rPr>
        <w:fldChar w:fldCharType="separate"/>
      </w:r>
      <w:r>
        <w:rPr>
          <w:rFonts w:cs="Times New Roman" w:eastAsiaTheme="minorEastAsia"/>
          <w:b w:val="0"/>
        </w:rPr>
        <w:t>12</w:t>
      </w:r>
      <w:r>
        <w:rPr>
          <w:rFonts w:cs="Times New Roman" w:eastAsiaTheme="minorEastAsia"/>
          <w:b w:val="0"/>
        </w:rPr>
        <w:fldChar w:fldCharType="end"/>
      </w:r>
      <w:r>
        <w:rPr>
          <w:rFonts w:cs="Times New Roman" w:eastAsiaTheme="minorEastAsia"/>
          <w:b w:val="0"/>
        </w:rPr>
        <w:fldChar w:fldCharType="end"/>
      </w:r>
    </w:p>
    <w:p w14:paraId="3E18FF28">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"_Toc16831" </w:instrText>
      </w:r>
      <w:r>
        <w:fldChar w:fldCharType="separate"/>
      </w:r>
      <w:r>
        <w:rPr>
          <w:rFonts w:cs="Times New Roman" w:eastAsiaTheme="minorEastAsia"/>
          <w:b w:val="0"/>
        </w:rPr>
        <w:t>附　录　B  （规范性） 露天矿坑生态修复工程验收意见书格式</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_Toc16831 \h </w:instrText>
      </w:r>
      <w:r>
        <w:rPr>
          <w:rFonts w:cs="Times New Roman" w:eastAsiaTheme="minorEastAsia"/>
          <w:b w:val="0"/>
        </w:rPr>
        <w:fldChar w:fldCharType="separate"/>
      </w:r>
      <w:r>
        <w:rPr>
          <w:rFonts w:cs="Times New Roman" w:eastAsiaTheme="minorEastAsia"/>
          <w:b w:val="0"/>
        </w:rPr>
        <w:t>14</w:t>
      </w:r>
      <w:r>
        <w:rPr>
          <w:rFonts w:cs="Times New Roman" w:eastAsiaTheme="minorEastAsia"/>
          <w:b w:val="0"/>
        </w:rPr>
        <w:fldChar w:fldCharType="end"/>
      </w:r>
      <w:r>
        <w:rPr>
          <w:rFonts w:cs="Times New Roman" w:eastAsiaTheme="minorEastAsia"/>
          <w:b w:val="0"/>
        </w:rPr>
        <w:fldChar w:fldCharType="end"/>
      </w:r>
    </w:p>
    <w:p w14:paraId="600173CD">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"_Toc7787" </w:instrText>
      </w:r>
      <w:r>
        <w:fldChar w:fldCharType="separate"/>
      </w:r>
      <w:r>
        <w:rPr>
          <w:rFonts w:cs="Times New Roman" w:eastAsiaTheme="minorEastAsia"/>
          <w:b w:val="0"/>
        </w:rPr>
        <w:t>附　录　C  （规范性） 露天矿坑生态修复工程（项目）项目绩效自评</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_Toc7787 \h </w:instrText>
      </w:r>
      <w:r>
        <w:rPr>
          <w:rFonts w:cs="Times New Roman" w:eastAsiaTheme="minorEastAsia"/>
          <w:b w:val="0"/>
        </w:rPr>
        <w:fldChar w:fldCharType="separate"/>
      </w:r>
      <w:r>
        <w:rPr>
          <w:rFonts w:cs="Times New Roman" w:eastAsiaTheme="minorEastAsia"/>
          <w:b w:val="0"/>
        </w:rPr>
        <w:t>20</w:t>
      </w:r>
      <w:r>
        <w:rPr>
          <w:rFonts w:cs="Times New Roman" w:eastAsiaTheme="minorEastAsia"/>
          <w:b w:val="0"/>
        </w:rPr>
        <w:fldChar w:fldCharType="end"/>
      </w:r>
      <w:r>
        <w:rPr>
          <w:rFonts w:cs="Times New Roman" w:eastAsiaTheme="minorEastAsia"/>
          <w:b w:val="0"/>
        </w:rPr>
        <w:fldChar w:fldCharType="end"/>
      </w:r>
    </w:p>
    <w:p w14:paraId="32C46A3F">
      <w:pPr>
        <w:pStyle w:val="23"/>
        <w:tabs>
          <w:tab w:val="right" w:leader="dot" w:pos="9354"/>
        </w:tabs>
        <w:adjustRightInd/>
        <w:snapToGrid/>
        <w:spacing w:before="78" w:beforeLines="25" w:after="78" w:afterLines="25"/>
        <w:rPr>
          <w:rFonts w:cs="Times New Roman" w:eastAsiaTheme="minorEastAsia"/>
          <w:b w:val="0"/>
        </w:rPr>
      </w:pPr>
      <w:r>
        <w:fldChar w:fldCharType="begin"/>
      </w:r>
      <w:r>
        <w:instrText xml:space="preserve"> HYPERLINK \l "_Toc3098" </w:instrText>
      </w:r>
      <w:r>
        <w:fldChar w:fldCharType="separate"/>
      </w:r>
      <w:r>
        <w:rPr>
          <w:rFonts w:cs="Times New Roman" w:eastAsiaTheme="minorEastAsia"/>
          <w:b w:val="0"/>
        </w:rPr>
        <w:t>参 考 文 献</w:t>
      </w:r>
      <w:r>
        <w:rPr>
          <w:rFonts w:cs="Times New Roman" w:eastAsiaTheme="minorEastAsia"/>
          <w:b w:val="0"/>
        </w:rPr>
        <w:tab/>
      </w:r>
      <w:r>
        <w:rPr>
          <w:rFonts w:cs="Times New Roman" w:eastAsiaTheme="minorEastAsia"/>
          <w:b w:val="0"/>
        </w:rPr>
        <w:fldChar w:fldCharType="begin"/>
      </w:r>
      <w:r>
        <w:rPr>
          <w:rFonts w:cs="Times New Roman" w:eastAsiaTheme="minorEastAsia"/>
          <w:b w:val="0"/>
        </w:rPr>
        <w:instrText xml:space="preserve"> PAGEREF _Toc3098 \h </w:instrText>
      </w:r>
      <w:r>
        <w:rPr>
          <w:rFonts w:cs="Times New Roman" w:eastAsiaTheme="minorEastAsia"/>
          <w:b w:val="0"/>
        </w:rPr>
        <w:fldChar w:fldCharType="separate"/>
      </w:r>
      <w:r>
        <w:rPr>
          <w:rFonts w:cs="Times New Roman" w:eastAsiaTheme="minorEastAsia"/>
          <w:b w:val="0"/>
        </w:rPr>
        <w:t>22</w:t>
      </w:r>
      <w:r>
        <w:rPr>
          <w:rFonts w:cs="Times New Roman" w:eastAsiaTheme="minorEastAsia"/>
          <w:b w:val="0"/>
        </w:rPr>
        <w:fldChar w:fldCharType="end"/>
      </w:r>
      <w:r>
        <w:rPr>
          <w:rFonts w:cs="Times New Roman" w:eastAsiaTheme="minorEastAsia"/>
          <w:b w:val="0"/>
        </w:rPr>
        <w:fldChar w:fldCharType="end"/>
      </w:r>
    </w:p>
    <w:p w14:paraId="342CC682">
      <w:pPr>
        <w:pStyle w:val="23"/>
        <w:tabs>
          <w:tab w:val="right" w:leader="dot" w:pos="9354"/>
        </w:tabs>
        <w:adjustRightInd/>
        <w:snapToGrid/>
        <w:spacing w:before="78" w:beforeLines="25" w:after="78" w:afterLines="25"/>
        <w:rPr>
          <w:rFonts w:cs="Times New Roman" w:eastAsiaTheme="minorEastAsia"/>
          <w:b w:val="0"/>
        </w:rPr>
      </w:pPr>
      <w:r>
        <w:rPr>
          <w:rFonts w:cs="Times New Roman" w:eastAsiaTheme="minorEastAsia"/>
          <w:b w:val="0"/>
        </w:rPr>
        <w:fldChar w:fldCharType="end"/>
      </w:r>
    </w:p>
    <w:p w14:paraId="34C837FA"/>
    <w:p w14:paraId="001847FE">
      <w:pPr>
        <w:sectPr>
          <w:headerReference r:id="rId11" w:type="default"/>
          <w:footerReference r:id="rId12" w:type="default"/>
          <w:footerReference r:id="rId13" w:type="even"/>
          <w:pgSz w:w="11906" w:h="16838"/>
          <w:pgMar w:top="567" w:right="1134" w:bottom="1134" w:left="1418" w:header="1418" w:footer="1134" w:gutter="0"/>
          <w:pgNumType w:fmt="upperRoman" w:start="1"/>
          <w:cols w:space="720" w:num="1"/>
          <w:docGrid w:type="lines" w:linePitch="312" w:charSpace="0"/>
        </w:sectPr>
      </w:pPr>
    </w:p>
    <w:p w14:paraId="3E8E8A67">
      <w:pPr>
        <w:pStyle w:val="47"/>
        <w:adjustRightInd w:val="0"/>
        <w:snapToGrid w:val="0"/>
        <w:rPr>
          <w:rFonts w:hint="default" w:ascii="Times New Roman"/>
        </w:rPr>
      </w:pPr>
      <w:bookmarkStart w:id="7" w:name="_Toc218763107"/>
      <w:bookmarkStart w:id="8" w:name="_Toc218963313"/>
      <w:bookmarkStart w:id="9" w:name="_Toc28936"/>
      <w:bookmarkStart w:id="10" w:name="_Toc218763778"/>
      <w:r>
        <w:rPr>
          <w:rFonts w:hint="default" w:ascii="Times New Roman"/>
        </w:rPr>
        <w:t>前</w:t>
      </w:r>
      <w:bookmarkStart w:id="11" w:name="BKQY"/>
      <w:r>
        <w:rPr>
          <w:rFonts w:ascii="Times New Roman"/>
        </w:rPr>
        <w:t xml:space="preserve">  </w:t>
      </w:r>
      <w:r>
        <w:rPr>
          <w:rFonts w:hint="default" w:ascii="Times New Roman"/>
        </w:rPr>
        <w:t>言</w:t>
      </w:r>
      <w:bookmarkEnd w:id="2"/>
      <w:bookmarkEnd w:id="7"/>
      <w:bookmarkEnd w:id="8"/>
      <w:bookmarkEnd w:id="9"/>
      <w:bookmarkEnd w:id="10"/>
      <w:bookmarkEnd w:id="11"/>
    </w:p>
    <w:p w14:paraId="7D6074EC">
      <w:bookmarkStart w:id="12" w:name="OLE_LINK7"/>
      <w:r>
        <w:t>本文件按照GB/T 1.1</w:t>
      </w:r>
      <w:r>
        <w:rPr>
          <w:rFonts w:hint="eastAsia"/>
        </w:rPr>
        <w:t>—</w:t>
      </w:r>
      <w:r>
        <w:t>2020《标准化工作导则</w:t>
      </w:r>
      <w:r>
        <w:rPr>
          <w:rFonts w:hint="eastAsia"/>
        </w:rPr>
        <w:t xml:space="preserve"> </w:t>
      </w:r>
      <w:r>
        <w:t>第1部分</w:t>
      </w:r>
      <w:r>
        <w:rPr>
          <w:rFonts w:hint="eastAsia" w:asciiTheme="minorEastAsia" w:hAnsiTheme="minorEastAsia" w:eastAsiaTheme="minorEastAsia"/>
        </w:rPr>
        <w:t>:</w:t>
      </w:r>
      <w:r>
        <w:t>标准化文件的结构和起草规则》的规定起草</w:t>
      </w:r>
      <w:bookmarkEnd w:id="12"/>
      <w:r>
        <w:t>。</w:t>
      </w:r>
    </w:p>
    <w:p w14:paraId="78727199">
      <w:r>
        <w:rPr>
          <w:rFonts w:hint="eastAsia"/>
        </w:rPr>
        <w:t>请注意本文件的某些内容可能涉及专利。本文件的发布机构不承担识别专利的责任。</w:t>
      </w:r>
    </w:p>
    <w:p w14:paraId="597D0220">
      <w:bookmarkStart w:id="13" w:name="OLE_LINK8"/>
      <w:r>
        <w:t>本文件由中国地质灾害防治与生态修复协会提出并归口</w:t>
      </w:r>
      <w:bookmarkEnd w:id="13"/>
      <w:r>
        <w:t>。</w:t>
      </w:r>
    </w:p>
    <w:p w14:paraId="2BC77618">
      <w:bookmarkStart w:id="14" w:name="OLE_LINK13"/>
      <w:r>
        <w:rPr>
          <w:lang w:val="zh-CN"/>
        </w:rPr>
        <w:t>本文件起草单位：</w:t>
      </w:r>
      <w:r>
        <w:t>中国地质</w:t>
      </w:r>
      <w:r>
        <w:rPr>
          <w:rFonts w:hint="eastAsia"/>
        </w:rPr>
        <w:t>工程集团有限公司、中国地质环境监测院、山东省地质矿产勘查开发局第五地质大队、北京筑业志远软件开发有限公司</w:t>
      </w:r>
      <w:bookmarkEnd w:id="14"/>
      <w:r>
        <w:rPr>
          <w:rFonts w:hint="eastAsia"/>
        </w:rPr>
        <w:t>。</w:t>
      </w:r>
    </w:p>
    <w:p w14:paraId="1E0A42D9">
      <w:r>
        <w:rPr>
          <w:lang w:val="zh-CN"/>
        </w:rPr>
        <w:t>本文件主要起草人：</w:t>
      </w:r>
      <w:r>
        <w:rPr>
          <w:rFonts w:hint="eastAsia"/>
          <w:lang w:val="zh-CN"/>
        </w:rPr>
        <w:t>李正、邵旭升、郭春颖、王文明、张召、马晓慧、李莹、段斌楠、樊利武、王英俊、王志一、钟鑫。</w:t>
      </w:r>
    </w:p>
    <w:p w14:paraId="0AB3474B">
      <w:pPr>
        <w:rPr>
          <w:kern w:val="0"/>
          <w:lang w:val="zh-CN"/>
        </w:rPr>
      </w:pPr>
      <w:r>
        <w:rPr>
          <w:kern w:val="0"/>
          <w:lang w:val="zh-CN"/>
        </w:rPr>
        <w:t>本文件由</w:t>
      </w:r>
      <w:r>
        <w:t>中国地质灾害防治与生态修复协会</w:t>
      </w:r>
      <w:r>
        <w:rPr>
          <w:kern w:val="0"/>
          <w:lang w:val="zh-CN"/>
        </w:rPr>
        <w:t>负责解释。</w:t>
      </w:r>
    </w:p>
    <w:p w14:paraId="1AC2AE2A">
      <w:pPr>
        <w:rPr>
          <w:lang w:val="zh-CN"/>
        </w:rPr>
      </w:pPr>
    </w:p>
    <w:p w14:paraId="39A0314A">
      <w:pPr>
        <w:pStyle w:val="44"/>
        <w:rPr>
          <w:rFonts w:ascii="Times New Roman" w:cstheme="minorBidi"/>
          <w:kern w:val="2"/>
          <w:szCs w:val="22"/>
          <w:lang w:val="zh-CN"/>
        </w:rPr>
      </w:pPr>
    </w:p>
    <w:p w14:paraId="518FA7EB"/>
    <w:p w14:paraId="0F29B984"/>
    <w:p w14:paraId="4EBEB9F2"/>
    <w:p w14:paraId="05F04D36"/>
    <w:p w14:paraId="6ECED15A"/>
    <w:p w14:paraId="0F426781"/>
    <w:p w14:paraId="01897272"/>
    <w:p w14:paraId="10F823D5"/>
    <w:p w14:paraId="1A836080"/>
    <w:p w14:paraId="3D19BD5E"/>
    <w:p w14:paraId="1F829D73"/>
    <w:p w14:paraId="70DEFBEC"/>
    <w:p w14:paraId="357380F3"/>
    <w:p w14:paraId="2B26B9A1"/>
    <w:p w14:paraId="07AC16AE"/>
    <w:p w14:paraId="6FEEC5BC"/>
    <w:p w14:paraId="3624A3CD"/>
    <w:p w14:paraId="36ACB588"/>
    <w:p w14:paraId="1ABCF5E1"/>
    <w:p w14:paraId="5E31798D"/>
    <w:p w14:paraId="2B10F4A2"/>
    <w:p w14:paraId="4485BF98"/>
    <w:p w14:paraId="5A1414C4"/>
    <w:p w14:paraId="4F6D8848"/>
    <w:p w14:paraId="38120D45"/>
    <w:p w14:paraId="2793E51D"/>
    <w:p w14:paraId="6FC9433A"/>
    <w:p w14:paraId="17250308"/>
    <w:p w14:paraId="01F2003C"/>
    <w:p w14:paraId="3BFFA55C"/>
    <w:p w14:paraId="597790AA"/>
    <w:p w14:paraId="5AF5BD39"/>
    <w:p w14:paraId="20690A07">
      <w:pPr>
        <w:rPr>
          <w:lang w:val="zh-CN"/>
        </w:rPr>
      </w:pPr>
    </w:p>
    <w:p w14:paraId="78B26B9B"/>
    <w:p w14:paraId="6FD71AEF"/>
    <w:p w14:paraId="2A3125F5"/>
    <w:p w14:paraId="3A89E778"/>
    <w:p w14:paraId="5781BAAA">
      <w:pPr>
        <w:rPr>
          <w:lang w:val="zh-CN"/>
        </w:rPr>
      </w:pPr>
    </w:p>
    <w:p w14:paraId="26E2DDF5">
      <w:pPr>
        <w:rPr>
          <w:lang w:val="zh-CN"/>
        </w:rPr>
      </w:pPr>
    </w:p>
    <w:p w14:paraId="6869BD71">
      <w:pPr>
        <w:sectPr>
          <w:headerReference r:id="rId14" w:type="default"/>
          <w:footerReference r:id="rId15" w:type="default"/>
          <w:pgSz w:w="11906" w:h="16838"/>
          <w:pgMar w:top="567" w:right="1134" w:bottom="1134" w:left="1418" w:header="1418" w:footer="1134" w:gutter="0"/>
          <w:pgNumType w:fmt="upperRoman"/>
          <w:cols w:space="720" w:num="1"/>
          <w:docGrid w:type="lines" w:linePitch="312" w:charSpace="0"/>
        </w:sectPr>
      </w:pPr>
    </w:p>
    <w:bookmarkEnd w:id="3"/>
    <w:bookmarkEnd w:id="4"/>
    <w:bookmarkEnd w:id="5"/>
    <w:p w14:paraId="3B959628">
      <w:pPr>
        <w:pStyle w:val="17"/>
        <w:spacing w:before="640" w:after="560" w:line="460" w:lineRule="exact"/>
        <w:ind w:left="0" w:firstLine="0" w:firstLineChars="0"/>
        <w:jc w:val="center"/>
        <w:rPr>
          <w:rFonts w:hint="eastAsia" w:ascii="黑体" w:hAnsi="黑体" w:eastAsia="黑体"/>
          <w:sz w:val="32"/>
          <w:szCs w:val="32"/>
        </w:rPr>
      </w:pPr>
      <w:r>
        <w:rPr>
          <w:rFonts w:hint="eastAsia" w:ascii="黑体" w:hAnsi="黑体" w:eastAsia="黑体"/>
          <w:sz w:val="32"/>
          <w:szCs w:val="32"/>
        </w:rPr>
        <w:t>露天矿坑生态修复工程验收</w:t>
      </w:r>
      <w:r>
        <w:rPr>
          <w:rFonts w:ascii="黑体" w:hAnsi="黑体" w:eastAsia="黑体"/>
          <w:sz w:val="32"/>
          <w:szCs w:val="32"/>
        </w:rPr>
        <w:t>规范</w:t>
      </w:r>
    </w:p>
    <w:p w14:paraId="74AE4AE7">
      <w:pPr>
        <w:pStyle w:val="38"/>
        <w:spacing w:before="312" w:after="312"/>
        <w:rPr>
          <w:rFonts w:hint="eastAsia"/>
        </w:rPr>
      </w:pPr>
      <w:bookmarkStart w:id="15" w:name="_Toc218963314"/>
      <w:bookmarkStart w:id="16" w:name="_Toc218763779"/>
      <w:bookmarkStart w:id="17" w:name="_Toc16548"/>
      <w:bookmarkStart w:id="18" w:name="_Toc218763108"/>
      <w:bookmarkStart w:id="19" w:name="_Toc62197059"/>
      <w:bookmarkStart w:id="20" w:name="_Toc467658223"/>
      <w:bookmarkStart w:id="21" w:name="_Toc464054699"/>
      <w:bookmarkStart w:id="22" w:name="_Toc450293152"/>
      <w:bookmarkStart w:id="23" w:name="_Toc467659120"/>
      <w:r>
        <w:t>1 范围</w:t>
      </w:r>
      <w:bookmarkEnd w:id="15"/>
      <w:bookmarkEnd w:id="16"/>
      <w:bookmarkEnd w:id="17"/>
      <w:bookmarkEnd w:id="18"/>
      <w:bookmarkEnd w:id="19"/>
      <w:bookmarkEnd w:id="20"/>
      <w:bookmarkEnd w:id="21"/>
      <w:bookmarkEnd w:id="22"/>
      <w:bookmarkEnd w:id="23"/>
    </w:p>
    <w:p w14:paraId="5D7C7FF8">
      <w:pPr>
        <w:adjustRightInd/>
        <w:snapToGrid/>
      </w:pPr>
      <w:r>
        <w:t>本</w:t>
      </w:r>
      <w:r>
        <w:rPr>
          <w:rFonts w:hint="eastAsia"/>
        </w:rPr>
        <w:t>规范规定了</w:t>
      </w:r>
      <w:bookmarkStart w:id="24" w:name="OLE_LINK3"/>
      <w:r>
        <w:rPr>
          <w:rFonts w:hint="eastAsia"/>
        </w:rPr>
        <w:t>露天矿坑生态修复工程验收的总体要求，规定了露天矿坑生态修复工程验收组织与程序、工程验收形式与内容、工程自验、工程最终验收、移交归档等</w:t>
      </w:r>
      <w:r>
        <w:t>。</w:t>
      </w:r>
      <w:bookmarkEnd w:id="24"/>
    </w:p>
    <w:p w14:paraId="0C463745">
      <w:pPr>
        <w:adjustRightInd/>
        <w:snapToGrid/>
      </w:pPr>
      <w:r>
        <w:t>本</w:t>
      </w:r>
      <w:r>
        <w:rPr>
          <w:rFonts w:hint="eastAsia"/>
        </w:rPr>
        <w:t>规范</w:t>
      </w:r>
      <w:r>
        <w:t>主要适用于矿产资源</w:t>
      </w:r>
      <w:r>
        <w:rPr>
          <w:rFonts w:hint="eastAsia"/>
        </w:rPr>
        <w:t>露天开采活动结束后的露天矿坑闭矿生态修复工程验收工作；开采过程中“边开采，边修复”形式开展的露天矿坑生态修复工程验收工作参照执行</w:t>
      </w:r>
      <w:r>
        <w:t>。</w:t>
      </w:r>
    </w:p>
    <w:p w14:paraId="7CC3144D">
      <w:pPr>
        <w:pStyle w:val="38"/>
        <w:spacing w:before="312" w:after="312"/>
        <w:rPr>
          <w:rFonts w:hint="eastAsia"/>
        </w:rPr>
      </w:pPr>
      <w:bookmarkStart w:id="25" w:name="_Toc62197060"/>
      <w:bookmarkStart w:id="26" w:name="_Toc218763780"/>
      <w:bookmarkStart w:id="27" w:name="_Toc499"/>
      <w:bookmarkStart w:id="28" w:name="_Toc218963315"/>
      <w:bookmarkStart w:id="29" w:name="_Toc218763109"/>
      <w:r>
        <w:t>2</w:t>
      </w:r>
      <w:bookmarkEnd w:id="25"/>
      <w:r>
        <w:t xml:space="preserve"> 规范性引用文件</w:t>
      </w:r>
      <w:bookmarkEnd w:id="26"/>
      <w:bookmarkEnd w:id="27"/>
      <w:bookmarkEnd w:id="28"/>
      <w:bookmarkEnd w:id="29"/>
    </w:p>
    <w:p w14:paraId="62EEBDB0">
      <w:pPr>
        <w:adjustRightInd/>
        <w:snapToGrid/>
      </w:pPr>
      <w:r>
        <w:rPr>
          <w:rFonts w:hint="eastAsia"/>
        </w:rPr>
        <w:t>本规范内容引用了下列文件或其中的条款。凡是不注日期的引用文件，其最新版本适用于本规范。</w:t>
      </w:r>
    </w:p>
    <w:p w14:paraId="7BF0028B">
      <w:pPr>
        <w:adjustRightInd/>
        <w:snapToGrid/>
      </w:pPr>
      <w:bookmarkStart w:id="30" w:name="OLE_LINK15"/>
      <w:bookmarkStart w:id="31" w:name="OLE_LINK47"/>
      <w:bookmarkStart w:id="32" w:name="_Toc467659122"/>
      <w:bookmarkStart w:id="33" w:name="_Toc450293154"/>
      <w:bookmarkStart w:id="34" w:name="_Toc464054701"/>
      <w:bookmarkStart w:id="35" w:name="_Toc467658225"/>
      <w:bookmarkStart w:id="36" w:name="_Toc62197061"/>
      <w:r>
        <w:t>GB 3838  地表水环境质量标准</w:t>
      </w:r>
    </w:p>
    <w:p w14:paraId="419E8722">
      <w:pPr>
        <w:adjustRightInd/>
        <w:snapToGrid/>
      </w:pPr>
      <w:r>
        <w:t>GB/T 14848  地下水质量标准</w:t>
      </w:r>
    </w:p>
    <w:p w14:paraId="79B2E7E8">
      <w:pPr>
        <w:adjustRightInd/>
        <w:snapToGrid/>
      </w:pPr>
      <w:r>
        <w:t>GB/T 40112  地质灾害危险性评估规范</w:t>
      </w:r>
    </w:p>
    <w:p w14:paraId="5F77B733">
      <w:pPr>
        <w:adjustRightInd/>
        <w:snapToGrid/>
      </w:pPr>
      <w:r>
        <w:t>GB/T 15776  造林技术规程</w:t>
      </w:r>
    </w:p>
    <w:p w14:paraId="0EBC0C8D">
      <w:pPr>
        <w:adjustRightInd/>
        <w:snapToGrid/>
      </w:pPr>
      <w:r>
        <w:t>GB/T 38360  裸露坡面植被恢复技术规范</w:t>
      </w:r>
    </w:p>
    <w:p w14:paraId="5F3A3BB6">
      <w:pPr>
        <w:adjustRightInd/>
        <w:snapToGrid/>
        <w:rPr>
          <w:sz w:val="27"/>
          <w:szCs w:val="27"/>
        </w:rPr>
      </w:pPr>
      <w:r>
        <w:t>GB/T 33469  耕地质量等级</w:t>
      </w:r>
    </w:p>
    <w:p w14:paraId="5811A1B0">
      <w:pPr>
        <w:adjustRightInd/>
        <w:snapToGrid/>
      </w:pPr>
      <w:r>
        <w:t>GB 15618  土壤环境质量 农用地土壤污染风险管控标准（试行）</w:t>
      </w:r>
    </w:p>
    <w:p w14:paraId="3774BE58">
      <w:pPr>
        <w:adjustRightInd/>
        <w:snapToGrid/>
      </w:pPr>
      <w:r>
        <w:t>GB 36600  土壤环境质量 建设用地土壤污染风险管控标准（试行）</w:t>
      </w:r>
    </w:p>
    <w:p w14:paraId="14B714E8">
      <w:pPr>
        <w:adjustRightInd/>
        <w:snapToGrid/>
      </w:pPr>
      <w:r>
        <w:t>GB/T 43933  金属矿土地复垦与生态修复技术规范</w:t>
      </w:r>
    </w:p>
    <w:p w14:paraId="4EA9C114">
      <w:pPr>
        <w:adjustRightInd/>
        <w:snapToGrid/>
      </w:pPr>
      <w:r>
        <w:t>GB/T 43935  矿山土地复垦与生态修复监测评价技术规范</w:t>
      </w:r>
    </w:p>
    <w:p w14:paraId="6160E9F7">
      <w:pPr>
        <w:adjustRightInd/>
        <w:snapToGrid/>
      </w:pPr>
      <w:r>
        <w:t>GB 50007  建筑地基基础设计规范</w:t>
      </w:r>
    </w:p>
    <w:p w14:paraId="5DFC906E">
      <w:pPr>
        <w:adjustRightInd/>
        <w:snapToGrid/>
      </w:pPr>
      <w:r>
        <w:t>GB 50330  建筑边坡工程技术规范</w:t>
      </w:r>
    </w:p>
    <w:p w14:paraId="3D3DB4C9">
      <w:pPr>
        <w:adjustRightInd/>
        <w:snapToGrid/>
      </w:pPr>
      <w:r>
        <w:t>GB/T 51351  建筑边坡工程施工质量验收标准</w:t>
      </w:r>
    </w:p>
    <w:p w14:paraId="034D6149">
      <w:pPr>
        <w:adjustRightInd/>
        <w:snapToGrid/>
      </w:pPr>
      <w:r>
        <w:t>GB/T 15773  水土保持综合治理验收规范</w:t>
      </w:r>
    </w:p>
    <w:p w14:paraId="4A99CDF7">
      <w:pPr>
        <w:adjustRightInd/>
        <w:snapToGrid/>
      </w:pPr>
      <w:r>
        <w:t>GB/T 38509  滑坡防治设计规范</w:t>
      </w:r>
    </w:p>
    <w:p w14:paraId="097F492A">
      <w:pPr>
        <w:adjustRightInd/>
        <w:snapToGrid/>
      </w:pPr>
      <w:r>
        <w:t>GB/T 28407  农用地质量分等规程</w:t>
      </w:r>
    </w:p>
    <w:p w14:paraId="73267EDC">
      <w:pPr>
        <w:adjustRightInd/>
        <w:snapToGrid/>
      </w:pPr>
      <w:r>
        <w:t>GB/T 18507  城镇土地分等定级规程</w:t>
      </w:r>
    </w:p>
    <w:p w14:paraId="26DDBD60">
      <w:pPr>
        <w:adjustRightInd/>
        <w:snapToGrid/>
      </w:pPr>
      <w:r>
        <w:t>DZ/T 0287  矿山地质环境监测技术规程</w:t>
      </w:r>
    </w:p>
    <w:p w14:paraId="23B6E4AB">
      <w:pPr>
        <w:adjustRightInd/>
        <w:snapToGrid/>
      </w:pPr>
      <w:r>
        <w:t>DZ/T 0219  滑坡防治工程设计与施工技术规范</w:t>
      </w:r>
    </w:p>
    <w:p w14:paraId="3A6F30F7">
      <w:pPr>
        <w:adjustRightInd/>
        <w:snapToGrid/>
      </w:pPr>
      <w:r>
        <w:t>DZ/T 0239  泥石流灾害防治工程设计规范</w:t>
      </w:r>
    </w:p>
    <w:bookmarkEnd w:id="30"/>
    <w:p w14:paraId="56B63A16">
      <w:pPr>
        <w:adjustRightInd/>
        <w:snapToGrid/>
      </w:pPr>
      <w:bookmarkStart w:id="37" w:name="OLE_LINK18"/>
      <w:r>
        <w:t>HJ651  矿山生态环境保护与恢复治理技术规范（试行）</w:t>
      </w:r>
    </w:p>
    <w:p w14:paraId="27DF4D56">
      <w:pPr>
        <w:adjustRightInd/>
        <w:snapToGrid/>
        <w:rPr>
          <w:sz w:val="27"/>
          <w:szCs w:val="27"/>
        </w:rPr>
      </w:pPr>
      <w:r>
        <w:t>HJ 166  土壤环境监测技术规范</w:t>
      </w:r>
    </w:p>
    <w:p w14:paraId="3CA6B2EF">
      <w:pPr>
        <w:adjustRightInd/>
        <w:snapToGrid/>
      </w:pPr>
      <w:bookmarkStart w:id="38" w:name="OLE_LINK45"/>
      <w:r>
        <w:t>HJ</w:t>
      </w:r>
      <w:bookmarkEnd w:id="38"/>
      <w:r>
        <w:t xml:space="preserve"> 1272  生态修复保护成效评估技术指南（试行）</w:t>
      </w:r>
    </w:p>
    <w:p w14:paraId="622B5ABB">
      <w:pPr>
        <w:adjustRightInd/>
        <w:snapToGrid/>
      </w:pPr>
      <w:r>
        <w:t>HJ 1172  全国生态状况调查评估技术规范--生态系统质量评估</w:t>
      </w:r>
    </w:p>
    <w:p w14:paraId="3444A4F5">
      <w:pPr>
        <w:adjustRightInd/>
        <w:snapToGrid/>
      </w:pPr>
      <w:r>
        <w:t>TD/T 1068  国土空间生态保护修复工程实施方案编制规程</w:t>
      </w:r>
    </w:p>
    <w:p w14:paraId="4879097E">
      <w:pPr>
        <w:adjustRightInd/>
        <w:snapToGrid/>
      </w:pPr>
      <w:bookmarkStart w:id="39" w:name="OLE_LINK4"/>
      <w:r>
        <w:t>TD/T 1069  国土空间生态保护修复工程验收规范</w:t>
      </w:r>
    </w:p>
    <w:bookmarkEnd w:id="39"/>
    <w:p w14:paraId="666E1358">
      <w:pPr>
        <w:adjustRightInd/>
        <w:snapToGrid/>
      </w:pPr>
      <w:r>
        <w:t>TD/T 1070  矿山生态修复技术规范</w:t>
      </w:r>
    </w:p>
    <w:p w14:paraId="27E8F861">
      <w:pPr>
        <w:adjustRightInd/>
        <w:snapToGrid/>
      </w:pPr>
      <w:r>
        <w:t>TD/T 1036  土地复垦质量控制标准</w:t>
      </w:r>
    </w:p>
    <w:p w14:paraId="2F8D59CF">
      <w:pPr>
        <w:adjustRightInd/>
        <w:snapToGrid/>
      </w:pPr>
      <w:bookmarkStart w:id="40" w:name="OLE_LINK5"/>
      <w:r>
        <w:t>TD/T 1044  生产项目土地复垦验收规程</w:t>
      </w:r>
    </w:p>
    <w:p w14:paraId="5CBB395B">
      <w:pPr>
        <w:adjustRightInd/>
        <w:snapToGrid/>
      </w:pPr>
      <w:r>
        <w:t>TD/T 1033  高标准农田建设标准</w:t>
      </w:r>
    </w:p>
    <w:p w14:paraId="15944C20">
      <w:pPr>
        <w:adjustRightInd/>
        <w:snapToGrid/>
      </w:pPr>
      <w:r>
        <w:t>TD/T 1013  土地整治项目验收规程</w:t>
      </w:r>
    </w:p>
    <w:p w14:paraId="753928F6">
      <w:pPr>
        <w:adjustRightInd/>
        <w:snapToGrid/>
      </w:pPr>
      <w:r>
        <w:t>TD/T 1055  第三次全国国土调查技术规程</w:t>
      </w:r>
    </w:p>
    <w:p w14:paraId="2CE54E32">
      <w:pPr>
        <w:adjustRightInd/>
        <w:snapToGrid/>
      </w:pPr>
      <w:r>
        <w:t>TD/T 1071  园地分等定级规程</w:t>
      </w:r>
    </w:p>
    <w:p w14:paraId="73F58C22">
      <w:pPr>
        <w:adjustRightInd/>
        <w:snapToGrid/>
      </w:pPr>
      <w:r>
        <w:t>TD/T 1060  自然资源分等定级通则</w:t>
      </w:r>
    </w:p>
    <w:p w14:paraId="2E0DE87E">
      <w:pPr>
        <w:adjustRightInd/>
        <w:snapToGrid/>
      </w:pPr>
      <w:r>
        <w:t>TD/T 1092  矿山生态修复工程验收规范</w:t>
      </w:r>
      <w:bookmarkStart w:id="41" w:name="OLE_LINK46"/>
    </w:p>
    <w:p w14:paraId="669CF23A">
      <w:pPr>
        <w:adjustRightInd/>
        <w:snapToGrid/>
      </w:pPr>
      <w:r>
        <w:t>T/CSOTE</w:t>
      </w:r>
      <w:bookmarkEnd w:id="41"/>
      <w:r>
        <w:t xml:space="preserve"> 0003  矿山生态环境修复工程技术规范</w:t>
      </w:r>
    </w:p>
    <w:p w14:paraId="2E058DB6">
      <w:pPr>
        <w:adjustRightInd/>
        <w:snapToGrid/>
      </w:pPr>
      <w:r>
        <w:t>T/CAGHP 027  坡面防护工程设计规范（试行）</w:t>
      </w:r>
    </w:p>
    <w:p w14:paraId="261A5583">
      <w:pPr>
        <w:adjustRightInd/>
        <w:snapToGrid/>
      </w:pPr>
      <w:r>
        <w:t>CJ/T 340  绿化种植土壤</w:t>
      </w:r>
      <w:bookmarkEnd w:id="37"/>
    </w:p>
    <w:bookmarkEnd w:id="31"/>
    <w:bookmarkEnd w:id="40"/>
    <w:p w14:paraId="5B4F46A0">
      <w:pPr>
        <w:pStyle w:val="38"/>
        <w:spacing w:before="312" w:after="312"/>
        <w:rPr>
          <w:rFonts w:hint="eastAsia"/>
        </w:rPr>
      </w:pPr>
      <w:bookmarkStart w:id="42" w:name="_Toc218763110"/>
      <w:bookmarkStart w:id="43" w:name="_Toc22418"/>
      <w:bookmarkStart w:id="44" w:name="_Toc218763781"/>
      <w:bookmarkStart w:id="45" w:name="_Toc218963316"/>
      <w:r>
        <w:t>3 术语和定义</w:t>
      </w:r>
      <w:bookmarkEnd w:id="32"/>
      <w:bookmarkEnd w:id="33"/>
      <w:bookmarkEnd w:id="34"/>
      <w:bookmarkEnd w:id="35"/>
      <w:bookmarkEnd w:id="36"/>
      <w:bookmarkEnd w:id="42"/>
      <w:bookmarkEnd w:id="43"/>
      <w:bookmarkEnd w:id="44"/>
      <w:bookmarkEnd w:id="45"/>
      <w:bookmarkStart w:id="46" w:name="_Toc464054702"/>
      <w:bookmarkStart w:id="47" w:name="_Toc467658226"/>
      <w:bookmarkStart w:id="48" w:name="_Toc467659123"/>
    </w:p>
    <w:p w14:paraId="0B553F45">
      <w:pPr>
        <w:adjustRightInd/>
        <w:snapToGrid/>
      </w:pPr>
      <w:bookmarkStart w:id="49" w:name="_Toc62197062"/>
      <w:r>
        <w:t>下列术语和定义适应于本文件。</w:t>
      </w:r>
    </w:p>
    <w:bookmarkEnd w:id="49"/>
    <w:p w14:paraId="6068F70E">
      <w:pPr>
        <w:pStyle w:val="37"/>
        <w:spacing w:before="156" w:after="156"/>
      </w:pPr>
      <w:bookmarkStart w:id="50" w:name="_Toc19523"/>
      <w:bookmarkStart w:id="51" w:name="_Toc218763782"/>
      <w:bookmarkStart w:id="52" w:name="_Toc218963317"/>
      <w:bookmarkStart w:id="53" w:name="_Toc218763111"/>
      <w:r>
        <w:t>3.</w:t>
      </w:r>
      <w:r>
        <w:rPr>
          <w:rFonts w:hint="eastAsia"/>
        </w:rPr>
        <w:t>1</w:t>
      </w:r>
      <w:r>
        <w:t xml:space="preserve"> 露天矿坑</w:t>
      </w:r>
      <w:r>
        <w:rPr>
          <w:rFonts w:hint="eastAsia"/>
        </w:rPr>
        <w:t xml:space="preserve"> Open-pit mine</w:t>
      </w:r>
      <w:bookmarkEnd w:id="50"/>
      <w:r>
        <w:rPr>
          <w:rFonts w:hint="eastAsia"/>
        </w:rPr>
        <w:t xml:space="preserve">  </w:t>
      </w:r>
    </w:p>
    <w:p w14:paraId="35DACEBF">
      <w:pPr>
        <w:adjustRightInd/>
        <w:snapToGrid/>
      </w:pPr>
      <w:r>
        <w:t>露天开采方式形成的具有一定空间轮廓的采矿场，由台阶、边坡、坑底等要素构成。</w:t>
      </w:r>
    </w:p>
    <w:p w14:paraId="263A3620">
      <w:pPr>
        <w:pStyle w:val="37"/>
        <w:spacing w:before="156" w:after="156"/>
      </w:pPr>
      <w:bookmarkStart w:id="54" w:name="_Toc1777"/>
      <w:r>
        <w:rPr>
          <w:rFonts w:hint="eastAsia"/>
        </w:rPr>
        <w:t>3.2</w:t>
      </w:r>
      <w:r>
        <w:t>生态修</w:t>
      </w:r>
      <w:r>
        <w:rPr>
          <w:rFonts w:hint="eastAsia"/>
        </w:rPr>
        <w:t>复工程 E</w:t>
      </w:r>
      <w:r>
        <w:t xml:space="preserve">cological </w:t>
      </w:r>
      <w:r>
        <w:rPr>
          <w:rFonts w:hint="eastAsia"/>
        </w:rPr>
        <w:t>R</w:t>
      </w:r>
      <w:r>
        <w:t>estoration</w:t>
      </w:r>
      <w:r>
        <w:rPr>
          <w:rFonts w:hint="eastAsia"/>
        </w:rPr>
        <w:t xml:space="preserve"> Project</w:t>
      </w:r>
      <w:bookmarkEnd w:id="54"/>
    </w:p>
    <w:p w14:paraId="223B4112">
      <w:pPr>
        <w:adjustRightInd/>
        <w:snapToGrid/>
      </w:pPr>
      <w:r>
        <w:rPr>
          <w:rFonts w:hint="eastAsia"/>
        </w:rPr>
        <w:t>指</w:t>
      </w:r>
      <w:r>
        <w:t>通过科学规划和技术手段，对受损生态系统进行保护、治理和恢复的综合性工程。</w:t>
      </w:r>
    </w:p>
    <w:p w14:paraId="563C020A">
      <w:pPr>
        <w:pStyle w:val="37"/>
        <w:spacing w:before="156" w:after="156"/>
      </w:pPr>
      <w:bookmarkStart w:id="55" w:name="_Toc24659"/>
      <w:r>
        <w:rPr>
          <w:rFonts w:hint="eastAsia"/>
        </w:rPr>
        <w:t>3.3露天矿坑生态修复 E</w:t>
      </w:r>
      <w:r>
        <w:t xml:space="preserve">cological </w:t>
      </w:r>
      <w:r>
        <w:rPr>
          <w:rFonts w:hint="eastAsia"/>
        </w:rPr>
        <w:t>R</w:t>
      </w:r>
      <w:r>
        <w:t xml:space="preserve">estoration of </w:t>
      </w:r>
      <w:r>
        <w:rPr>
          <w:rFonts w:hint="eastAsia"/>
        </w:rPr>
        <w:t>O</w:t>
      </w:r>
      <w:r>
        <w:t>pen-pit mine</w:t>
      </w:r>
      <w:bookmarkEnd w:id="51"/>
      <w:bookmarkEnd w:id="52"/>
      <w:bookmarkEnd w:id="53"/>
      <w:bookmarkEnd w:id="55"/>
    </w:p>
    <w:p w14:paraId="572723CE">
      <w:pPr>
        <w:adjustRightInd/>
        <w:snapToGrid/>
      </w:pPr>
      <w:r>
        <w:rPr>
          <w:rFonts w:hint="eastAsia"/>
        </w:rPr>
        <w:t xml:space="preserve">通过工程措施与生物措施相结合的方式实施人为干预，针对因矿产资源露天开采活动形成的露天矿坑所引发的地质环境破坏、土地损毁以及植被破坏等矿山生态环境问题开展修复工作，旨在使露天矿坑的地质环境趋于稳定，实现损毁土地的复垦利用，并恢复和改善生态系统功能。 </w:t>
      </w:r>
    </w:p>
    <w:p w14:paraId="13957E70">
      <w:pPr>
        <w:pStyle w:val="37"/>
        <w:spacing w:before="156" w:after="156"/>
      </w:pPr>
      <w:bookmarkStart w:id="56" w:name="_Toc31959"/>
      <w:bookmarkStart w:id="57" w:name="_Toc218763112"/>
      <w:bookmarkStart w:id="58" w:name="_Toc218763783"/>
      <w:bookmarkStart w:id="59" w:name="_Toc218963318"/>
      <w:r>
        <w:t>3.</w:t>
      </w:r>
      <w:r>
        <w:rPr>
          <w:rFonts w:hint="eastAsia"/>
        </w:rPr>
        <w:t>4</w:t>
      </w:r>
      <w:r>
        <w:t xml:space="preserve"> </w:t>
      </w:r>
      <w:r>
        <w:rPr>
          <w:rFonts w:hint="eastAsia"/>
        </w:rPr>
        <w:t>工程验收 Project Acceptance</w:t>
      </w:r>
      <w:bookmarkEnd w:id="56"/>
      <w:bookmarkEnd w:id="57"/>
      <w:bookmarkEnd w:id="58"/>
      <w:bookmarkEnd w:id="59"/>
    </w:p>
    <w:p w14:paraId="6920580A">
      <w:pPr>
        <w:adjustRightInd/>
        <w:snapToGrid/>
      </w:pPr>
      <w:bookmarkStart w:id="60" w:name="OLE_LINK6"/>
      <w:r>
        <w:rPr>
          <w:rFonts w:hint="eastAsia"/>
        </w:rPr>
        <w:t xml:space="preserve">项目实施完工后，依据相关规定及技术标准要求，组织对实施项目的建设内容、工程量、工程质量、工程资金使用情况、实施效果、绩效目标等进行查验核实，形成验收结论，并编写验收资料评定的过程与活动。 </w:t>
      </w:r>
    </w:p>
    <w:bookmarkEnd w:id="60"/>
    <w:p w14:paraId="18DE712B">
      <w:pPr>
        <w:pStyle w:val="37"/>
        <w:spacing w:before="156" w:after="156"/>
      </w:pPr>
      <w:bookmarkStart w:id="61" w:name="_Toc218763784"/>
      <w:bookmarkStart w:id="62" w:name="_Toc7804"/>
      <w:bookmarkStart w:id="63" w:name="_Toc218763113"/>
      <w:bookmarkStart w:id="64" w:name="_Toc218963319"/>
      <w:r>
        <w:t>3.</w:t>
      </w:r>
      <w:r>
        <w:rPr>
          <w:rFonts w:hint="eastAsia"/>
        </w:rPr>
        <w:t>5</w:t>
      </w:r>
      <w:r>
        <w:t xml:space="preserve"> </w:t>
      </w:r>
      <w:r>
        <w:rPr>
          <w:rFonts w:hint="eastAsia"/>
        </w:rPr>
        <w:t>露天矿坑生态修复验收 E</w:t>
      </w:r>
      <w:r>
        <w:t xml:space="preserve">cological </w:t>
      </w:r>
      <w:r>
        <w:rPr>
          <w:rFonts w:hint="eastAsia"/>
        </w:rPr>
        <w:t>R</w:t>
      </w:r>
      <w:r>
        <w:t xml:space="preserve">estoration and acceptance of </w:t>
      </w:r>
      <w:r>
        <w:rPr>
          <w:rFonts w:hint="eastAsia"/>
        </w:rPr>
        <w:t>O</w:t>
      </w:r>
      <w:r>
        <w:t>pen-pit mine</w:t>
      </w:r>
      <w:bookmarkEnd w:id="61"/>
      <w:bookmarkEnd w:id="62"/>
      <w:bookmarkEnd w:id="63"/>
      <w:bookmarkEnd w:id="64"/>
    </w:p>
    <w:p w14:paraId="28A849ED">
      <w:pPr>
        <w:adjustRightInd/>
        <w:snapToGrid/>
      </w:pPr>
      <w:r>
        <w:rPr>
          <w:rFonts w:hint="eastAsia"/>
        </w:rPr>
        <w:t xml:space="preserve">针对露天矿坑所开展的系统性生态修复工程及其成效，进行实地调查、评估与核验，并形成验收成果的过程。 </w:t>
      </w:r>
    </w:p>
    <w:p w14:paraId="5B28D1A0">
      <w:pPr>
        <w:pStyle w:val="37"/>
        <w:spacing w:before="156" w:after="156"/>
      </w:pPr>
      <w:bookmarkStart w:id="65" w:name="_Toc218763785"/>
      <w:bookmarkStart w:id="66" w:name="_Toc16493"/>
      <w:bookmarkStart w:id="67" w:name="_Toc218763114"/>
      <w:bookmarkStart w:id="68" w:name="_Toc218963320"/>
      <w:r>
        <w:rPr>
          <w:rFonts w:hint="eastAsia"/>
        </w:rPr>
        <w:t>3.6 参照生态系统 Reference Ecosystem</w:t>
      </w:r>
      <w:bookmarkEnd w:id="65"/>
      <w:bookmarkEnd w:id="66"/>
      <w:bookmarkEnd w:id="67"/>
      <w:bookmarkEnd w:id="68"/>
    </w:p>
    <w:p w14:paraId="47FEE0BC">
      <w:pPr>
        <w:adjustRightInd/>
        <w:snapToGrid/>
      </w:pPr>
      <w:bookmarkStart w:id="69" w:name="OLE_LINK9"/>
      <w:r>
        <w:rPr>
          <w:rFonts w:hint="eastAsia"/>
        </w:rPr>
        <w:t>一个能够作为露天矿坑生态恢复目标或基准的生态系统。</w:t>
      </w:r>
    </w:p>
    <w:p w14:paraId="18005E92">
      <w:pPr>
        <w:adjustRightInd/>
        <w:snapToGrid/>
        <w:ind w:left="113" w:hanging="113" w:hangingChars="63"/>
        <w:rPr>
          <w:rFonts w:hint="eastAsia"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注:本文件特指矿山露天开采形成露天矿坑前生态系统、未受扰动的露天矿坑周边本地生态系统或</w:t>
      </w:r>
      <w:r>
        <w:rPr>
          <w:rFonts w:hint="eastAsia" w:asciiTheme="minorEastAsia" w:hAnsiTheme="minorEastAsia" w:eastAsiaTheme="minorEastAsia" w:cstheme="minorEastAsia"/>
          <w:kern w:val="0"/>
          <w:sz w:val="18"/>
          <w:szCs w:val="18"/>
        </w:rPr>
        <w:t>规划报告、实施方案等设定的目标</w:t>
      </w:r>
      <w:r>
        <w:rPr>
          <w:rFonts w:hint="eastAsia" w:asciiTheme="minorEastAsia" w:hAnsiTheme="minorEastAsia" w:eastAsiaTheme="minorEastAsia" w:cstheme="minorEastAsia"/>
          <w:sz w:val="18"/>
          <w:szCs w:val="20"/>
        </w:rPr>
        <w:t>生态系统。</w:t>
      </w:r>
    </w:p>
    <w:bookmarkEnd w:id="69"/>
    <w:p w14:paraId="6138CB72">
      <w:pPr>
        <w:pStyle w:val="38"/>
        <w:spacing w:before="312" w:after="312"/>
        <w:rPr>
          <w:rFonts w:hint="eastAsia"/>
        </w:rPr>
      </w:pPr>
      <w:bookmarkStart w:id="70" w:name="_Toc218763786"/>
      <w:bookmarkStart w:id="71" w:name="_Toc218963321"/>
      <w:bookmarkStart w:id="72" w:name="_Toc16556"/>
      <w:bookmarkStart w:id="73" w:name="_Toc218763115"/>
      <w:r>
        <w:t>4 总体要求</w:t>
      </w:r>
      <w:bookmarkEnd w:id="70"/>
      <w:bookmarkEnd w:id="71"/>
      <w:bookmarkEnd w:id="72"/>
      <w:bookmarkEnd w:id="73"/>
    </w:p>
    <w:p w14:paraId="5AE1CE65">
      <w:pPr>
        <w:pStyle w:val="37"/>
        <w:spacing w:before="156" w:after="156"/>
      </w:pPr>
      <w:bookmarkStart w:id="74" w:name="_Toc218763787"/>
      <w:bookmarkStart w:id="75" w:name="_Toc218963322"/>
      <w:bookmarkStart w:id="76" w:name="_Toc23975"/>
      <w:bookmarkStart w:id="77" w:name="_Toc218763116"/>
      <w:r>
        <w:rPr>
          <w:rFonts w:hint="eastAsia"/>
        </w:rPr>
        <w:t>4.1 基本原则</w:t>
      </w:r>
      <w:bookmarkEnd w:id="74"/>
      <w:bookmarkEnd w:id="75"/>
      <w:bookmarkEnd w:id="76"/>
      <w:bookmarkEnd w:id="77"/>
    </w:p>
    <w:p w14:paraId="23B7EDCE">
      <w:bookmarkStart w:id="78" w:name="OLE_LINK10"/>
      <w:r>
        <w:rPr>
          <w:rFonts w:hint="eastAsia"/>
        </w:rPr>
        <w:t>按照“谁审批、谁验收”的原则，由批准部门或其所委托单位依据相关规定，组织开展工程验收，做好工程档案管理和成果备案工作。</w:t>
      </w:r>
    </w:p>
    <w:bookmarkEnd w:id="78"/>
    <w:p w14:paraId="622ACE00">
      <w:pPr>
        <w:pStyle w:val="37"/>
        <w:spacing w:before="156" w:after="156"/>
      </w:pPr>
      <w:bookmarkStart w:id="79" w:name="_Toc218963323"/>
      <w:bookmarkStart w:id="80" w:name="_Toc218763788"/>
      <w:bookmarkStart w:id="81" w:name="_Toc32195"/>
      <w:bookmarkStart w:id="82" w:name="_Toc218763117"/>
      <w:r>
        <w:rPr>
          <w:rFonts w:hint="eastAsia"/>
        </w:rPr>
        <w:t>4.2 验收依据</w:t>
      </w:r>
      <w:bookmarkEnd w:id="79"/>
      <w:bookmarkEnd w:id="80"/>
      <w:bookmarkEnd w:id="81"/>
      <w:bookmarkEnd w:id="82"/>
    </w:p>
    <w:p w14:paraId="1F2DD1DC">
      <w:pPr>
        <w:adjustRightInd/>
        <w:snapToGrid/>
      </w:pPr>
      <w:bookmarkStart w:id="83" w:name="OLE_LINK11"/>
      <w:r>
        <w:rPr>
          <w:rFonts w:hint="eastAsia"/>
        </w:rPr>
        <w:t>露天矿坑生态修复项目工程验收依据主要包括：</w:t>
      </w:r>
    </w:p>
    <w:p w14:paraId="3BD8A210">
      <w:pPr>
        <w:adjustRightInd/>
        <w:snapToGrid/>
      </w:pPr>
      <w:r>
        <w:rPr>
          <w:rFonts w:hint="eastAsia"/>
        </w:rPr>
        <w:t>1. 经批准的实施方案（含项目绩效目标）。</w:t>
      </w:r>
    </w:p>
    <w:p w14:paraId="00CE220C">
      <w:pPr>
        <w:adjustRightInd/>
        <w:snapToGrid/>
      </w:pPr>
      <w:r>
        <w:rPr>
          <w:rFonts w:hint="eastAsia"/>
        </w:rPr>
        <w:t>2. 经批准的项目设计、施工图、设计变更、补充设计等。</w:t>
      </w:r>
    </w:p>
    <w:p w14:paraId="7EFCDEDA">
      <w:pPr>
        <w:adjustRightInd/>
        <w:snapToGrid/>
      </w:pPr>
      <w:r>
        <w:rPr>
          <w:rFonts w:hint="eastAsia"/>
        </w:rPr>
        <w:t>3. 相关标准规范。</w:t>
      </w:r>
    </w:p>
    <w:bookmarkEnd w:id="46"/>
    <w:bookmarkEnd w:id="47"/>
    <w:bookmarkEnd w:id="48"/>
    <w:bookmarkEnd w:id="83"/>
    <w:p w14:paraId="45FE4FC0">
      <w:pPr>
        <w:pStyle w:val="37"/>
        <w:spacing w:before="156" w:after="156"/>
      </w:pPr>
      <w:bookmarkStart w:id="84" w:name="_Toc464054706"/>
      <w:bookmarkStart w:id="85" w:name="_Toc62197072"/>
      <w:bookmarkStart w:id="86" w:name="_Toc456770552"/>
      <w:bookmarkStart w:id="87" w:name="_Toc467658230"/>
      <w:bookmarkStart w:id="88" w:name="_Toc303155394"/>
      <w:bookmarkStart w:id="89" w:name="_Toc467659127"/>
      <w:bookmarkStart w:id="90" w:name="_Toc1974"/>
      <w:bookmarkStart w:id="91" w:name="_Toc218763118"/>
      <w:bookmarkStart w:id="92" w:name="_Toc218963324"/>
      <w:bookmarkStart w:id="93" w:name="_Toc218763789"/>
      <w:r>
        <w:t>4.</w:t>
      </w:r>
      <w:bookmarkEnd w:id="84"/>
      <w:bookmarkEnd w:id="85"/>
      <w:bookmarkEnd w:id="86"/>
      <w:bookmarkEnd w:id="87"/>
      <w:bookmarkEnd w:id="88"/>
      <w:bookmarkEnd w:id="89"/>
      <w:r>
        <w:rPr>
          <w:rFonts w:hint="eastAsia"/>
        </w:rPr>
        <w:t>3 工作流程</w:t>
      </w:r>
      <w:bookmarkEnd w:id="90"/>
      <w:bookmarkEnd w:id="91"/>
      <w:bookmarkEnd w:id="92"/>
      <w:bookmarkEnd w:id="93"/>
    </w:p>
    <w:p w14:paraId="4846562F">
      <w:pPr>
        <w:adjustRightInd/>
        <w:snapToGrid/>
        <w:rPr>
          <w:rFonts w:hint="eastAsia" w:asciiTheme="minorEastAsia" w:hAnsiTheme="minorEastAsia" w:eastAsiaTheme="minorEastAsia" w:cstheme="minorEastAsia"/>
        </w:rPr>
      </w:pPr>
      <w:bookmarkStart w:id="94" w:name="OLE_LINK19"/>
      <w:bookmarkStart w:id="95" w:name="OLE_LINK12"/>
      <w:r>
        <w:rPr>
          <w:rFonts w:hint="eastAsia" w:asciiTheme="minorEastAsia" w:hAnsiTheme="minorEastAsia" w:eastAsiaTheme="minorEastAsia" w:cstheme="minorEastAsia"/>
        </w:rPr>
        <w:t>验收工作应当科学组织，遵照验收条件和依据，采取定量和定性相结合、室内审核资料与实地查验工程完成情况相结合的方法，并充分听取公众意见，客观、公正给出验收意见和结论。</w:t>
      </w:r>
    </w:p>
    <w:p w14:paraId="4D653652">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露天矿坑生态修复工程验收分为工程自验、最终验收两个阶段。</w:t>
      </w:r>
    </w:p>
    <w:p w14:paraId="3EE1BB2F">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工程自验工作流程：提交自验申请—成立自验小组—室内（外）资料（现场）核查—成果汇总形成自验意见—自验通过后提交终验申请，进入最终验收环节；工程自验各环节中发现问题需整改通过后方可进入下一环节。</w:t>
      </w:r>
    </w:p>
    <w:p w14:paraId="74D6DA47">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工程最终验收工作流程：资料预审—组建专家验收组—专家室内（外）资料（现场）核查—专家评审—形成终验意见—备案公示—移交、归档资料—上传至监管平台；工程最终验收各环节中发现问题需整改通过后方可进入下一环节。</w:t>
      </w:r>
    </w:p>
    <w:p w14:paraId="7180DEAF">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工作流程见图1。</w:t>
      </w:r>
    </w:p>
    <w:bookmarkEnd w:id="94"/>
    <w:p w14:paraId="77EBDA61">
      <w:pPr>
        <w:spacing w:before="312" w:beforeLines="100"/>
        <w:ind w:firstLine="0" w:firstLineChars="0"/>
      </w:pPr>
      <w:r>
        <w:rPr>
          <w:rFonts w:hint="eastAsia"/>
        </w:rPr>
        <w:drawing>
          <wp:inline distT="0" distB="0" distL="0" distR="0">
            <wp:extent cx="5939790" cy="3225165"/>
            <wp:effectExtent l="0" t="0" r="3810" b="0"/>
            <wp:docPr id="1345451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5141" name="图片 4"/>
                    <pic:cNvPicPr>
                      <a:picLocks noChangeAspect="1"/>
                    </pic:cNvPicPr>
                  </pic:nvPicPr>
                  <pic:blipFill>
                    <a:blip r:embed="rId18">
                      <a:extLst>
                        <a:ext uri="{28A0092B-C50C-407E-A947-70E740481C1C}">
                          <a14:useLocalDpi xmlns:a14="http://schemas.microsoft.com/office/drawing/2010/main" val="0"/>
                        </a:ext>
                      </a:extLst>
                    </a:blip>
                    <a:srcRect l="7946" t="7063" r="5911" b="9781"/>
                    <a:stretch>
                      <a:fillRect/>
                    </a:stretch>
                  </pic:blipFill>
                  <pic:spPr>
                    <a:xfrm>
                      <a:off x="0" y="0"/>
                      <a:ext cx="5940000" cy="3225600"/>
                    </a:xfrm>
                    <a:prstGeom prst="rect">
                      <a:avLst/>
                    </a:prstGeom>
                    <a:ln>
                      <a:noFill/>
                    </a:ln>
                  </pic:spPr>
                </pic:pic>
              </a:graphicData>
            </a:graphic>
          </wp:inline>
        </w:drawing>
      </w:r>
    </w:p>
    <w:p w14:paraId="2E25B05A">
      <w:pPr>
        <w:spacing w:before="156" w:beforeLines="50" w:after="156" w:afterLines="50"/>
        <w:ind w:firstLine="0" w:firstLineChars="0"/>
        <w:jc w:val="center"/>
        <w:rPr>
          <w:rFonts w:eastAsia="黑体" w:cs="Times New Roman"/>
        </w:rPr>
      </w:pPr>
      <w:r>
        <w:rPr>
          <w:rFonts w:eastAsia="黑体" w:cs="Times New Roman"/>
        </w:rPr>
        <w:t>图1 露天矿坑生态修复工程验收工作流程图</w:t>
      </w:r>
    </w:p>
    <w:bookmarkEnd w:id="95"/>
    <w:p w14:paraId="76EB42EF">
      <w:pPr>
        <w:pStyle w:val="37"/>
        <w:spacing w:before="156" w:after="156"/>
      </w:pPr>
      <w:bookmarkStart w:id="96" w:name="_Toc218963326"/>
      <w:bookmarkStart w:id="97" w:name="_Toc218763791"/>
      <w:bookmarkStart w:id="98" w:name="_Toc218763120"/>
      <w:bookmarkStart w:id="99" w:name="_Toc31925"/>
      <w:bookmarkStart w:id="100" w:name="_Hlk80367686"/>
      <w:bookmarkStart w:id="101" w:name="_Hlk80367576"/>
      <w:r>
        <w:rPr>
          <w:rFonts w:hint="eastAsia"/>
        </w:rPr>
        <w:t>4.4 工程验收</w:t>
      </w:r>
      <w:bookmarkEnd w:id="96"/>
      <w:bookmarkEnd w:id="97"/>
      <w:bookmarkEnd w:id="98"/>
      <w:bookmarkEnd w:id="99"/>
      <w:r>
        <w:rPr>
          <w:rFonts w:hint="eastAsia"/>
        </w:rPr>
        <w:t>结论</w:t>
      </w:r>
    </w:p>
    <w:p w14:paraId="3A73CDA6">
      <w:pPr>
        <w:adjustRightInd/>
        <w:snapToGrid/>
      </w:pPr>
      <w:r>
        <w:rPr>
          <w:rFonts w:hint="eastAsia"/>
        </w:rPr>
        <w:t>工程验收结论分为通过、不通过两种情形，存在下列问题之一的验收不通过：</w:t>
      </w:r>
    </w:p>
    <w:p w14:paraId="07A538D8">
      <w:pPr>
        <w:adjustRightInd/>
        <w:snapToGrid/>
      </w:pPr>
      <w:r>
        <w:rPr>
          <w:rFonts w:hint="eastAsia"/>
        </w:rPr>
        <w:t>1. 随意变更技术手段或工作量，且未经变更同意的；</w:t>
      </w:r>
    </w:p>
    <w:p w14:paraId="68825A48">
      <w:pPr>
        <w:adjustRightInd/>
        <w:snapToGrid/>
      </w:pPr>
      <w:r>
        <w:rPr>
          <w:rFonts w:hint="eastAsia"/>
        </w:rPr>
        <w:t>2. 未按设计要求消除地质安全隐患或产生新的地质安全隐患的；</w:t>
      </w:r>
    </w:p>
    <w:p w14:paraId="6BCE759D">
      <w:pPr>
        <w:adjustRightInd/>
        <w:snapToGrid/>
      </w:pPr>
      <w:r>
        <w:rPr>
          <w:rFonts w:hint="eastAsia"/>
        </w:rPr>
        <w:t>3. 资料造假或资料与实际严重不符的；</w:t>
      </w:r>
    </w:p>
    <w:p w14:paraId="6A82F2BB">
      <w:pPr>
        <w:adjustRightInd/>
        <w:snapToGrid/>
      </w:pPr>
      <w:r>
        <w:rPr>
          <w:rFonts w:hint="eastAsia"/>
        </w:rPr>
        <w:t>4. 整改问题多，且多数未整改或未按专家意见整改的。</w:t>
      </w:r>
    </w:p>
    <w:p w14:paraId="3CA6E2F3">
      <w:pPr>
        <w:pStyle w:val="37"/>
        <w:spacing w:before="156" w:after="156"/>
      </w:pPr>
      <w:bookmarkStart w:id="102" w:name="_Toc12326"/>
      <w:bookmarkStart w:id="103" w:name="_Toc218763121"/>
      <w:bookmarkStart w:id="104" w:name="_Toc218963327"/>
      <w:bookmarkStart w:id="105" w:name="_Toc218763792"/>
      <w:bookmarkStart w:id="106" w:name="_Hlk196060080"/>
      <w:r>
        <w:rPr>
          <w:rFonts w:hint="eastAsia"/>
        </w:rPr>
        <w:t>4.5 工程验收资料</w:t>
      </w:r>
      <w:bookmarkEnd w:id="102"/>
      <w:bookmarkEnd w:id="103"/>
      <w:bookmarkEnd w:id="104"/>
      <w:bookmarkEnd w:id="105"/>
    </w:p>
    <w:bookmarkEnd w:id="106"/>
    <w:p w14:paraId="695D5725">
      <w:pPr>
        <w:pStyle w:val="45"/>
        <w:adjustRightInd/>
        <w:snapToGrid/>
        <w:spacing w:before="156" w:beforeLines="50" w:after="156" w:afterLines="50"/>
        <w:ind w:firstLine="0" w:firstLineChars="0"/>
        <w:rPr>
          <w:rFonts w:eastAsia="黑体"/>
        </w:rPr>
      </w:pPr>
      <w:bookmarkStart w:id="107" w:name="OLE_LINK14"/>
      <w:r>
        <w:rPr>
          <w:rFonts w:eastAsia="黑体"/>
        </w:rPr>
        <w:t>4.5.1 一般要求</w:t>
      </w:r>
    </w:p>
    <w:p w14:paraId="3CE52299">
      <w:pPr>
        <w:adjustRightInd/>
        <w:snapToGrid/>
      </w:pPr>
      <w:bookmarkStart w:id="108" w:name="OLE_LINK52"/>
      <w:r>
        <w:rPr>
          <w:rFonts w:hint="eastAsia"/>
        </w:rPr>
        <w:t>露天矿坑生态修复项目验收前，实施主体/建设单位应确保项目已按设计文件完成全部工程内容，且各项工程性能、指标均符合设计要求，并通过自检自查。</w:t>
      </w:r>
    </w:p>
    <w:p w14:paraId="3D6D2099">
      <w:pPr>
        <w:adjustRightInd/>
        <w:snapToGrid/>
      </w:pPr>
      <w:r>
        <w:rPr>
          <w:rFonts w:hint="eastAsia"/>
        </w:rPr>
        <w:t>验收资料编制应符合国家、行业及团体标准的相关规定，完整，真实、准确、有效，签章齐全，并按规定归档。</w:t>
      </w:r>
    </w:p>
    <w:bookmarkEnd w:id="108"/>
    <w:p w14:paraId="1E885F55">
      <w:pPr>
        <w:pStyle w:val="45"/>
        <w:adjustRightInd/>
        <w:snapToGrid/>
        <w:spacing w:before="156" w:beforeLines="50" w:after="156" w:afterLines="50"/>
        <w:ind w:firstLine="0" w:firstLineChars="0"/>
        <w:rPr>
          <w:rFonts w:eastAsia="黑体"/>
        </w:rPr>
      </w:pPr>
      <w:r>
        <w:rPr>
          <w:rFonts w:eastAsia="黑体"/>
        </w:rPr>
        <w:t xml:space="preserve">4.5.2 </w:t>
      </w:r>
      <w:bookmarkStart w:id="109" w:name="OLE_LINK53"/>
      <w:r>
        <w:rPr>
          <w:rFonts w:eastAsia="黑体"/>
        </w:rPr>
        <w:t>露天矿坑生态修复项目实施主体/建设单位应组织编制完成以下有关工程档案和施工管理等资料，资料分类及内容如下：</w:t>
      </w:r>
    </w:p>
    <w:p w14:paraId="70BDF9DF">
      <w:pPr>
        <w:adjustRightInd/>
        <w:snapToGrid/>
      </w:pPr>
      <w:r>
        <w:rPr>
          <w:rFonts w:hint="eastAsia"/>
        </w:rPr>
        <w:t>1. 前期准备文件：包括项目调查报告、勘查报告、可行性研究报告、实施方案及批复文件等。</w:t>
      </w:r>
    </w:p>
    <w:p w14:paraId="4327D07B">
      <w:pPr>
        <w:adjustRightInd/>
        <w:snapToGrid/>
      </w:pPr>
      <w:r>
        <w:rPr>
          <w:rFonts w:hint="eastAsia"/>
        </w:rPr>
        <w:t>2. 设计文件：包括项目设计说明书、施工图、设计变更记录、补充设计文件及审查意见等。</w:t>
      </w:r>
    </w:p>
    <w:p w14:paraId="6975CAE2">
      <w:pPr>
        <w:adjustRightInd/>
        <w:snapToGrid/>
      </w:pPr>
      <w:r>
        <w:rPr>
          <w:rFonts w:hint="eastAsia"/>
        </w:rPr>
        <w:t>3. 施工过程文件：包括施工组织设计、开工报告、施工日志、材料检验报告、隐蔽工程验收记录、分部分项工程验收记录、竣工图、施工总结报告等。</w:t>
      </w:r>
    </w:p>
    <w:p w14:paraId="66F535E3">
      <w:pPr>
        <w:adjustRightInd/>
        <w:snapToGrid/>
      </w:pPr>
      <w:r>
        <w:rPr>
          <w:rFonts w:hint="eastAsia"/>
        </w:rPr>
        <w:t>4. 监理文件：包括监理规划</w:t>
      </w:r>
      <w:r>
        <w:rPr>
          <w:rFonts w:hint="eastAsia" w:ascii="宋体" w:hAnsi="宋体"/>
        </w:rPr>
        <w:t>(</w:t>
      </w:r>
      <w:r>
        <w:rPr>
          <w:rFonts w:hint="eastAsia"/>
        </w:rPr>
        <w:t>含工程项目划分</w:t>
      </w:r>
      <w:r>
        <w:rPr>
          <w:rFonts w:hint="eastAsia" w:ascii="宋体" w:hAnsi="宋体"/>
        </w:rPr>
        <w:t>)</w:t>
      </w:r>
      <w:r>
        <w:rPr>
          <w:rFonts w:hint="eastAsia"/>
        </w:rPr>
        <w:t>、监理报表、监理日志、工程质量评估报告、监理工作专题报告、监理总结报告等。</w:t>
      </w:r>
    </w:p>
    <w:p w14:paraId="682133FB">
      <w:pPr>
        <w:adjustRightInd/>
        <w:snapToGrid/>
      </w:pPr>
      <w:r>
        <w:rPr>
          <w:rFonts w:hint="eastAsia"/>
        </w:rPr>
        <w:t>5. 监测及检验文件：包括监测报告、工程质量检测报告、绩效评估报告等。</w:t>
      </w:r>
    </w:p>
    <w:p w14:paraId="5CD42150">
      <w:pPr>
        <w:adjustRightInd/>
        <w:snapToGrid/>
      </w:pPr>
      <w:r>
        <w:rPr>
          <w:rFonts w:hint="eastAsia"/>
        </w:rPr>
        <w:t>6. 管理文件：包括项目招投标文件、合同协议、财务管理记录、安全环保管理文件、验收申请文件等。</w:t>
      </w:r>
    </w:p>
    <w:p w14:paraId="510EE0F0">
      <w:pPr>
        <w:adjustRightInd/>
        <w:snapToGrid/>
      </w:pPr>
      <w:r>
        <w:rPr>
          <w:rFonts w:hint="eastAsia"/>
        </w:rPr>
        <w:t>7. 其他相关材料：包括会议纪要、影像资料、电子文件等与项目验收相关的辅助资料</w:t>
      </w:r>
      <w:bookmarkEnd w:id="109"/>
      <w:r>
        <w:rPr>
          <w:rFonts w:hint="eastAsia"/>
        </w:rPr>
        <w:t>。</w:t>
      </w:r>
    </w:p>
    <w:p w14:paraId="42D84016">
      <w:pPr>
        <w:adjustRightInd/>
        <w:snapToGrid/>
      </w:pPr>
      <w:r>
        <w:rPr>
          <w:rFonts w:hint="eastAsia"/>
        </w:rPr>
        <w:t>8.工程验收资料需根据资料类别提交资料清单目次。</w:t>
      </w:r>
    </w:p>
    <w:p w14:paraId="7D1F7138">
      <w:pPr>
        <w:pStyle w:val="45"/>
        <w:adjustRightInd/>
        <w:snapToGrid/>
        <w:spacing w:before="156" w:beforeLines="50" w:after="156" w:afterLines="50"/>
        <w:ind w:firstLine="0" w:firstLineChars="0"/>
        <w:rPr>
          <w:rFonts w:eastAsia="黑体"/>
        </w:rPr>
      </w:pPr>
      <w:r>
        <w:rPr>
          <w:rFonts w:eastAsia="黑体"/>
        </w:rPr>
        <w:t xml:space="preserve">4.5.3 </w:t>
      </w:r>
      <w:bookmarkStart w:id="110" w:name="OLE_LINK54"/>
      <w:r>
        <w:rPr>
          <w:rFonts w:eastAsia="黑体"/>
        </w:rPr>
        <w:t>项目实施主体/建设单位组织编制完成以下有关露天矿坑生态修复项目验收佐证材料。</w:t>
      </w:r>
    </w:p>
    <w:p w14:paraId="3A475A65">
      <w:pPr>
        <w:adjustRightInd/>
        <w:snapToGrid/>
      </w:pPr>
      <w:r>
        <w:rPr>
          <w:rFonts w:hint="eastAsia"/>
        </w:rPr>
        <w:t>1. 工程质量检验与评定资料。</w:t>
      </w:r>
    </w:p>
    <w:p w14:paraId="5E63A1A4">
      <w:pPr>
        <w:adjustRightInd/>
        <w:snapToGrid/>
      </w:pPr>
      <w:r>
        <w:rPr>
          <w:rFonts w:hint="eastAsia"/>
        </w:rPr>
        <w:t>2. 工程质量抽检报告。</w:t>
      </w:r>
    </w:p>
    <w:p w14:paraId="2F3CFF53">
      <w:pPr>
        <w:adjustRightInd/>
        <w:snapToGrid/>
      </w:pPr>
      <w:r>
        <w:rPr>
          <w:rFonts w:hint="eastAsia"/>
        </w:rPr>
        <w:t>3. 土地质量评定报告。</w:t>
      </w:r>
    </w:p>
    <w:p w14:paraId="521BD876">
      <w:pPr>
        <w:adjustRightInd/>
        <w:snapToGrid/>
      </w:pPr>
      <w:r>
        <w:rPr>
          <w:rFonts w:hint="eastAsia"/>
        </w:rPr>
        <w:t>4. 监测评估数据等资料。</w:t>
      </w:r>
    </w:p>
    <w:p w14:paraId="114C0162">
      <w:pPr>
        <w:adjustRightInd/>
        <w:snapToGrid/>
      </w:pPr>
      <w:r>
        <w:rPr>
          <w:rFonts w:hint="eastAsia"/>
        </w:rPr>
        <w:t>5. 竣工测量报告。</w:t>
      </w:r>
    </w:p>
    <w:p w14:paraId="2BDDD043">
      <w:pPr>
        <w:adjustRightInd/>
        <w:snapToGrid/>
      </w:pPr>
      <w:r>
        <w:rPr>
          <w:rFonts w:hint="eastAsia"/>
        </w:rPr>
        <w:t>6. 移交管护责任单位资料。</w:t>
      </w:r>
    </w:p>
    <w:p w14:paraId="778B7500">
      <w:pPr>
        <w:adjustRightInd/>
        <w:snapToGrid/>
      </w:pPr>
      <w:r>
        <w:rPr>
          <w:rFonts w:hint="eastAsia"/>
        </w:rPr>
        <w:t>7. 其他相关材料。</w:t>
      </w:r>
    </w:p>
    <w:bookmarkEnd w:id="110"/>
    <w:p w14:paraId="3C1478F6">
      <w:pPr>
        <w:pStyle w:val="45"/>
        <w:adjustRightInd/>
        <w:snapToGrid/>
        <w:spacing w:before="156" w:beforeLines="50" w:after="156" w:afterLines="50"/>
        <w:ind w:firstLine="0" w:firstLineChars="0"/>
        <w:rPr>
          <w:rFonts w:eastAsia="黑体"/>
        </w:rPr>
      </w:pPr>
      <w:bookmarkStart w:id="111" w:name="OLE_LINK55"/>
      <w:r>
        <w:rPr>
          <w:rFonts w:eastAsia="黑体"/>
        </w:rPr>
        <w:t>4.5.4 露天矿坑生态修复项目验收前应对以下内容进行合法合规性审核。</w:t>
      </w:r>
    </w:p>
    <w:p w14:paraId="787147DC">
      <w:pPr>
        <w:adjustRightInd/>
        <w:snapToGrid/>
      </w:pPr>
      <w:r>
        <w:rPr>
          <w:rFonts w:hint="eastAsia"/>
        </w:rPr>
        <w:t>1. 符合国家法律法规及相关政策，符合国土空间规划和用途管制的要求，各项工程不存在违法占地和破坏耕地行为。</w:t>
      </w:r>
    </w:p>
    <w:p w14:paraId="2CDEC29A">
      <w:pPr>
        <w:adjustRightInd/>
        <w:snapToGrid/>
      </w:pPr>
      <w:r>
        <w:rPr>
          <w:rFonts w:hint="eastAsia"/>
        </w:rPr>
        <w:t>2.工程管理程序合规，严格依法依规履行招投标程序、工程变更符合程序要求、变更资料完整，资金支出方向符合资金使用要求。</w:t>
      </w:r>
    </w:p>
    <w:p w14:paraId="78DC5533">
      <w:pPr>
        <w:adjustRightInd/>
        <w:snapToGrid/>
      </w:pPr>
      <w:r>
        <w:rPr>
          <w:rFonts w:hint="eastAsia"/>
        </w:rPr>
        <w:t>3. 涉及生态保护红线的，应符合有关管控要求。</w:t>
      </w:r>
    </w:p>
    <w:p w14:paraId="37BD7BC4">
      <w:pPr>
        <w:adjustRightInd/>
        <w:snapToGrid/>
      </w:pPr>
      <w:r>
        <w:rPr>
          <w:rFonts w:hint="eastAsia"/>
        </w:rPr>
        <w:t>4. 涉及地类变更的，应通过年度国土变更调查或日常变更机制完成地类变更；涉及土地权属调整的，应符合土地权属调整相关要求。</w:t>
      </w:r>
    </w:p>
    <w:p w14:paraId="7B41D9F4">
      <w:pPr>
        <w:pStyle w:val="45"/>
        <w:adjustRightInd/>
        <w:snapToGrid/>
        <w:spacing w:before="156" w:beforeLines="50" w:after="156" w:afterLines="50"/>
        <w:ind w:firstLine="0" w:firstLineChars="0"/>
        <w:rPr>
          <w:rFonts w:eastAsia="黑体"/>
        </w:rPr>
      </w:pPr>
      <w:r>
        <w:rPr>
          <w:rFonts w:eastAsia="黑体"/>
        </w:rPr>
        <w:t>4.5.5 露天矿坑生态修复项目工程验收资料应及时分类整理，工程自验资料、自验收结论、整改情况等作为工程最终验收依据。</w:t>
      </w:r>
    </w:p>
    <w:p w14:paraId="285357FC">
      <w:pPr>
        <w:pStyle w:val="45"/>
        <w:adjustRightInd/>
        <w:snapToGrid/>
        <w:spacing w:before="156" w:beforeLines="50" w:after="156" w:afterLines="50"/>
        <w:ind w:firstLine="0" w:firstLineChars="0"/>
        <w:rPr>
          <w:rFonts w:eastAsia="黑体"/>
        </w:rPr>
      </w:pPr>
      <w:r>
        <w:rPr>
          <w:rFonts w:eastAsia="黑体"/>
        </w:rPr>
        <w:t>4.5.6 在工程验收后，验收单位应及时将验收资料进行整理、分类，统一编号后存档。</w:t>
      </w:r>
      <w:bookmarkEnd w:id="100"/>
      <w:bookmarkEnd w:id="107"/>
      <w:bookmarkEnd w:id="111"/>
    </w:p>
    <w:p w14:paraId="20631938">
      <w:pPr>
        <w:pStyle w:val="38"/>
        <w:adjustRightInd/>
        <w:snapToGrid/>
        <w:spacing w:before="312" w:after="312"/>
        <w:rPr>
          <w:rFonts w:hint="eastAsia"/>
        </w:rPr>
      </w:pPr>
      <w:bookmarkStart w:id="112" w:name="_Toc66119054"/>
      <w:bookmarkStart w:id="113" w:name="_Toc218963328"/>
      <w:bookmarkStart w:id="114" w:name="_Toc218763122"/>
      <w:bookmarkStart w:id="115" w:name="_Toc218763793"/>
      <w:bookmarkStart w:id="116" w:name="_Toc15799"/>
      <w:bookmarkStart w:id="117" w:name="_Hlk80367846"/>
      <w:r>
        <w:t xml:space="preserve">5 </w:t>
      </w:r>
      <w:bookmarkEnd w:id="112"/>
      <w:r>
        <w:t>验收组织与程序</w:t>
      </w:r>
      <w:bookmarkEnd w:id="113"/>
      <w:bookmarkEnd w:id="114"/>
      <w:bookmarkEnd w:id="115"/>
      <w:bookmarkEnd w:id="116"/>
    </w:p>
    <w:p w14:paraId="14CB3570">
      <w:pPr>
        <w:pStyle w:val="37"/>
        <w:adjustRightInd/>
        <w:snapToGrid/>
        <w:spacing w:before="156" w:after="156"/>
      </w:pPr>
      <w:bookmarkStart w:id="118" w:name="_Toc218963329"/>
      <w:bookmarkStart w:id="119" w:name="_Toc218763123"/>
      <w:bookmarkStart w:id="120" w:name="_Toc16323"/>
      <w:bookmarkStart w:id="121" w:name="_Toc218763794"/>
      <w:r>
        <w:rPr>
          <w:rFonts w:hint="eastAsia"/>
        </w:rPr>
        <w:t>5.1 验收组织</w:t>
      </w:r>
      <w:bookmarkEnd w:id="118"/>
      <w:bookmarkEnd w:id="119"/>
      <w:bookmarkEnd w:id="120"/>
      <w:bookmarkEnd w:id="121"/>
    </w:p>
    <w:p w14:paraId="52CDD716">
      <w:pPr>
        <w:pStyle w:val="37"/>
        <w:adjustRightInd/>
        <w:snapToGrid/>
        <w:spacing w:before="156" w:after="156"/>
        <w:outlineLvl w:val="2"/>
      </w:pPr>
      <w:bookmarkStart w:id="122" w:name="OLE_LINK16"/>
      <w:bookmarkStart w:id="123" w:name="OLE_LINK26"/>
      <w:r>
        <w:rPr>
          <w:rFonts w:hint="eastAsia"/>
        </w:rPr>
        <w:t>5.1.1 工程验收应在露天矿坑生态修复整体工程检验与评定合格基础上，按照“谁审批、谁验收”的原则，依据管理职责，分级管理。</w:t>
      </w:r>
    </w:p>
    <w:p w14:paraId="3DC1592F">
      <w:pPr>
        <w:pStyle w:val="45"/>
        <w:adjustRightInd/>
        <w:snapToGrid/>
        <w:spacing w:before="156" w:beforeLines="50" w:after="156" w:afterLines="50"/>
        <w:ind w:firstLine="420"/>
        <w:outlineLvl w:val="9"/>
      </w:pPr>
      <w:r>
        <w:rPr>
          <w:rFonts w:hint="eastAsia"/>
        </w:rPr>
        <w:t>企业投资露天矿坑生态修复工程通常由项目所在地县（市）级自然资源主管部门或其委托的有关单位负责组织；市级财政资金支持、利用市场化方式开展的露天矿坑生态修复工程，竣工后由市级自然资源主管部门负责组织最终验收；由中央、省级财政资金支持的露天矿坑生态修复工程，竣工后按上级主管部门要求组织验收。</w:t>
      </w:r>
    </w:p>
    <w:bookmarkEnd w:id="122"/>
    <w:p w14:paraId="3D873305">
      <w:pPr>
        <w:pStyle w:val="37"/>
        <w:adjustRightInd/>
        <w:snapToGrid/>
        <w:spacing w:before="156" w:after="156"/>
        <w:outlineLvl w:val="2"/>
      </w:pPr>
      <w:r>
        <w:rPr>
          <w:rFonts w:hint="eastAsia"/>
        </w:rPr>
        <w:t>5.1.2 工程自验由工程实施责任单位组织专家、设计单位、施工单位、监理单位进行；最终验收一般由工程监管责任单位组织专家组、工程实施责任单位、设计单位、施工单位、监理单位进行。</w:t>
      </w:r>
    </w:p>
    <w:p w14:paraId="06BD2395">
      <w:pPr>
        <w:pStyle w:val="37"/>
        <w:adjustRightInd/>
        <w:snapToGrid/>
        <w:spacing w:before="156" w:after="156"/>
        <w:outlineLvl w:val="2"/>
      </w:pPr>
      <w:r>
        <w:rPr>
          <w:rFonts w:hint="eastAsia"/>
        </w:rPr>
        <w:t>5.1.3 露天矿坑生态修复工程验收时，成立专家组，由专家组会商形成验收意见。</w:t>
      </w:r>
    </w:p>
    <w:p w14:paraId="210AB9A9">
      <w:pPr>
        <w:pStyle w:val="45"/>
        <w:adjustRightInd/>
        <w:snapToGrid/>
        <w:spacing w:before="156" w:beforeLines="50" w:after="156" w:afterLines="50"/>
        <w:ind w:firstLine="420"/>
        <w:outlineLvl w:val="9"/>
      </w:pPr>
      <w:r>
        <w:rPr>
          <w:rFonts w:hint="eastAsia"/>
        </w:rPr>
        <w:t>专家组成员由验收组织部门从省、市自然资源专家库中随机抽取，专家组人数一般应为5人以上单数，专业领域应涵盖地质环境、地质工程（侧重边坡稳定性）、水文地质、生态修复专业专家或具备露天矿坑修复丰富经验的专家、土地复垦、林草生态、水利、财务等。对于存在涉及土石料余量处置的工程，增加地质矿产方面的专家。</w:t>
      </w:r>
    </w:p>
    <w:p w14:paraId="33815A84">
      <w:pPr>
        <w:pStyle w:val="37"/>
        <w:adjustRightInd/>
        <w:snapToGrid/>
        <w:spacing w:before="156" w:after="156"/>
        <w:outlineLvl w:val="2"/>
      </w:pPr>
      <w:r>
        <w:rPr>
          <w:rFonts w:hint="eastAsia"/>
        </w:rPr>
        <w:t>5.1.4 露天矿坑生态修复工程验收工作应依据批准的露天矿坑生态修复设计（方案）、设计（方案）审查意见、招标文件、合同、相关技术标准要求等，客观、公正、科学地开展工程验收，给出真实、准确的验收意见。科学组织，遵照各阶段验收条件与依据，采用定量与定性相结合、室内审阅文件与实地核查相结合的方法，合理开展验收，编制各阶段验收资料，实事求是给出公正、真实的验收意见和结论。</w:t>
      </w:r>
    </w:p>
    <w:p w14:paraId="047A56CB">
      <w:pPr>
        <w:pStyle w:val="37"/>
        <w:adjustRightInd/>
        <w:snapToGrid/>
        <w:spacing w:before="156" w:after="156"/>
        <w:outlineLvl w:val="2"/>
      </w:pPr>
      <w:r>
        <w:rPr>
          <w:rFonts w:hint="eastAsia"/>
        </w:rPr>
        <w:t>5.1.5 露天矿坑生态修复工程验收涉及新增耕地指标、城乡建设用地增减挂钩、耕地质量建设、生态保护红线、存量采矿用地复垦修复与采矿项目新增用地相挂钩等政策时，执行有关规定。涉及地类变更的，通过国土变更调查相关程序予以认定。</w:t>
      </w:r>
    </w:p>
    <w:p w14:paraId="64605F3E">
      <w:pPr>
        <w:pStyle w:val="37"/>
        <w:adjustRightInd/>
        <w:snapToGrid/>
        <w:spacing w:before="156" w:after="156"/>
        <w:outlineLvl w:val="2"/>
      </w:pPr>
      <w:r>
        <w:rPr>
          <w:rFonts w:hint="eastAsia"/>
        </w:rPr>
        <w:t>5.1.6 露天矿坑生态修复工程验收后应及时整理各阶段形成的文件资料，分类标注，统一编号存档。工程需移交管护的，接收方应参加最终验收。生态修复效果委托第三方评估的，评估方宜参加最终验收。</w:t>
      </w:r>
    </w:p>
    <w:bookmarkEnd w:id="123"/>
    <w:p w14:paraId="6032C1E3">
      <w:pPr>
        <w:pStyle w:val="37"/>
        <w:adjustRightInd/>
        <w:snapToGrid/>
        <w:spacing w:before="156" w:after="156"/>
      </w:pPr>
      <w:bookmarkStart w:id="124" w:name="_Toc218763795"/>
      <w:bookmarkStart w:id="125" w:name="_Toc4628"/>
      <w:bookmarkStart w:id="126" w:name="_Toc218963330"/>
      <w:bookmarkStart w:id="127" w:name="_Toc218763124"/>
      <w:r>
        <w:rPr>
          <w:rFonts w:hint="eastAsia"/>
        </w:rPr>
        <w:t>5.2 验收程序</w:t>
      </w:r>
      <w:bookmarkEnd w:id="124"/>
      <w:bookmarkEnd w:id="125"/>
      <w:bookmarkEnd w:id="126"/>
      <w:bookmarkEnd w:id="127"/>
    </w:p>
    <w:p w14:paraId="1644FEAE">
      <w:pPr>
        <w:pStyle w:val="37"/>
        <w:adjustRightInd/>
        <w:snapToGrid/>
        <w:spacing w:before="156" w:after="156"/>
        <w:outlineLvl w:val="2"/>
      </w:pPr>
      <w:bookmarkStart w:id="128" w:name="OLE_LINK27"/>
      <w:r>
        <w:rPr>
          <w:rFonts w:hint="eastAsia"/>
        </w:rPr>
        <w:t>5.2.1 整体工程按设计文件和合同要求完工后，施工单位应在整体工程质量检验评定合格基础上，向工程实施责任单位提交验收申请，工程实施责任单位收到申请后，组织专家组和设计、施工、监理单位代表进行工程自验，形成自验验收意见。</w:t>
      </w:r>
    </w:p>
    <w:p w14:paraId="6FEB0B2F">
      <w:pPr>
        <w:pStyle w:val="37"/>
        <w:adjustRightInd/>
        <w:snapToGrid/>
        <w:spacing w:before="156" w:after="156"/>
        <w:outlineLvl w:val="2"/>
      </w:pPr>
      <w:r>
        <w:rPr>
          <w:rFonts w:hint="eastAsia"/>
        </w:rPr>
        <w:t>5.2.2 工程自验通过后，工程实施责任单位向工程监管责任单位提交最终验收申请，工程监管责任单位组织工程实施责任单位、设计单位、施工单位、监理单位代表及专家组开展工程终验，形成最终验收意见。</w:t>
      </w:r>
    </w:p>
    <w:bookmarkEnd w:id="101"/>
    <w:bookmarkEnd w:id="117"/>
    <w:bookmarkEnd w:id="128"/>
    <w:p w14:paraId="27191033">
      <w:pPr>
        <w:pStyle w:val="38"/>
        <w:spacing w:before="312" w:after="312"/>
        <w:rPr>
          <w:rFonts w:hint="eastAsia"/>
        </w:rPr>
      </w:pPr>
      <w:bookmarkStart w:id="129" w:name="_Toc218763125"/>
      <w:bookmarkStart w:id="130" w:name="_Toc218963331"/>
      <w:bookmarkStart w:id="131" w:name="_Toc218763796"/>
      <w:bookmarkStart w:id="132" w:name="_Toc18354"/>
      <w:r>
        <w:t>6 工程验收形式和内容</w:t>
      </w:r>
      <w:bookmarkEnd w:id="129"/>
      <w:bookmarkEnd w:id="130"/>
      <w:bookmarkEnd w:id="131"/>
      <w:bookmarkEnd w:id="132"/>
    </w:p>
    <w:p w14:paraId="078F2D67">
      <w:pPr>
        <w:pStyle w:val="37"/>
        <w:spacing w:before="156" w:after="156"/>
      </w:pPr>
      <w:bookmarkStart w:id="133" w:name="_Toc73115786"/>
      <w:bookmarkStart w:id="134" w:name="_Toc218963332"/>
      <w:bookmarkStart w:id="135" w:name="_Toc218763797"/>
      <w:bookmarkStart w:id="136" w:name="_Toc218763126"/>
      <w:bookmarkStart w:id="137" w:name="_Toc16213"/>
      <w:r>
        <w:t xml:space="preserve">6.1 </w:t>
      </w:r>
      <w:bookmarkEnd w:id="133"/>
      <w:r>
        <w:rPr>
          <w:rFonts w:hint="eastAsia"/>
        </w:rPr>
        <w:t>工程验收形式</w:t>
      </w:r>
      <w:bookmarkEnd w:id="134"/>
      <w:bookmarkEnd w:id="135"/>
      <w:bookmarkEnd w:id="136"/>
      <w:bookmarkEnd w:id="137"/>
    </w:p>
    <w:p w14:paraId="1ACD76BA">
      <w:pPr>
        <w:adjustRightInd/>
        <w:snapToGrid/>
      </w:pPr>
      <w:bookmarkStart w:id="138" w:name="OLE_LINK28"/>
      <w:r>
        <w:rPr>
          <w:rFonts w:hint="eastAsia"/>
        </w:rPr>
        <w:t>工程验收宜采用会议形式，程序一般包括査看现场、听取汇报、查验资料、质询讨论、形成意见。</w:t>
      </w:r>
    </w:p>
    <w:p w14:paraId="57507AC9">
      <w:pPr>
        <w:adjustRightInd/>
        <w:snapToGrid/>
      </w:pPr>
      <w:r>
        <w:rPr>
          <w:rFonts w:hint="eastAsia"/>
        </w:rPr>
        <w:t>查看现场时，应重点检査工程布置、工程量、工程质量、管护措施等落实情况和露天矿坑生态修复的效果；查验资料时，应重点检查管理、设计、施工、监理、财务等各类资料的真实性、完整性、合规性和规范性。验收资料清单按照附录A提供。</w:t>
      </w:r>
    </w:p>
    <w:bookmarkEnd w:id="138"/>
    <w:p w14:paraId="45835A38">
      <w:pPr>
        <w:pStyle w:val="37"/>
        <w:spacing w:before="156" w:after="156"/>
      </w:pPr>
      <w:bookmarkStart w:id="139" w:name="_Toc218763798"/>
      <w:bookmarkStart w:id="140" w:name="_Toc218763127"/>
      <w:bookmarkStart w:id="141" w:name="_Toc218963333"/>
      <w:bookmarkStart w:id="142" w:name="_Toc29804"/>
      <w:r>
        <w:t xml:space="preserve">6.2 </w:t>
      </w:r>
      <w:r>
        <w:rPr>
          <w:rFonts w:hint="eastAsia"/>
        </w:rPr>
        <w:t>工程验收意见</w:t>
      </w:r>
      <w:bookmarkEnd w:id="139"/>
      <w:bookmarkEnd w:id="140"/>
      <w:bookmarkEnd w:id="141"/>
      <w:bookmarkEnd w:id="142"/>
    </w:p>
    <w:p w14:paraId="5B28F115">
      <w:pPr>
        <w:adjustRightInd/>
        <w:snapToGrid/>
      </w:pPr>
      <w:bookmarkStart w:id="143" w:name="OLE_LINK1"/>
      <w:bookmarkStart w:id="144" w:name="OLE_LINK2"/>
      <w:r>
        <w:rPr>
          <w:rFonts w:hint="eastAsia"/>
        </w:rPr>
        <w:t>参与会议专家应逐个发言、广泛质询、充分讨论，由验收组综合与会各方代表意见后形成工程验收意见。</w:t>
      </w:r>
    </w:p>
    <w:p w14:paraId="4CB58B32">
      <w:pPr>
        <w:adjustRightInd/>
        <w:snapToGrid/>
      </w:pPr>
      <w:r>
        <w:rPr>
          <w:rFonts w:hint="eastAsia"/>
        </w:rPr>
        <w:t>工程验收不通过的，应给出验收不通过的理由，工程验收通过需整改的，应给出整改意见清单。验收意见书格式参照附录B。</w:t>
      </w:r>
    </w:p>
    <w:p w14:paraId="6BA9CB76">
      <w:pPr>
        <w:pStyle w:val="37"/>
        <w:spacing w:before="156" w:after="156"/>
      </w:pPr>
      <w:bookmarkStart w:id="145" w:name="_Toc218763799"/>
      <w:bookmarkStart w:id="146" w:name="_Toc4308"/>
      <w:bookmarkStart w:id="147" w:name="_Toc218763128"/>
      <w:bookmarkStart w:id="148" w:name="_Toc218963334"/>
      <w:r>
        <w:rPr>
          <w:rFonts w:hint="eastAsia"/>
        </w:rPr>
        <w:t>6.3 工程验收内容和要求</w:t>
      </w:r>
      <w:bookmarkEnd w:id="145"/>
      <w:bookmarkEnd w:id="146"/>
      <w:bookmarkEnd w:id="147"/>
      <w:bookmarkEnd w:id="148"/>
    </w:p>
    <w:p w14:paraId="6BEF66F3">
      <w:pPr>
        <w:pStyle w:val="37"/>
        <w:adjustRightInd/>
        <w:snapToGrid/>
        <w:spacing w:before="156" w:after="156"/>
        <w:outlineLvl w:val="2"/>
      </w:pPr>
      <w:bookmarkStart w:id="149" w:name="OLE_LINK29"/>
      <w:bookmarkStart w:id="150" w:name="OLE_LINK17"/>
      <w:r>
        <w:rPr>
          <w:rFonts w:hint="eastAsia"/>
        </w:rPr>
        <w:t>6.3.1 查验项目工程建设内容和质量，应符合以下要求。</w:t>
      </w:r>
    </w:p>
    <w:p w14:paraId="5A4D667F">
      <w:pPr>
        <w:adjustRightInd/>
        <w:snapToGrid/>
      </w:pPr>
      <w:r>
        <w:rPr>
          <w:rFonts w:hint="eastAsia"/>
        </w:rPr>
        <w:t>1.按合同段进行复核，将工程建设情况和经批准的项目设计文件进行对比，检查工程建设任务目标完成情况，工程内容和数量应符合设计规定。</w:t>
      </w:r>
    </w:p>
    <w:p w14:paraId="6661F777">
      <w:pPr>
        <w:adjustRightInd/>
        <w:snapToGrid/>
      </w:pPr>
      <w:r>
        <w:rPr>
          <w:rFonts w:hint="eastAsia"/>
        </w:rPr>
        <w:t>2.查阅工程质量检验与评定资料，全部工程质量应满足工程设计和施工质量标准。</w:t>
      </w:r>
    </w:p>
    <w:p w14:paraId="575F8E8F">
      <w:pPr>
        <w:adjustRightInd/>
        <w:snapToGrid/>
      </w:pPr>
      <w:r>
        <w:rPr>
          <w:rFonts w:hint="eastAsia"/>
        </w:rPr>
        <w:t>3.露天矿坑矿山地质环境治理恢复和监测类修复任务现场抽查比例不低于该类型修复任务数量的10%，土地复垦利用和生态系统功能恢复类修复任务现场抽查数量按照TD/T1044现场抽样要求确定。现场抽查合格率应达到100%。现场抽查应填写工程任务和质量情况抽查表。</w:t>
      </w:r>
    </w:p>
    <w:p w14:paraId="07ECE73C">
      <w:pPr>
        <w:adjustRightInd/>
        <w:snapToGrid/>
      </w:pPr>
      <w:r>
        <w:rPr>
          <w:rFonts w:hint="eastAsia"/>
        </w:rPr>
        <w:t>4.工程项目存在变更或调整时，应符合有关规定程序。</w:t>
      </w:r>
    </w:p>
    <w:bookmarkEnd w:id="149"/>
    <w:p w14:paraId="266F8FC3">
      <w:pPr>
        <w:pStyle w:val="37"/>
        <w:adjustRightInd/>
        <w:snapToGrid/>
        <w:spacing w:before="156" w:after="156"/>
        <w:outlineLvl w:val="2"/>
      </w:pPr>
      <w:bookmarkStart w:id="151" w:name="OLE_LINK30"/>
      <w:r>
        <w:rPr>
          <w:rFonts w:hint="eastAsia"/>
        </w:rPr>
        <w:t>6.3.2 查验露天矿坑地质环境治理恢复情况。</w:t>
      </w:r>
    </w:p>
    <w:p w14:paraId="20EAF0B3">
      <w:pPr>
        <w:adjustRightInd/>
        <w:snapToGrid/>
      </w:pPr>
      <w:r>
        <w:rPr>
          <w:rFonts w:hint="eastAsia"/>
        </w:rPr>
        <w:t>查验内容主要包括露天矿坑矿山地质环境隐患点消除、地貌重塑等技术措施的实施效果以及水体状况，应符合以下要求：</w:t>
      </w:r>
    </w:p>
    <w:bookmarkEnd w:id="151"/>
    <w:p w14:paraId="7020DA17">
      <w:pPr>
        <w:adjustRightInd/>
        <w:snapToGrid/>
      </w:pPr>
      <w:bookmarkStart w:id="152" w:name="OLE_LINK31"/>
      <w:r>
        <w:rPr>
          <w:rFonts w:hint="eastAsia"/>
        </w:rPr>
        <w:t>1.露天矿坑废弃渣土、危岩体、不稳定边坡等矿山地质环境隐患应全部按实施方案采取治理措施，符合GB/T 38509和TD/T 1070的规定。</w:t>
      </w:r>
    </w:p>
    <w:bookmarkEnd w:id="152"/>
    <w:p w14:paraId="375BA71B">
      <w:pPr>
        <w:adjustRightInd/>
        <w:snapToGrid/>
      </w:pPr>
      <w:bookmarkStart w:id="153" w:name="OLE_LINK32"/>
      <w:r>
        <w:rPr>
          <w:rFonts w:hint="eastAsia"/>
        </w:rPr>
        <w:t>2.地貌重塑应符合TD/T 1070的规定，修复后的地形地貌应与周边景观相协调。</w:t>
      </w:r>
    </w:p>
    <w:p w14:paraId="52268F4C">
      <w:pPr>
        <w:adjustRightInd/>
        <w:snapToGrid/>
      </w:pPr>
      <w:r>
        <w:rPr>
          <w:rFonts w:hint="eastAsia"/>
        </w:rPr>
        <w:t>3.水质等水体状况应得到改善，水资源保障程度应满足实施区域生态保护修复需要。</w:t>
      </w:r>
    </w:p>
    <w:bookmarkEnd w:id="153"/>
    <w:p w14:paraId="2C54444E">
      <w:pPr>
        <w:pStyle w:val="37"/>
        <w:adjustRightInd/>
        <w:snapToGrid/>
        <w:spacing w:before="156" w:after="156"/>
        <w:outlineLvl w:val="2"/>
      </w:pPr>
      <w:bookmarkStart w:id="154" w:name="OLE_LINK33"/>
      <w:r>
        <w:rPr>
          <w:rFonts w:hint="eastAsia"/>
        </w:rPr>
        <w:t>6.3.3 查验露天矿坑土地复垦利用情况。</w:t>
      </w:r>
    </w:p>
    <w:p w14:paraId="37CD3B2E">
      <w:pPr>
        <w:adjustRightInd/>
        <w:snapToGrid/>
      </w:pPr>
      <w:r>
        <w:rPr>
          <w:rFonts w:hint="eastAsia"/>
        </w:rPr>
        <w:t>查验内容主要包括土地利用类型、面积、质量等内容，应符合以下要求：</w:t>
      </w:r>
    </w:p>
    <w:p w14:paraId="57641B31">
      <w:pPr>
        <w:adjustRightInd/>
        <w:snapToGrid/>
      </w:pPr>
      <w:r>
        <w:rPr>
          <w:rFonts w:hint="eastAsia"/>
        </w:rPr>
        <w:t>1.复垦为耕地、园地、林地、草地等农用地时，地面坡度、土层厚度、耕作层质量和配套工程建设应符合TD/T 1036的规定；耕地建设应符合现有农田建设标准的规定；用于建设用地时，应符合TD/T 1036的规定；且农用地、建设用地的土壤环境质量应分别符合GB 15618和GB 36600的规定。</w:t>
      </w:r>
    </w:p>
    <w:p w14:paraId="36740B95">
      <w:pPr>
        <w:adjustRightInd/>
        <w:snapToGrid/>
      </w:pPr>
      <w:r>
        <w:rPr>
          <w:rFonts w:hint="eastAsia"/>
        </w:rPr>
        <w:t>2.复垦后的土地利用地类划分应符合TD/T 1055 的规定。复垦后的耕地、园地、林地、草地质量评定应分别符合GB/T 28407、TD/T 1071和TD/T 1060的规定，国有建设用地质量评定应符合GB/T 18507的规定。</w:t>
      </w:r>
    </w:p>
    <w:p w14:paraId="1CED125F">
      <w:pPr>
        <w:adjustRightInd/>
        <w:snapToGrid/>
      </w:pPr>
      <w:r>
        <w:rPr>
          <w:rFonts w:hint="eastAsia"/>
        </w:rPr>
        <w:t>3.涉及新增耕地拟用于占补平衡的，还应符合新增耕地核实认定的有关标准和要求。</w:t>
      </w:r>
    </w:p>
    <w:p w14:paraId="4DE685AD">
      <w:pPr>
        <w:adjustRightInd/>
        <w:snapToGrid/>
      </w:pPr>
      <w:r>
        <w:rPr>
          <w:rFonts w:hint="eastAsia"/>
        </w:rPr>
        <w:t>4.复垦为水域的需满足安全稳定、水质达标、生态构建三大要素，并根据开发利用方向（如湿地、景观湖泊、养殖水面等）满足相关行业规范要求。</w:t>
      </w:r>
    </w:p>
    <w:p w14:paraId="1FA31C69">
      <w:pPr>
        <w:pStyle w:val="37"/>
        <w:adjustRightInd/>
        <w:snapToGrid/>
        <w:spacing w:before="156" w:after="156"/>
        <w:outlineLvl w:val="2"/>
      </w:pPr>
      <w:r>
        <w:rPr>
          <w:rFonts w:hint="eastAsia"/>
        </w:rPr>
        <w:t>6.3.4 评价露天矿坑生态系统功能恢复改善情况。</w:t>
      </w:r>
    </w:p>
    <w:p w14:paraId="4F85A476">
      <w:pPr>
        <w:adjustRightInd/>
        <w:snapToGrid/>
      </w:pPr>
      <w:r>
        <w:rPr>
          <w:rFonts w:hint="eastAsia"/>
        </w:rPr>
        <w:t>核查植被恢复、林草成活率，对比参照生态系统，对林草成活率、边坡植被覆盖度、生物多样性、水土保持、水源涵养、微气候改善等内容进行评价，应符合以下要求：</w:t>
      </w:r>
    </w:p>
    <w:p w14:paraId="5503252C">
      <w:r>
        <w:rPr>
          <w:rFonts w:hint="eastAsia"/>
        </w:rPr>
        <w:t>1.植被恢复面积符合设计要求，质量符合GB/T 15776和GB/T 38360的规定，修复后的植物种群组成和结构合理。</w:t>
      </w:r>
    </w:p>
    <w:p w14:paraId="74B5EECF">
      <w:r>
        <w:rPr>
          <w:rFonts w:hint="eastAsia"/>
        </w:rPr>
        <w:t>2.林、草成活率和植被覆盖度符合设计要求。</w:t>
      </w:r>
    </w:p>
    <w:p w14:paraId="029775A3">
      <w:r>
        <w:rPr>
          <w:rFonts w:hint="eastAsia"/>
        </w:rPr>
        <w:t>3.地形地貌和土地利用类型应与周边相协调。</w:t>
      </w:r>
    </w:p>
    <w:p w14:paraId="07889A34">
      <w:r>
        <w:rPr>
          <w:rFonts w:hint="eastAsia"/>
        </w:rPr>
        <w:t>4.生物多样性、水土保持、水源涵养等生态系统功能应得到改善和提升。</w:t>
      </w:r>
    </w:p>
    <w:p w14:paraId="1E9061E9">
      <w:r>
        <w:rPr>
          <w:rFonts w:hint="eastAsia"/>
        </w:rPr>
        <w:t>5.复垦为水域的，需围绕</w:t>
      </w:r>
      <w:r>
        <w:t>“温湿调节”、“风速改变”和“热岛缓解”三个维度展开</w:t>
      </w:r>
      <w:r>
        <w:rPr>
          <w:rFonts w:hint="eastAsia"/>
        </w:rPr>
        <w:t>对微气候的改善评价。</w:t>
      </w:r>
    </w:p>
    <w:p w14:paraId="2408E7C7">
      <w:pPr>
        <w:pStyle w:val="37"/>
        <w:adjustRightInd/>
        <w:snapToGrid/>
        <w:spacing w:before="156" w:after="156"/>
        <w:outlineLvl w:val="2"/>
      </w:pPr>
      <w:r>
        <w:rPr>
          <w:rFonts w:hint="eastAsia"/>
        </w:rPr>
        <w:t>6.3.5 查验露天矿坑生态修复项目后期管护、监测措施落实和适应性管理情况，应符合以下要求。</w:t>
      </w:r>
    </w:p>
    <w:p w14:paraId="04B0741B">
      <w:pPr>
        <w:adjustRightInd/>
        <w:snapToGrid/>
      </w:pPr>
      <w:r>
        <w:rPr>
          <w:rFonts w:hint="eastAsia"/>
        </w:rPr>
        <w:t>1.明确了后期管护的责任主体、具体措施和资金来源等，管护周期合理。</w:t>
      </w:r>
    </w:p>
    <w:p w14:paraId="0062F17D">
      <w:pPr>
        <w:adjustRightInd/>
        <w:snapToGrid/>
      </w:pPr>
      <w:r>
        <w:rPr>
          <w:rFonts w:hint="eastAsia"/>
        </w:rPr>
        <w:t>2.监测内容、方法、周期和监测点布设等符合实施方案、设计文件和DZ/T 0287、TD/T 1070的要求，监测设备齐全，运行正常。</w:t>
      </w:r>
    </w:p>
    <w:p w14:paraId="6ED6F0AE">
      <w:pPr>
        <w:adjustRightInd/>
        <w:snapToGrid/>
      </w:pPr>
      <w:r>
        <w:rPr>
          <w:rFonts w:hint="eastAsia"/>
        </w:rPr>
        <w:t>3.根据监测结果，制定了适应性管理措施。</w:t>
      </w:r>
    </w:p>
    <w:bookmarkEnd w:id="154"/>
    <w:p w14:paraId="46DC4879">
      <w:pPr>
        <w:pStyle w:val="37"/>
        <w:adjustRightInd/>
        <w:snapToGrid/>
        <w:spacing w:before="156" w:after="156"/>
        <w:outlineLvl w:val="2"/>
      </w:pPr>
      <w:bookmarkStart w:id="155" w:name="OLE_LINK34"/>
      <w:r>
        <w:rPr>
          <w:rFonts w:hint="eastAsia"/>
        </w:rPr>
        <w:t>6.3.6 查验项目资金来源和使用、绩效目标完成情况。</w:t>
      </w:r>
    </w:p>
    <w:p w14:paraId="0BD520F4">
      <w:pPr>
        <w:adjustRightInd/>
        <w:snapToGrid/>
      </w:pPr>
      <w:r>
        <w:rPr>
          <w:rFonts w:hint="eastAsia"/>
        </w:rPr>
        <w:t>查验内容应符合以下要求：</w:t>
      </w:r>
    </w:p>
    <w:p w14:paraId="0A5DDFB3">
      <w:pPr>
        <w:adjustRightInd/>
        <w:snapToGrid/>
      </w:pPr>
      <w:r>
        <w:rPr>
          <w:rFonts w:hint="eastAsia"/>
        </w:rPr>
        <w:t>1. 按合同段工程划分，复核项目资金及时到位情况，各项资金筹措应按计划落实。</w:t>
      </w:r>
    </w:p>
    <w:p w14:paraId="4E5B8C33">
      <w:pPr>
        <w:adjustRightInd/>
        <w:snapToGrid/>
      </w:pPr>
      <w:r>
        <w:rPr>
          <w:rFonts w:hint="eastAsia"/>
        </w:rPr>
        <w:t>2. 资金使用规范合理，财政资金支出范围符合财政事权和支出责任划分的有关规定。</w:t>
      </w:r>
    </w:p>
    <w:p w14:paraId="291E66E2">
      <w:pPr>
        <w:adjustRightInd/>
        <w:snapToGrid/>
      </w:pPr>
      <w:r>
        <w:rPr>
          <w:rFonts w:hint="eastAsia"/>
        </w:rPr>
        <w:t>3. 项目各项绩效指标应全部完成。</w:t>
      </w:r>
    </w:p>
    <w:bookmarkEnd w:id="155"/>
    <w:p w14:paraId="0E5DA43A">
      <w:pPr>
        <w:pStyle w:val="37"/>
        <w:adjustRightInd/>
        <w:snapToGrid/>
        <w:spacing w:before="156" w:after="156"/>
        <w:outlineLvl w:val="2"/>
      </w:pPr>
      <w:bookmarkStart w:id="156" w:name="OLE_LINK36"/>
      <w:bookmarkStart w:id="157" w:name="OLE_LINK35"/>
      <w:r>
        <w:rPr>
          <w:rFonts w:hint="eastAsia"/>
        </w:rPr>
        <w:t>6.3.7 开展项目生态修复效果评估，采用专家打分法对露天矿坑矿山地质环境治理恢复、土地复垦利用、生态系统功能恢复、社会经济效益、监测管护等内容进行综合评估。</w:t>
      </w:r>
    </w:p>
    <w:bookmarkEnd w:id="156"/>
    <w:p w14:paraId="3971FA6C">
      <w:pPr>
        <w:pStyle w:val="37"/>
        <w:adjustRightInd/>
        <w:snapToGrid/>
        <w:spacing w:before="156" w:after="156"/>
        <w:outlineLvl w:val="2"/>
      </w:pPr>
      <w:bookmarkStart w:id="158" w:name="OLE_LINK37"/>
      <w:r>
        <w:rPr>
          <w:rFonts w:hint="eastAsia"/>
        </w:rPr>
        <w:t>6.3.8 当露天矿坑修复为水库、水塘及其附属设施时，必须严格遵循项目批复文件、设计图纸、施工合同、国家及地方相关法律法规、技术标准和规范，如《水利水电工程施工质量检验与评定规程》、《地表水环境质量标准》等。具体验收内容及要求如下：</w:t>
      </w:r>
    </w:p>
    <w:p w14:paraId="64A0C14C">
      <w:pPr>
        <w:adjustRightInd/>
        <w:snapToGrid/>
        <w:spacing w:before="156" w:beforeLines="50" w:after="156" w:afterLines="50"/>
        <w:ind w:firstLine="0" w:firstLineChars="0"/>
        <w:rPr>
          <w:rFonts w:eastAsia="黑体" w:cs="Times New Roman"/>
        </w:rPr>
      </w:pPr>
      <w:r>
        <w:rPr>
          <w:rFonts w:eastAsia="黑体" w:cs="Times New Roman"/>
        </w:rPr>
        <w:t>6.3.8.1库区（矿坑）本体工程</w:t>
      </w:r>
    </w:p>
    <w:p w14:paraId="06246611">
      <w:pPr>
        <w:adjustRightInd/>
        <w:snapToGrid/>
      </w:pPr>
      <w:r>
        <w:rPr>
          <w:rFonts w:hint="eastAsia"/>
        </w:rPr>
        <w:t>1.边坡稳定性</w:t>
      </w:r>
    </w:p>
    <w:p w14:paraId="3D6C4B67">
      <w:pPr>
        <w:adjustRightInd/>
        <w:snapToGrid/>
      </w:pPr>
      <w:r>
        <w:rPr>
          <w:rFonts w:hint="eastAsia"/>
        </w:rPr>
        <w:t>（1）边坡坡度、马道（平台）设置是否符合设计要求。</w:t>
      </w:r>
    </w:p>
    <w:p w14:paraId="7E959537">
      <w:pPr>
        <w:adjustRightInd/>
        <w:snapToGrid/>
      </w:pPr>
      <w:r>
        <w:rPr>
          <w:rFonts w:hint="eastAsia"/>
        </w:rPr>
        <w:t>（2）边坡支护结构（如锚杆、格构、挡土墙）的强度、耐久性和外观质量。</w:t>
      </w:r>
    </w:p>
    <w:p w14:paraId="4B8A6746">
      <w:pPr>
        <w:adjustRightInd/>
        <w:snapToGrid/>
      </w:pPr>
      <w:r>
        <w:rPr>
          <w:rFonts w:hint="eastAsia"/>
        </w:rPr>
        <w:t>（3）边坡是否存在裂缝、滑移、崩塌等不稳定迹象。</w:t>
      </w:r>
    </w:p>
    <w:p w14:paraId="17A8D1DB">
      <w:pPr>
        <w:adjustRightInd/>
        <w:snapToGrid/>
      </w:pPr>
      <w:r>
        <w:rPr>
          <w:rFonts w:hint="eastAsia"/>
        </w:rPr>
        <w:t>（4）截水沟、排水沟是否畅通、完好，能有效引导地表径流，防止对边坡的冲刷。</w:t>
      </w:r>
    </w:p>
    <w:p w14:paraId="428787D7">
      <w:pPr>
        <w:adjustRightInd/>
        <w:snapToGrid/>
      </w:pPr>
      <w:r>
        <w:rPr>
          <w:rFonts w:hint="eastAsia"/>
        </w:rPr>
        <w:t>2.库底处理与防渗工程</w:t>
      </w:r>
    </w:p>
    <w:p w14:paraId="64730F4E">
      <w:pPr>
        <w:adjustRightInd/>
        <w:snapToGrid/>
      </w:pPr>
      <w:r>
        <w:rPr>
          <w:rFonts w:hint="eastAsia"/>
        </w:rPr>
        <w:t>（1）若为蓄水水库：防渗系统（如黏土、HDPE膜、混凝土）的施工质量、完整性及渗透系数是否满足设计要求。需审查材料合格证、施工记录和第三方检测报告。</w:t>
      </w:r>
    </w:p>
    <w:p w14:paraId="2D1F1920">
      <w:pPr>
        <w:adjustRightInd/>
        <w:snapToGrid/>
      </w:pPr>
      <w:r>
        <w:rPr>
          <w:rFonts w:hint="eastAsia"/>
        </w:rPr>
        <w:t>（2）若为自然渗透水塘：库底清理是否彻底，有无残留有害物质、尖锐物等。</w:t>
      </w:r>
    </w:p>
    <w:p w14:paraId="1D13A8C9">
      <w:pPr>
        <w:adjustRightInd/>
        <w:snapToGrid/>
      </w:pPr>
      <w:r>
        <w:rPr>
          <w:rFonts w:hint="eastAsia"/>
        </w:rPr>
        <w:t>（3）库底平整度是否符合要求，有利于水体流动和沉积。</w:t>
      </w:r>
    </w:p>
    <w:p w14:paraId="163ED76D">
      <w:pPr>
        <w:adjustRightInd/>
        <w:snapToGrid/>
      </w:pPr>
      <w:r>
        <w:rPr>
          <w:rFonts w:hint="eastAsia"/>
        </w:rPr>
        <w:t>3.岸线与形态</w:t>
      </w:r>
    </w:p>
    <w:p w14:paraId="03DB311D">
      <w:pPr>
        <w:adjustRightInd/>
        <w:snapToGrid/>
      </w:pPr>
      <w:r>
        <w:rPr>
          <w:rFonts w:hint="eastAsia"/>
        </w:rPr>
        <w:t>岸线是否自然平滑，符合设计的水域形态，满足景观和生态需求。</w:t>
      </w:r>
    </w:p>
    <w:p w14:paraId="0AF7E813">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2挡水建筑物（坝体/围堰）</w:t>
      </w:r>
    </w:p>
    <w:p w14:paraId="638EDFC4">
      <w:pPr>
        <w:adjustRightInd/>
        <w:snapToGrid/>
      </w:pPr>
      <w:r>
        <w:rPr>
          <w:rFonts w:hint="eastAsia"/>
        </w:rPr>
        <w:t>1.若矿坑需要通过建设或加固坝体来蓄水，则需按水库大坝的规范进行严格验收。</w:t>
      </w:r>
    </w:p>
    <w:p w14:paraId="7B2B4B40">
      <w:pPr>
        <w:adjustRightInd/>
        <w:snapToGrid/>
      </w:pPr>
      <w:r>
        <w:rPr>
          <w:rFonts w:hint="eastAsia"/>
        </w:rPr>
        <w:t>2.坝体结构尺寸、压实度、密实度。</w:t>
      </w:r>
    </w:p>
    <w:p w14:paraId="46F2C96A">
      <w:pPr>
        <w:adjustRightInd/>
        <w:snapToGrid/>
      </w:pPr>
      <w:r>
        <w:rPr>
          <w:rFonts w:hint="eastAsia"/>
        </w:rPr>
        <w:t>3.坝体及坝基的防渗性能。</w:t>
      </w:r>
    </w:p>
    <w:p w14:paraId="6B25C863">
      <w:pPr>
        <w:adjustRightInd/>
        <w:snapToGrid/>
      </w:pPr>
      <w:r>
        <w:rPr>
          <w:rFonts w:hint="eastAsia"/>
        </w:rPr>
        <w:t>4.坝坡的稳定性和护坡质量。</w:t>
      </w:r>
    </w:p>
    <w:bookmarkEnd w:id="157"/>
    <w:p w14:paraId="238578D9">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3防水与排水系统</w:t>
      </w:r>
    </w:p>
    <w:p w14:paraId="5279F279">
      <w:pPr>
        <w:adjustRightInd/>
        <w:snapToGrid/>
      </w:pPr>
      <w:r>
        <w:rPr>
          <w:rFonts w:hint="eastAsia"/>
        </w:rPr>
        <w:t>1.入库水道</w:t>
      </w:r>
    </w:p>
    <w:p w14:paraId="2B57FD66">
      <w:pPr>
        <w:adjustRightInd/>
        <w:snapToGrid/>
      </w:pPr>
      <w:r>
        <w:rPr>
          <w:rFonts w:hint="eastAsia"/>
        </w:rPr>
        <w:t>引水渠、管道等设施的畅通性和结构安全性。</w:t>
      </w:r>
    </w:p>
    <w:p w14:paraId="69A10C0B">
      <w:pPr>
        <w:adjustRightInd/>
        <w:snapToGrid/>
      </w:pPr>
      <w:r>
        <w:rPr>
          <w:rFonts w:hint="eastAsia"/>
        </w:rPr>
        <w:t>2.出库水道/溢洪设施</w:t>
      </w:r>
    </w:p>
    <w:p w14:paraId="6257E19A">
      <w:pPr>
        <w:adjustRightInd/>
        <w:snapToGrid/>
      </w:pPr>
      <w:r>
        <w:rPr>
          <w:rFonts w:hint="eastAsia"/>
        </w:rPr>
        <w:t>（1）溢洪道、泄水涵管等的位置、高程、尺寸、结构强度是否符合设计。</w:t>
      </w:r>
    </w:p>
    <w:p w14:paraId="6076C874">
      <w:pPr>
        <w:adjustRightInd/>
        <w:snapToGrid/>
      </w:pPr>
      <w:r>
        <w:rPr>
          <w:rFonts w:hint="eastAsia"/>
        </w:rPr>
        <w:t>（2）闸门、启闭机等设备能否正常运转。</w:t>
      </w:r>
    </w:p>
    <w:p w14:paraId="47F4FF7A">
      <w:pPr>
        <w:adjustRightInd/>
        <w:snapToGrid/>
      </w:pPr>
      <w:r>
        <w:rPr>
          <w:rFonts w:hint="eastAsia"/>
        </w:rPr>
        <w:t>（3）消能设施是否完好有效。</w:t>
      </w:r>
    </w:p>
    <w:bookmarkEnd w:id="158"/>
    <w:p w14:paraId="1CF9D665">
      <w:pPr>
        <w:adjustRightInd/>
        <w:snapToGrid/>
      </w:pPr>
      <w:bookmarkStart w:id="159" w:name="OLE_LINK38"/>
      <w:r>
        <w:rPr>
          <w:rFonts w:hint="eastAsia"/>
        </w:rPr>
        <w:t>3.库周排水系统</w:t>
      </w:r>
    </w:p>
    <w:p w14:paraId="37A2A9D2">
      <w:pPr>
        <w:adjustRightInd/>
        <w:snapToGrid/>
      </w:pPr>
      <w:r>
        <w:rPr>
          <w:rFonts w:hint="eastAsia"/>
        </w:rPr>
        <w:t>能否有效收集和导排库区周边的汇水，防止对库岸和边坡造成冲刷。</w:t>
      </w:r>
    </w:p>
    <w:bookmarkEnd w:id="159"/>
    <w:p w14:paraId="7659C1EA">
      <w:pPr>
        <w:adjustRightInd/>
        <w:snapToGrid/>
        <w:spacing w:before="156" w:beforeLines="50" w:after="156" w:afterLines="50"/>
        <w:ind w:firstLine="0" w:firstLineChars="0"/>
        <w:rPr>
          <w:rFonts w:eastAsia="黑体" w:cs="Times New Roman"/>
        </w:rPr>
      </w:pPr>
      <w:bookmarkStart w:id="160" w:name="OLE_LINK39"/>
      <w:r>
        <w:rPr>
          <w:rFonts w:eastAsia="黑体" w:cs="Times New Roman"/>
        </w:rPr>
        <w:t>6.3.8.</w:t>
      </w:r>
      <w:r>
        <w:rPr>
          <w:rFonts w:hint="eastAsia" w:eastAsia="黑体" w:cs="Times New Roman"/>
        </w:rPr>
        <w:t>4附属设施</w:t>
      </w:r>
    </w:p>
    <w:p w14:paraId="6C712C09">
      <w:pPr>
        <w:adjustRightInd/>
        <w:snapToGrid/>
      </w:pPr>
      <w:r>
        <w:rPr>
          <w:rFonts w:hint="eastAsia"/>
        </w:rPr>
        <w:t>1.取水设施</w:t>
      </w:r>
    </w:p>
    <w:p w14:paraId="4CB34330">
      <w:pPr>
        <w:adjustRightInd/>
        <w:snapToGrid/>
      </w:pPr>
      <w:r>
        <w:rPr>
          <w:rFonts w:hint="eastAsia"/>
        </w:rPr>
        <w:t>取水口、泵站、管道等的位置、高程和设备运行状况。</w:t>
      </w:r>
    </w:p>
    <w:p w14:paraId="14257443">
      <w:pPr>
        <w:adjustRightInd/>
        <w:snapToGrid/>
      </w:pPr>
      <w:r>
        <w:rPr>
          <w:rFonts w:hint="eastAsia"/>
        </w:rPr>
        <w:t>2.道路与交通</w:t>
      </w:r>
    </w:p>
    <w:p w14:paraId="7BE9F06C">
      <w:pPr>
        <w:adjustRightInd/>
        <w:snapToGrid/>
      </w:pPr>
      <w:r>
        <w:rPr>
          <w:rFonts w:hint="eastAsia"/>
        </w:rPr>
        <w:t>环库道路、上坝道路、检修道路的路面质量、宽度、坡度及防护设施（护栏、警示牌）是否完备。</w:t>
      </w:r>
    </w:p>
    <w:p w14:paraId="58B96761">
      <w:pPr>
        <w:adjustRightInd/>
        <w:snapToGrid/>
      </w:pPr>
      <w:r>
        <w:rPr>
          <w:rFonts w:hint="eastAsia"/>
        </w:rPr>
        <w:t>3.管理用房与配套设施</w:t>
      </w:r>
    </w:p>
    <w:p w14:paraId="5BBFCFB9">
      <w:pPr>
        <w:adjustRightInd/>
        <w:snapToGrid/>
      </w:pPr>
      <w:r>
        <w:rPr>
          <w:rFonts w:hint="eastAsia"/>
        </w:rPr>
        <w:t>管理房、监测设备用房、供电、供水、通讯等设施是否齐全并能正常使用。</w:t>
      </w:r>
    </w:p>
    <w:p w14:paraId="6890E417">
      <w:pPr>
        <w:adjustRightInd/>
        <w:snapToGrid/>
      </w:pPr>
      <w:r>
        <w:rPr>
          <w:rFonts w:hint="eastAsia"/>
        </w:rPr>
        <w:t>4.景观与休闲设施（如有）</w:t>
      </w:r>
    </w:p>
    <w:p w14:paraId="198B382D">
      <w:pPr>
        <w:adjustRightInd/>
        <w:snapToGrid/>
      </w:pPr>
      <w:r>
        <w:rPr>
          <w:rFonts w:hint="eastAsia"/>
        </w:rPr>
        <w:t>亲水平台、步道、观景台、绿化等是否按设计完成，质量是否合格。</w:t>
      </w:r>
    </w:p>
    <w:p w14:paraId="0CF6C674">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5防洪标准</w:t>
      </w:r>
    </w:p>
    <w:p w14:paraId="72281B24">
      <w:pPr>
        <w:adjustRightInd/>
        <w:snapToGrid/>
      </w:pPr>
      <w:r>
        <w:rPr>
          <w:rFonts w:hint="eastAsia"/>
        </w:rPr>
        <w:t>水库的防洪能力（如50年一遇、100年一遇洪水）是否达到设计标准。</w:t>
      </w:r>
    </w:p>
    <w:p w14:paraId="07A62D77">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6抗震设防</w:t>
      </w:r>
    </w:p>
    <w:p w14:paraId="0D2AEB9A">
      <w:pPr>
        <w:adjustRightInd/>
        <w:snapToGrid/>
      </w:pPr>
      <w:r>
        <w:rPr>
          <w:rFonts w:hint="eastAsia"/>
        </w:rPr>
        <w:t>在抗震设防区，所有建筑物和边坡的抗震措施是否落实。</w:t>
      </w:r>
    </w:p>
    <w:p w14:paraId="429D1D5B">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7安全监测系统</w:t>
      </w:r>
    </w:p>
    <w:p w14:paraId="207BFE8F">
      <w:pPr>
        <w:adjustRightInd/>
        <w:snapToGrid/>
      </w:pPr>
      <w:r>
        <w:rPr>
          <w:rFonts w:hint="eastAsia"/>
        </w:rPr>
        <w:t>1.是否安装了位移监测点、水位标尺、视频监控等设备。</w:t>
      </w:r>
    </w:p>
    <w:p w14:paraId="4FE166E6">
      <w:pPr>
        <w:adjustRightInd/>
        <w:snapToGrid/>
      </w:pPr>
      <w:r>
        <w:rPr>
          <w:rFonts w:hint="eastAsia"/>
        </w:rPr>
        <w:t>2.监测设备是否运行正常，数据能否有效传输和存储。</w:t>
      </w:r>
    </w:p>
    <w:p w14:paraId="1535732D">
      <w:pPr>
        <w:adjustRightInd/>
        <w:snapToGrid/>
      </w:pPr>
      <w:r>
        <w:rPr>
          <w:rFonts w:hint="eastAsia"/>
        </w:rPr>
        <w:t>3.是否建立了长期的安全监测制度和预警机制。</w:t>
      </w:r>
    </w:p>
    <w:p w14:paraId="3E905539">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8安全防护设施</w:t>
      </w:r>
    </w:p>
    <w:p w14:paraId="4222374F">
      <w:pPr>
        <w:adjustRightInd/>
        <w:snapToGrid/>
      </w:pPr>
      <w:r>
        <w:rPr>
          <w:rFonts w:hint="eastAsia"/>
        </w:rPr>
        <w:t>库周是否设置了完整的防护栏（或生态隔离带）、醒目的安全警示标志（水深危险、禁止游泳等），特别是在入口和人群易接近区域。</w:t>
      </w:r>
    </w:p>
    <w:p w14:paraId="35B0B61B">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9应急预案</w:t>
      </w:r>
    </w:p>
    <w:p w14:paraId="5746EC92">
      <w:pPr>
        <w:adjustRightInd/>
        <w:snapToGrid/>
      </w:pPr>
      <w:r>
        <w:rPr>
          <w:rFonts w:hint="eastAsia"/>
        </w:rPr>
        <w:t>是否制定了针对洪水、溃坝、水质污染等突发事件的应急预案，并配备了相应的应急物资。</w:t>
      </w:r>
    </w:p>
    <w:bookmarkEnd w:id="160"/>
    <w:p w14:paraId="56EE70CF">
      <w:pPr>
        <w:adjustRightInd/>
        <w:snapToGrid/>
        <w:spacing w:before="156" w:beforeLines="50" w:after="156" w:afterLines="50"/>
        <w:ind w:firstLine="0" w:firstLineChars="0"/>
        <w:rPr>
          <w:rFonts w:eastAsia="黑体" w:cs="Times New Roman"/>
        </w:rPr>
      </w:pPr>
      <w:bookmarkStart w:id="161" w:name="OLE_LINK40"/>
      <w:r>
        <w:rPr>
          <w:rFonts w:eastAsia="黑体" w:cs="Times New Roman"/>
        </w:rPr>
        <w:t>6.3.8.</w:t>
      </w:r>
      <w:r>
        <w:rPr>
          <w:rFonts w:hint="eastAsia" w:eastAsia="黑体" w:cs="Times New Roman"/>
        </w:rPr>
        <w:t>10水质验收</w:t>
      </w:r>
    </w:p>
    <w:p w14:paraId="146A91E3">
      <w:pPr>
        <w:adjustRightInd/>
        <w:snapToGrid/>
      </w:pPr>
      <w:r>
        <w:rPr>
          <w:rFonts w:hint="eastAsia"/>
        </w:rPr>
        <w:t>由有资质的第三方检测机构对水库水质进行采样检测。</w:t>
      </w:r>
    </w:p>
    <w:p w14:paraId="576B7F64">
      <w:pPr>
        <w:adjustRightInd/>
        <w:snapToGrid/>
      </w:pPr>
      <w:r>
        <w:rPr>
          <w:rFonts w:hint="eastAsia"/>
        </w:rPr>
        <w:t>检测指标需对照设计目标（如《地表水环境质量标准》中的III类或IV类水标准），重点包括：pH值、溶解氧、高锰酸盐指数、化学需氧量（COD）、生化需氧量（BOD</w:t>
      </w:r>
      <w:r>
        <w:rPr>
          <w:rFonts w:hint="eastAsia"/>
          <w:vertAlign w:val="subscript"/>
        </w:rPr>
        <w:t>5</w:t>
      </w:r>
      <w:r>
        <w:rPr>
          <w:rFonts w:hint="eastAsia"/>
        </w:rPr>
        <w:t>）、氨氮、总磷、总氮、重金属（如铅、铬、镉、汞等，尤其关注原矿坑可能存在的特征污染物）、透明度等。</w:t>
      </w:r>
    </w:p>
    <w:p w14:paraId="5202F592">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11土壤与底泥验收</w:t>
      </w:r>
    </w:p>
    <w:p w14:paraId="5693BE80">
      <w:pPr>
        <w:adjustRightInd/>
        <w:snapToGrid/>
      </w:pPr>
      <w:r>
        <w:rPr>
          <w:rFonts w:hint="eastAsia"/>
        </w:rPr>
        <w:t>检查库区周边复垦区域土壤和库底底泥是否有污染，相关治理是否达标。</w:t>
      </w:r>
    </w:p>
    <w:p w14:paraId="7D0013E1">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12植被恢复</w:t>
      </w:r>
    </w:p>
    <w:p w14:paraId="0707A7B6">
      <w:pPr>
        <w:adjustRightInd/>
        <w:snapToGrid/>
      </w:pPr>
      <w:r>
        <w:rPr>
          <w:rFonts w:hint="eastAsia"/>
        </w:rPr>
        <w:t>1.库区周边、边坡、坝坡的植被覆盖率是否达到设计要求。</w:t>
      </w:r>
    </w:p>
    <w:p w14:paraId="4BB9A617">
      <w:pPr>
        <w:adjustRightInd/>
        <w:snapToGrid/>
      </w:pPr>
      <w:r>
        <w:rPr>
          <w:rFonts w:hint="eastAsia"/>
        </w:rPr>
        <w:t>2.植物种类选择是否合理（优先乡土物种），长势是否良好，群落结构是否稳定。</w:t>
      </w:r>
    </w:p>
    <w:p w14:paraId="2C25AA4E">
      <w:pPr>
        <w:adjustRightInd/>
        <w:snapToGrid/>
      </w:pPr>
      <w:r>
        <w:rPr>
          <w:rFonts w:hint="eastAsia"/>
        </w:rPr>
        <w:t>3.水土保持效果是否显著。</w:t>
      </w:r>
    </w:p>
    <w:p w14:paraId="3C034608">
      <w:pPr>
        <w:adjustRightInd/>
        <w:snapToGrid/>
        <w:spacing w:before="156" w:beforeLines="50" w:after="156" w:afterLines="50"/>
        <w:ind w:firstLine="0" w:firstLineChars="0"/>
        <w:rPr>
          <w:rFonts w:eastAsia="黑体" w:cs="Times New Roman"/>
        </w:rPr>
      </w:pPr>
      <w:r>
        <w:rPr>
          <w:rFonts w:eastAsia="黑体" w:cs="Times New Roman"/>
        </w:rPr>
        <w:t>6.3.8.</w:t>
      </w:r>
      <w:r>
        <w:rPr>
          <w:rFonts w:hint="eastAsia" w:eastAsia="黑体" w:cs="Times New Roman"/>
        </w:rPr>
        <w:t>13水生生态系统构建（如有设计）</w:t>
      </w:r>
    </w:p>
    <w:p w14:paraId="64A2769F">
      <w:pPr>
        <w:adjustRightInd/>
        <w:snapToGrid/>
      </w:pPr>
      <w:r>
        <w:rPr>
          <w:rFonts w:hint="eastAsia"/>
        </w:rPr>
        <w:t>1.是否成功构建了水生植物群落（沉水、挺水、浮叶植物）。</w:t>
      </w:r>
    </w:p>
    <w:p w14:paraId="47ADAA2C">
      <w:pPr>
        <w:adjustRightInd/>
        <w:snapToGrid/>
      </w:pPr>
      <w:r>
        <w:rPr>
          <w:rFonts w:hint="eastAsia"/>
        </w:rPr>
        <w:t>2.鱼类等水生动物的放养是否科学，生物多样性是否初步形成。</w:t>
      </w:r>
    </w:p>
    <w:bookmarkEnd w:id="143"/>
    <w:bookmarkEnd w:id="144"/>
    <w:bookmarkEnd w:id="150"/>
    <w:bookmarkEnd w:id="161"/>
    <w:p w14:paraId="6C662FDA">
      <w:pPr>
        <w:pStyle w:val="38"/>
        <w:spacing w:before="312" w:after="312"/>
        <w:rPr>
          <w:rFonts w:hint="eastAsia"/>
        </w:rPr>
      </w:pPr>
      <w:bookmarkStart w:id="162" w:name="_Toc218763800"/>
      <w:bookmarkStart w:id="163" w:name="_Toc6526"/>
      <w:bookmarkStart w:id="164" w:name="_Toc218963335"/>
      <w:bookmarkStart w:id="165" w:name="_Toc218763129"/>
      <w:r>
        <w:t>7</w:t>
      </w:r>
      <w:bookmarkEnd w:id="6"/>
      <w:r>
        <w:t xml:space="preserve"> 工程自验</w:t>
      </w:r>
      <w:bookmarkEnd w:id="162"/>
      <w:bookmarkEnd w:id="163"/>
      <w:bookmarkEnd w:id="164"/>
      <w:bookmarkEnd w:id="165"/>
    </w:p>
    <w:p w14:paraId="27469E2E">
      <w:pPr>
        <w:pStyle w:val="37"/>
        <w:spacing w:before="156" w:after="156"/>
      </w:pPr>
      <w:bookmarkStart w:id="166" w:name="_Toc218763801"/>
      <w:bookmarkStart w:id="167" w:name="_Toc218963336"/>
      <w:bookmarkStart w:id="168" w:name="_Toc29453"/>
      <w:bookmarkStart w:id="169" w:name="_Toc218763130"/>
      <w:bookmarkStart w:id="170" w:name="_Toc66119051"/>
      <w:r>
        <w:t>7.1 工程自验内容</w:t>
      </w:r>
      <w:bookmarkEnd w:id="166"/>
      <w:bookmarkEnd w:id="167"/>
      <w:bookmarkEnd w:id="168"/>
      <w:bookmarkEnd w:id="169"/>
    </w:p>
    <w:p w14:paraId="5B2F1869">
      <w:pPr>
        <w:adjustRightInd/>
        <w:snapToGrid/>
      </w:pPr>
      <w:r>
        <w:rPr>
          <w:rFonts w:hint="eastAsia"/>
        </w:rPr>
        <w:t>工程自验包括以下内容：</w:t>
      </w:r>
    </w:p>
    <w:p w14:paraId="38C85BD9">
      <w:pPr>
        <w:adjustRightInd/>
        <w:snapToGrid/>
      </w:pPr>
      <w:r>
        <w:rPr>
          <w:rFonts w:hint="eastAsia"/>
        </w:rPr>
        <w:t>1.资料完整性，检查设计、施工、监理、财务类资料的真实性、完整性、规范性；</w:t>
      </w:r>
    </w:p>
    <w:p w14:paraId="7978564A">
      <w:pPr>
        <w:adjustRightInd/>
        <w:snapToGrid/>
      </w:pPr>
      <w:r>
        <w:rPr>
          <w:rFonts w:hint="eastAsia"/>
        </w:rPr>
        <w:t>2.指标完成情况，检查生态修复范围、地类、面积、工程量完成情况；</w:t>
      </w:r>
    </w:p>
    <w:p w14:paraId="18935982">
      <w:pPr>
        <w:adjustRightInd/>
        <w:snapToGrid/>
      </w:pPr>
      <w:r>
        <w:rPr>
          <w:rFonts w:hint="eastAsia"/>
        </w:rPr>
        <w:t>3.措施落实情况，检查工程治理、植被管护、生物多样性保护、生态监测、安全保护、质量保证措施落实情况；</w:t>
      </w:r>
    </w:p>
    <w:p w14:paraId="67DD972E">
      <w:pPr>
        <w:adjustRightInd/>
        <w:snapToGrid/>
      </w:pPr>
      <w:r>
        <w:rPr>
          <w:rFonts w:hint="eastAsia"/>
        </w:rPr>
        <w:t>4.工程质量，检查分部、分项、整体工程质量，及其检验与评定记录；</w:t>
      </w:r>
    </w:p>
    <w:p w14:paraId="3AFDC070">
      <w:pPr>
        <w:adjustRightInd/>
        <w:snapToGrid/>
      </w:pPr>
      <w:r>
        <w:rPr>
          <w:rFonts w:hint="eastAsia"/>
        </w:rPr>
        <w:t>5.地质安全隐患和修复效果，检查地质安全隐患消除和植被覆盖状况，绿化美化效果；</w:t>
      </w:r>
    </w:p>
    <w:p w14:paraId="33CC64C7">
      <w:pPr>
        <w:adjustRightInd/>
        <w:snapToGrid/>
      </w:pPr>
      <w:r>
        <w:rPr>
          <w:rFonts w:hint="eastAsia"/>
        </w:rPr>
        <w:t>6.经费执行情况，检查工程施工费用清单、经费收支情况。</w:t>
      </w:r>
    </w:p>
    <w:p w14:paraId="4342E2D6">
      <w:pPr>
        <w:pStyle w:val="37"/>
        <w:spacing w:before="156" w:after="156"/>
      </w:pPr>
      <w:bookmarkStart w:id="171" w:name="_Toc218763131"/>
      <w:bookmarkStart w:id="172" w:name="_Toc218763802"/>
      <w:bookmarkStart w:id="173" w:name="_Toc218963337"/>
      <w:bookmarkStart w:id="174" w:name="_Toc9261"/>
      <w:r>
        <w:t>7.2</w:t>
      </w:r>
      <w:bookmarkEnd w:id="170"/>
      <w:r>
        <w:t xml:space="preserve"> 工程自验通过条件</w:t>
      </w:r>
      <w:bookmarkEnd w:id="171"/>
      <w:bookmarkEnd w:id="172"/>
      <w:bookmarkEnd w:id="173"/>
      <w:bookmarkEnd w:id="174"/>
    </w:p>
    <w:p w14:paraId="7804FC96">
      <w:pPr>
        <w:adjustRightInd/>
        <w:snapToGrid/>
      </w:pPr>
      <w:r>
        <w:rPr>
          <w:rFonts w:hint="eastAsia"/>
        </w:rPr>
        <w:t>工程自验通过应符合下列条件：</w:t>
      </w:r>
    </w:p>
    <w:p w14:paraId="725B0651">
      <w:pPr>
        <w:adjustRightInd/>
        <w:snapToGrid/>
      </w:pPr>
      <w:r>
        <w:rPr>
          <w:rFonts w:hint="eastAsia"/>
        </w:rPr>
        <w:t>1.完成了设计指标及合同规定的工作内容；</w:t>
      </w:r>
    </w:p>
    <w:p w14:paraId="290E4D22">
      <w:pPr>
        <w:adjustRightInd/>
        <w:snapToGrid/>
      </w:pPr>
      <w:r>
        <w:rPr>
          <w:rFonts w:hint="eastAsia"/>
        </w:rPr>
        <w:t>2.各项措施已落实到位；</w:t>
      </w:r>
    </w:p>
    <w:p w14:paraId="24B1E6FF">
      <w:pPr>
        <w:adjustRightInd/>
        <w:snapToGrid/>
      </w:pPr>
      <w:r>
        <w:rPr>
          <w:rFonts w:hint="eastAsia"/>
        </w:rPr>
        <w:t>3.分部、分项、整体工程质量合格；</w:t>
      </w:r>
    </w:p>
    <w:p w14:paraId="57F78FB7">
      <w:pPr>
        <w:adjustRightInd/>
        <w:snapToGrid/>
      </w:pPr>
      <w:r>
        <w:rPr>
          <w:rFonts w:hint="eastAsia"/>
        </w:rPr>
        <w:t>4.地质安全隐患已消除，植被覆盖度高，绿化美化效果好，景观协调性好；</w:t>
      </w:r>
    </w:p>
    <w:p w14:paraId="4F513978">
      <w:pPr>
        <w:adjustRightInd/>
        <w:snapToGrid/>
      </w:pPr>
      <w:r>
        <w:rPr>
          <w:rFonts w:hint="eastAsia"/>
        </w:rPr>
        <w:t>5.工程经费收支规范，使用合理；</w:t>
      </w:r>
    </w:p>
    <w:p w14:paraId="7A169033">
      <w:pPr>
        <w:adjustRightInd/>
        <w:snapToGrid/>
      </w:pPr>
      <w:r>
        <w:rPr>
          <w:rFonts w:hint="eastAsia"/>
        </w:rPr>
        <w:t>6.资料完整、内容真实、制作规范。</w:t>
      </w:r>
    </w:p>
    <w:p w14:paraId="4EA6EC0A">
      <w:pPr>
        <w:pStyle w:val="38"/>
        <w:spacing w:before="312" w:after="312"/>
        <w:rPr>
          <w:rFonts w:hint="eastAsia"/>
        </w:rPr>
      </w:pPr>
      <w:bookmarkStart w:id="175" w:name="_Toc66366147"/>
      <w:bookmarkStart w:id="176" w:name="_Toc218763803"/>
      <w:bookmarkStart w:id="177" w:name="_Toc19988"/>
      <w:bookmarkStart w:id="178" w:name="_Toc218763132"/>
      <w:bookmarkStart w:id="179" w:name="_Toc218963338"/>
      <w:bookmarkStart w:id="180" w:name="OLE_LINK48"/>
      <w:r>
        <w:t>8</w:t>
      </w:r>
      <w:bookmarkEnd w:id="175"/>
      <w:r>
        <w:t xml:space="preserve"> 工程最终验收</w:t>
      </w:r>
      <w:bookmarkEnd w:id="176"/>
      <w:bookmarkEnd w:id="177"/>
      <w:bookmarkEnd w:id="178"/>
      <w:bookmarkEnd w:id="179"/>
    </w:p>
    <w:p w14:paraId="74BA0AAE">
      <w:pPr>
        <w:pStyle w:val="37"/>
        <w:spacing w:before="156" w:after="156"/>
      </w:pPr>
      <w:bookmarkStart w:id="181" w:name="_Toc29820"/>
      <w:bookmarkStart w:id="182" w:name="_Toc218963339"/>
      <w:bookmarkStart w:id="183" w:name="_Toc218763133"/>
      <w:bookmarkStart w:id="184" w:name="_Toc218763804"/>
      <w:bookmarkStart w:id="185" w:name="_Hlk196065043"/>
      <w:bookmarkStart w:id="186" w:name="_Toc66366146"/>
      <w:r>
        <w:rPr>
          <w:rFonts w:hint="eastAsia"/>
        </w:rPr>
        <w:t xml:space="preserve">8.1 </w:t>
      </w:r>
      <w:bookmarkStart w:id="187" w:name="OLE_LINK20"/>
      <w:r>
        <w:rPr>
          <w:rFonts w:hint="eastAsia"/>
        </w:rPr>
        <w:t>工程最终验收的条件与依据</w:t>
      </w:r>
      <w:bookmarkEnd w:id="181"/>
      <w:bookmarkEnd w:id="182"/>
      <w:bookmarkEnd w:id="183"/>
      <w:bookmarkEnd w:id="184"/>
      <w:bookmarkEnd w:id="187"/>
    </w:p>
    <w:bookmarkEnd w:id="185"/>
    <w:p w14:paraId="2038A741">
      <w:pPr>
        <w:pStyle w:val="37"/>
        <w:spacing w:before="156" w:after="156"/>
        <w:outlineLvl w:val="2"/>
      </w:pPr>
      <w:bookmarkStart w:id="188" w:name="OLE_LINK21"/>
      <w:r>
        <w:rPr>
          <w:rFonts w:hint="eastAsia"/>
        </w:rPr>
        <w:t>8.1.1 工程最终验收的条件</w:t>
      </w:r>
    </w:p>
    <w:p w14:paraId="38752DC6">
      <w:pPr>
        <w:adjustRightInd/>
        <w:snapToGrid/>
      </w:pPr>
      <w:r>
        <w:rPr>
          <w:rFonts w:hint="eastAsia"/>
        </w:rPr>
        <w:t>1.项目任务全部完成，各项工程性能、指标均满足设计要求，项目自验收通过，资料完整、内容真实有效、签章齐全。</w:t>
      </w:r>
    </w:p>
    <w:p w14:paraId="0269D183">
      <w:pPr>
        <w:adjustRightInd/>
        <w:snapToGrid/>
      </w:pPr>
      <w:r>
        <w:rPr>
          <w:rFonts w:hint="eastAsia"/>
        </w:rPr>
        <w:t>2.按照实施方案完成了全部工程内容，修复目标全部完成。</w:t>
      </w:r>
    </w:p>
    <w:p w14:paraId="30973421">
      <w:pPr>
        <w:adjustRightInd/>
        <w:snapToGrid/>
      </w:pPr>
      <w:r>
        <w:rPr>
          <w:rFonts w:hint="eastAsia"/>
        </w:rPr>
        <w:t>3.涉及地类变更的，已经通过国土变更调查相关程序予以认定。</w:t>
      </w:r>
    </w:p>
    <w:bookmarkEnd w:id="188"/>
    <w:p w14:paraId="33B7AFE8">
      <w:pPr>
        <w:pStyle w:val="37"/>
        <w:spacing w:before="156" w:after="156"/>
        <w:outlineLvl w:val="2"/>
      </w:pPr>
      <w:bookmarkStart w:id="189" w:name="OLE_LINK22"/>
      <w:r>
        <w:rPr>
          <w:rFonts w:hint="eastAsia"/>
        </w:rPr>
        <w:t>8.1.2 工程最终验收的依据</w:t>
      </w:r>
    </w:p>
    <w:p w14:paraId="28E42090">
      <w:pPr>
        <w:adjustRightInd/>
        <w:snapToGrid/>
      </w:pPr>
      <w:r>
        <w:rPr>
          <w:rFonts w:hint="eastAsia"/>
        </w:rPr>
        <w:t>1.国家和地方出台的露天矿坑或矿山生态修复有关法律法规、政策文件、标准规范等。</w:t>
      </w:r>
    </w:p>
    <w:p w14:paraId="52C20084">
      <w:pPr>
        <w:adjustRightInd/>
        <w:snapToGrid/>
      </w:pPr>
      <w:r>
        <w:rPr>
          <w:rFonts w:hint="eastAsia"/>
        </w:rPr>
        <w:t>2.项目立项批复文件。</w:t>
      </w:r>
    </w:p>
    <w:p w14:paraId="779A9760">
      <w:pPr>
        <w:adjustRightInd/>
        <w:snapToGrid/>
      </w:pPr>
      <w:r>
        <w:rPr>
          <w:rFonts w:hint="eastAsia"/>
        </w:rPr>
        <w:t>3.经批准的实施方案。</w:t>
      </w:r>
    </w:p>
    <w:p w14:paraId="00AE2C66">
      <w:pPr>
        <w:adjustRightInd/>
        <w:snapToGrid/>
      </w:pPr>
      <w:r>
        <w:rPr>
          <w:rFonts w:hint="eastAsia"/>
        </w:rPr>
        <w:t>4.经批准的项目设计、施工图、设计变更、补充设计等。</w:t>
      </w:r>
    </w:p>
    <w:p w14:paraId="34E9F589">
      <w:pPr>
        <w:adjustRightInd/>
        <w:snapToGrid/>
      </w:pPr>
      <w:r>
        <w:rPr>
          <w:rFonts w:hint="eastAsia"/>
        </w:rPr>
        <w:t>5.项目自验收等相关材料。</w:t>
      </w:r>
    </w:p>
    <w:p w14:paraId="0E7D5041">
      <w:pPr>
        <w:adjustRightInd/>
        <w:snapToGrid/>
      </w:pPr>
      <w:r>
        <w:rPr>
          <w:rFonts w:hint="eastAsia"/>
        </w:rPr>
        <w:t>6.其他相关材料。</w:t>
      </w:r>
    </w:p>
    <w:bookmarkEnd w:id="189"/>
    <w:p w14:paraId="787C9787">
      <w:pPr>
        <w:pStyle w:val="37"/>
        <w:spacing w:before="156" w:after="156"/>
      </w:pPr>
      <w:bookmarkStart w:id="190" w:name="_Toc218963340"/>
      <w:bookmarkStart w:id="191" w:name="_Toc16667"/>
      <w:bookmarkStart w:id="192" w:name="_Toc218763805"/>
      <w:bookmarkStart w:id="193" w:name="_Toc218763134"/>
      <w:r>
        <w:rPr>
          <w:rFonts w:hint="eastAsia"/>
        </w:rPr>
        <w:t>8.2</w:t>
      </w:r>
      <w:bookmarkStart w:id="194" w:name="OLE_LINK23"/>
      <w:r>
        <w:rPr>
          <w:rFonts w:hint="eastAsia"/>
        </w:rPr>
        <w:t>工程最终验收的总体要求</w:t>
      </w:r>
      <w:bookmarkEnd w:id="190"/>
      <w:bookmarkEnd w:id="191"/>
      <w:bookmarkEnd w:id="192"/>
      <w:bookmarkEnd w:id="193"/>
      <w:bookmarkEnd w:id="194"/>
    </w:p>
    <w:p w14:paraId="5ECE0A4B">
      <w:pPr>
        <w:pStyle w:val="37"/>
        <w:spacing w:before="156" w:after="156"/>
        <w:outlineLvl w:val="2"/>
      </w:pPr>
      <w:bookmarkStart w:id="195" w:name="OLE_LINK41"/>
      <w:bookmarkStart w:id="196" w:name="OLE_LINK24"/>
      <w:r>
        <w:rPr>
          <w:rFonts w:hint="eastAsia"/>
        </w:rPr>
        <w:t>8.2.1复核合法合规性。</w:t>
      </w:r>
    </w:p>
    <w:p w14:paraId="216DC53A">
      <w:pPr>
        <w:adjustRightInd/>
        <w:snapToGrid/>
      </w:pPr>
      <w:r>
        <w:rPr>
          <w:rFonts w:hint="eastAsia"/>
        </w:rPr>
        <w:t>按照4.5.4的要求，验收组织部门通过资料比对和外业查验，复核项目的合法合规性。</w:t>
      </w:r>
    </w:p>
    <w:p w14:paraId="0B33FDB7">
      <w:pPr>
        <w:pStyle w:val="37"/>
        <w:spacing w:before="156" w:after="156"/>
        <w:outlineLvl w:val="2"/>
      </w:pPr>
      <w:r>
        <w:rPr>
          <w:rFonts w:hint="eastAsia"/>
        </w:rPr>
        <w:t>8.2.2复核总体目标和绩效目标完成情况。</w:t>
      </w:r>
    </w:p>
    <w:p w14:paraId="64991F6F">
      <w:pPr>
        <w:adjustRightInd/>
        <w:snapToGrid/>
      </w:pPr>
      <w:r>
        <w:rPr>
          <w:rFonts w:hint="eastAsia"/>
        </w:rPr>
        <w:t>按照TD/T1069的相关要求，对露天矿坑生态修复工程总体目标、资金使用和绩效目标完成情况进行复核。</w:t>
      </w:r>
    </w:p>
    <w:p w14:paraId="6157C9E0">
      <w:pPr>
        <w:pStyle w:val="37"/>
        <w:spacing w:before="156" w:after="156"/>
        <w:outlineLvl w:val="2"/>
      </w:pPr>
      <w:r>
        <w:rPr>
          <w:rFonts w:hint="eastAsia"/>
        </w:rPr>
        <w:t>8.2.3综合评定露天矿坑生态修复效果，应符合以下要求。</w:t>
      </w:r>
    </w:p>
    <w:p w14:paraId="7FE88D6F">
      <w:pPr>
        <w:adjustRightInd/>
        <w:snapToGrid/>
      </w:pPr>
      <w:r>
        <w:rPr>
          <w:rFonts w:hint="eastAsia"/>
        </w:rPr>
        <w:t>1.复核矿山地质环境治理恢复工程内容、质量和实施效果。现场抽查同类型修复任务工程数量不低于10%的项目。按照6.3.2的要求，查验露天矿坑地质环境隐患点消除、地貌重塑效果，以及水体状况。</w:t>
      </w:r>
    </w:p>
    <w:p w14:paraId="1786CD38">
      <w:pPr>
        <w:adjustRightInd/>
        <w:snapToGrid/>
      </w:pPr>
      <w:r>
        <w:rPr>
          <w:rFonts w:hint="eastAsia"/>
        </w:rPr>
        <w:t>2.复核土地复垦利用工程内容、质量和实施效果。按照TD/T 1044现场抽样要求抽查该类型修复任务一定数量的工程项目。按照6.3.3的要求，查验土地复垦质量效果、土地利用变化情况。</w:t>
      </w:r>
    </w:p>
    <w:p w14:paraId="297B946B">
      <w:pPr>
        <w:adjustRightInd/>
        <w:snapToGrid/>
      </w:pPr>
      <w:r>
        <w:rPr>
          <w:rFonts w:hint="eastAsia"/>
        </w:rPr>
        <w:t>3.评价生态系统功能恢复改善情况。核验植被恢复情况，对比参照生态系统，评价景观协调性、生物多样性、水土保持、水源涵养等功能提升情况。</w:t>
      </w:r>
    </w:p>
    <w:p w14:paraId="04F993C2">
      <w:pPr>
        <w:pStyle w:val="37"/>
        <w:spacing w:before="156" w:after="156"/>
        <w:outlineLvl w:val="2"/>
      </w:pPr>
      <w:r>
        <w:rPr>
          <w:rFonts w:hint="eastAsia"/>
        </w:rPr>
        <w:t>8.2.4综合评定管护、监测措施落实和适应性管理情况，应符合以下要求。</w:t>
      </w:r>
    </w:p>
    <w:p w14:paraId="75A62681">
      <w:pPr>
        <w:adjustRightInd/>
        <w:snapToGrid/>
      </w:pPr>
      <w:r>
        <w:rPr>
          <w:rFonts w:hint="eastAsia"/>
        </w:rPr>
        <w:t>1. 综合评定后期管护责任主体、管护措施和资金落实情况，保障和维护工程设施正常运行。</w:t>
      </w:r>
    </w:p>
    <w:p w14:paraId="02202970">
      <w:pPr>
        <w:adjustRightInd/>
        <w:snapToGrid/>
      </w:pPr>
      <w:r>
        <w:rPr>
          <w:rFonts w:hint="eastAsia"/>
        </w:rPr>
        <w:t>2. 综合评定实施方案提出的监测点和监测指标设置的科学合理有效性、数据真实可靠性、监测措施落实情况、监测制度完善情况等。</w:t>
      </w:r>
    </w:p>
    <w:p w14:paraId="26E269DB">
      <w:pPr>
        <w:adjustRightInd/>
        <w:snapToGrid/>
      </w:pPr>
      <w:r>
        <w:rPr>
          <w:rFonts w:hint="eastAsia"/>
        </w:rPr>
        <w:t>3. 综合评定工程实施中适应性管理措施的及时性、针对性、可行性，涉及工程变更或调整的，综合评定变更或调整的程序合规性、内容科学性、措施合理性，以及对总体目标和绩效目标的影响；根据最终验收情况，提出拟采取的适应性管理措施和建议。</w:t>
      </w:r>
      <w:bookmarkEnd w:id="195"/>
    </w:p>
    <w:bookmarkEnd w:id="196"/>
    <w:p w14:paraId="5703CAEE">
      <w:pPr>
        <w:pStyle w:val="37"/>
        <w:spacing w:before="156" w:after="156"/>
      </w:pPr>
      <w:bookmarkStart w:id="197" w:name="_Toc218763135"/>
      <w:bookmarkStart w:id="198" w:name="_Toc22311"/>
      <w:bookmarkStart w:id="199" w:name="_Toc218963341"/>
      <w:bookmarkStart w:id="200" w:name="_Toc218763806"/>
      <w:r>
        <w:rPr>
          <w:rFonts w:hint="eastAsia"/>
        </w:rPr>
        <w:t>8</w:t>
      </w:r>
      <w:r>
        <w:t>.</w:t>
      </w:r>
      <w:r>
        <w:rPr>
          <w:rFonts w:hint="eastAsia"/>
        </w:rPr>
        <w:t>3</w:t>
      </w:r>
      <w:r>
        <w:t xml:space="preserve"> </w:t>
      </w:r>
      <w:r>
        <w:rPr>
          <w:rFonts w:hint="eastAsia"/>
        </w:rPr>
        <w:t>工程最终验收内容</w:t>
      </w:r>
      <w:bookmarkEnd w:id="197"/>
      <w:bookmarkEnd w:id="198"/>
      <w:bookmarkEnd w:id="199"/>
      <w:bookmarkEnd w:id="200"/>
    </w:p>
    <w:p w14:paraId="478CEB2C">
      <w:pPr>
        <w:adjustRightInd/>
        <w:snapToGrid/>
      </w:pPr>
      <w:bookmarkStart w:id="201" w:name="OLE_LINK42"/>
      <w:r>
        <w:rPr>
          <w:rFonts w:hint="eastAsia"/>
        </w:rPr>
        <w:t>工程最终验收包括以下内容：</w:t>
      </w:r>
    </w:p>
    <w:p w14:paraId="0426C13E">
      <w:pPr>
        <w:adjustRightInd/>
        <w:snapToGrid/>
      </w:pPr>
      <w:r>
        <w:rPr>
          <w:rFonts w:hint="eastAsia"/>
        </w:rPr>
        <w:t>1.资料完整性，检查设计、施工、监理、财务类资料的真实性、完整性、规范性；</w:t>
      </w:r>
    </w:p>
    <w:p w14:paraId="5DD01B39">
      <w:pPr>
        <w:adjustRightInd/>
        <w:snapToGrid/>
      </w:pPr>
      <w:r>
        <w:rPr>
          <w:rFonts w:hint="eastAsia"/>
        </w:rPr>
        <w:t>2.指标完成情况，检查生态修复范围、地类、面积、工程量完成情况；</w:t>
      </w:r>
    </w:p>
    <w:p w14:paraId="13B14049">
      <w:pPr>
        <w:adjustRightInd/>
        <w:snapToGrid/>
      </w:pPr>
      <w:r>
        <w:rPr>
          <w:rFonts w:hint="eastAsia"/>
        </w:rPr>
        <w:t>3.措施落实情况，检查工程治理、植被管护、生物多样性保护、生态监测、安全保护、质量保证措施落实情况；</w:t>
      </w:r>
    </w:p>
    <w:p w14:paraId="11FBFD8D">
      <w:pPr>
        <w:adjustRightInd/>
        <w:snapToGrid/>
      </w:pPr>
      <w:r>
        <w:rPr>
          <w:rFonts w:hint="eastAsia"/>
        </w:rPr>
        <w:t>4.工程质量，检查分部、分项、整体工程质量，及其检验与评定记录；</w:t>
      </w:r>
    </w:p>
    <w:p w14:paraId="0B3AB336">
      <w:pPr>
        <w:adjustRightInd/>
        <w:snapToGrid/>
      </w:pPr>
      <w:r>
        <w:rPr>
          <w:rFonts w:hint="eastAsia"/>
        </w:rPr>
        <w:t>5.地质安全隐患和修复效果，检查地质安全隐患消除和植被覆盖状况，绿化美化效果；</w:t>
      </w:r>
    </w:p>
    <w:p w14:paraId="65F9DFCE">
      <w:pPr>
        <w:adjustRightInd/>
        <w:snapToGrid/>
      </w:pPr>
      <w:r>
        <w:rPr>
          <w:rFonts w:hint="eastAsia"/>
        </w:rPr>
        <w:t>6.经费执行情况，检查工程施工费用清单、经费收支情况；</w:t>
      </w:r>
    </w:p>
    <w:p w14:paraId="3E0BBCB9">
      <w:pPr>
        <w:adjustRightInd/>
        <w:snapToGrid/>
      </w:pPr>
      <w:r>
        <w:rPr>
          <w:rFonts w:hint="eastAsia"/>
        </w:rPr>
        <w:t>7.工程自验问题整改情况；</w:t>
      </w:r>
    </w:p>
    <w:p w14:paraId="6353EBB5">
      <w:pPr>
        <w:adjustRightInd/>
        <w:snapToGrid/>
      </w:pPr>
      <w:r>
        <w:rPr>
          <w:rFonts w:hint="eastAsia"/>
        </w:rPr>
        <w:t>8.工程决算报告检查；</w:t>
      </w:r>
    </w:p>
    <w:p w14:paraId="25866B2D">
      <w:pPr>
        <w:adjustRightInd/>
        <w:snapToGrid/>
      </w:pPr>
      <w:r>
        <w:rPr>
          <w:rFonts w:hint="eastAsia"/>
        </w:rPr>
        <w:t>9.项目决算审计；</w:t>
      </w:r>
    </w:p>
    <w:p w14:paraId="30CA70D2">
      <w:pPr>
        <w:adjustRightInd/>
        <w:snapToGrid/>
      </w:pPr>
      <w:r>
        <w:rPr>
          <w:rFonts w:hint="eastAsia"/>
        </w:rPr>
        <w:t>10.项目绩效自评价；</w:t>
      </w:r>
    </w:p>
    <w:p w14:paraId="6156E91A">
      <w:pPr>
        <w:adjustRightInd/>
        <w:snapToGrid/>
      </w:pPr>
      <w:r>
        <w:rPr>
          <w:rFonts w:hint="eastAsia"/>
        </w:rPr>
        <w:t>11.矿山生态修复效果自评估(或第三方评估)；</w:t>
      </w:r>
    </w:p>
    <w:p w14:paraId="5E3968DA">
      <w:pPr>
        <w:adjustRightInd/>
        <w:snapToGrid/>
      </w:pPr>
      <w:r>
        <w:rPr>
          <w:rFonts w:hint="eastAsia"/>
        </w:rPr>
        <w:t>12.工程后期管护责任单位落实情况检查。</w:t>
      </w:r>
      <w:bookmarkEnd w:id="201"/>
    </w:p>
    <w:p w14:paraId="5B786E4D">
      <w:pPr>
        <w:pStyle w:val="37"/>
        <w:spacing w:before="156" w:after="156"/>
      </w:pPr>
      <w:bookmarkStart w:id="202" w:name="_Toc12028"/>
      <w:bookmarkStart w:id="203" w:name="_Toc218763136"/>
      <w:bookmarkStart w:id="204" w:name="_Toc218763807"/>
      <w:bookmarkStart w:id="205" w:name="_Toc218963342"/>
      <w:r>
        <w:rPr>
          <w:rFonts w:hint="eastAsia"/>
        </w:rPr>
        <w:t>8.4 工程最终验收通过条件</w:t>
      </w:r>
      <w:bookmarkEnd w:id="202"/>
      <w:bookmarkEnd w:id="203"/>
      <w:bookmarkEnd w:id="204"/>
      <w:bookmarkEnd w:id="205"/>
    </w:p>
    <w:p w14:paraId="362C6A86">
      <w:pPr>
        <w:adjustRightInd/>
        <w:snapToGrid/>
      </w:pPr>
      <w:bookmarkStart w:id="206" w:name="OLE_LINK43"/>
      <w:r>
        <w:rPr>
          <w:rFonts w:hint="eastAsia"/>
        </w:rPr>
        <w:t>工程最终验收通过应符合下列条件：</w:t>
      </w:r>
    </w:p>
    <w:p w14:paraId="60FF5565">
      <w:pPr>
        <w:adjustRightInd/>
        <w:snapToGrid/>
      </w:pPr>
      <w:r>
        <w:rPr>
          <w:rFonts w:hint="eastAsia"/>
        </w:rPr>
        <w:t>1.完成了设计指标及合同规定的工作内容；</w:t>
      </w:r>
    </w:p>
    <w:p w14:paraId="3E7BDECE">
      <w:pPr>
        <w:adjustRightInd/>
        <w:snapToGrid/>
      </w:pPr>
      <w:r>
        <w:rPr>
          <w:rFonts w:hint="eastAsia"/>
        </w:rPr>
        <w:t>2.各项措施已落实到位；</w:t>
      </w:r>
    </w:p>
    <w:p w14:paraId="311F59E1">
      <w:pPr>
        <w:adjustRightInd/>
        <w:snapToGrid/>
      </w:pPr>
      <w:r>
        <w:rPr>
          <w:rFonts w:hint="eastAsia"/>
        </w:rPr>
        <w:t>3.分部、分项、整体工程质量合格，自验收问题已整改；</w:t>
      </w:r>
    </w:p>
    <w:p w14:paraId="1AC7ECCD">
      <w:pPr>
        <w:adjustRightInd/>
        <w:snapToGrid/>
      </w:pPr>
      <w:r>
        <w:rPr>
          <w:rFonts w:hint="eastAsia"/>
        </w:rPr>
        <w:t>4.地质安全隐患已消除，植被覆盖度高，绿化美化效果好，景观协调性好；</w:t>
      </w:r>
    </w:p>
    <w:p w14:paraId="02D422B5">
      <w:pPr>
        <w:adjustRightInd/>
        <w:snapToGrid/>
      </w:pPr>
      <w:r>
        <w:rPr>
          <w:rFonts w:hint="eastAsia"/>
        </w:rPr>
        <w:t>5.具有审计机构出具的项目决算审计报告，项目设计、施工、监理、审计等费用安排合理、支付规范；</w:t>
      </w:r>
    </w:p>
    <w:p w14:paraId="1F443001">
      <w:pPr>
        <w:adjustRightInd/>
        <w:snapToGrid/>
      </w:pPr>
      <w:r>
        <w:rPr>
          <w:rFonts w:hint="eastAsia"/>
        </w:rPr>
        <w:t>6.工程总结报告内容齐全；绩效自评价评分75分以上，评分合理；生态修复效果自评估(或第三方评估)结论准确；工程后期管护责任单位已落实，管护合同已签订。绩效自评参照附录C；</w:t>
      </w:r>
    </w:p>
    <w:p w14:paraId="15F25D53">
      <w:pPr>
        <w:adjustRightInd/>
        <w:snapToGrid/>
      </w:pPr>
      <w:r>
        <w:rPr>
          <w:rFonts w:hint="eastAsia"/>
        </w:rPr>
        <w:t>7.资料完整、内容真实、制作规范。</w:t>
      </w:r>
    </w:p>
    <w:bookmarkEnd w:id="180"/>
    <w:bookmarkEnd w:id="206"/>
    <w:p w14:paraId="0DF30429">
      <w:pPr>
        <w:pStyle w:val="38"/>
        <w:spacing w:before="312" w:after="312"/>
        <w:rPr>
          <w:rFonts w:hint="eastAsia"/>
        </w:rPr>
      </w:pPr>
      <w:bookmarkStart w:id="207" w:name="_Toc218763137"/>
      <w:bookmarkStart w:id="208" w:name="_Toc218763808"/>
      <w:bookmarkStart w:id="209" w:name="_Toc218963343"/>
      <w:bookmarkStart w:id="210" w:name="_Toc28801"/>
      <w:r>
        <w:t>9 移交归档</w:t>
      </w:r>
      <w:bookmarkEnd w:id="207"/>
      <w:bookmarkEnd w:id="208"/>
      <w:bookmarkEnd w:id="209"/>
      <w:bookmarkEnd w:id="210"/>
    </w:p>
    <w:p w14:paraId="3EF3458D">
      <w:pPr>
        <w:pStyle w:val="37"/>
        <w:spacing w:before="156" w:after="156"/>
      </w:pPr>
      <w:bookmarkStart w:id="211" w:name="_Toc218763138"/>
      <w:bookmarkStart w:id="212" w:name="_Toc218963344"/>
      <w:bookmarkStart w:id="213" w:name="_Toc218763809"/>
      <w:bookmarkStart w:id="214" w:name="_Toc19476"/>
      <w:r>
        <w:rPr>
          <w:rFonts w:hint="eastAsia"/>
        </w:rPr>
        <w:t>9.1 移交管护</w:t>
      </w:r>
      <w:bookmarkEnd w:id="211"/>
      <w:bookmarkEnd w:id="212"/>
      <w:bookmarkEnd w:id="213"/>
      <w:bookmarkEnd w:id="214"/>
    </w:p>
    <w:p w14:paraId="15C015F5">
      <w:pPr>
        <w:pStyle w:val="37"/>
        <w:adjustRightInd/>
        <w:snapToGrid/>
        <w:spacing w:before="156" w:after="156"/>
        <w:outlineLvl w:val="2"/>
      </w:pPr>
      <w:r>
        <w:rPr>
          <w:rFonts w:hint="eastAsia"/>
        </w:rPr>
        <w:t>9.1.1 露天矿坑生态修复工程最终验收合格，施工管护期满，工程实施责任单位应与工程后期管护责任方办理工程移交手续。</w:t>
      </w:r>
    </w:p>
    <w:p w14:paraId="0517026B">
      <w:pPr>
        <w:pStyle w:val="37"/>
        <w:adjustRightInd/>
        <w:snapToGrid/>
        <w:spacing w:before="156" w:after="156"/>
        <w:outlineLvl w:val="2"/>
      </w:pPr>
      <w:r>
        <w:rPr>
          <w:rFonts w:hint="eastAsia"/>
        </w:rPr>
        <w:t>9.1.2 工程后期管护责任方应及时编制工程后期管护组织实施方案，明确工程移交管护范围、期限、对象、内容、费用及责任等，并提交工程实施责任单位审查批准。</w:t>
      </w:r>
    </w:p>
    <w:p w14:paraId="5EC46F01">
      <w:pPr>
        <w:pStyle w:val="37"/>
        <w:adjustRightInd/>
        <w:snapToGrid/>
        <w:spacing w:before="156" w:after="156"/>
        <w:outlineLvl w:val="2"/>
      </w:pPr>
      <w:r>
        <w:rPr>
          <w:rFonts w:hint="eastAsia"/>
        </w:rPr>
        <w:t>9.1.3 管护范围为实施修复的区域，以四至坐标范围为准。</w:t>
      </w:r>
    </w:p>
    <w:p w14:paraId="30E352AE">
      <w:pPr>
        <w:pStyle w:val="37"/>
        <w:adjustRightInd/>
        <w:snapToGrid/>
        <w:spacing w:before="156" w:after="156"/>
        <w:outlineLvl w:val="2"/>
      </w:pPr>
      <w:r>
        <w:rPr>
          <w:rFonts w:hint="eastAsia"/>
        </w:rPr>
        <w:t>9.1.4 管护期限，工程</w:t>
      </w:r>
      <w:r>
        <w:t>最终</w:t>
      </w:r>
      <w:r>
        <w:rPr>
          <w:rFonts w:hint="eastAsia"/>
        </w:rPr>
        <w:t>验收</w:t>
      </w:r>
      <w:r>
        <w:t>合格（或完工</w:t>
      </w:r>
      <w:r>
        <w:rPr>
          <w:rFonts w:hint="eastAsia"/>
        </w:rPr>
        <w:t>交付</w:t>
      </w:r>
      <w:r>
        <w:t>）的次日为</w:t>
      </w:r>
      <w:r>
        <w:rPr>
          <w:rFonts w:hint="eastAsia"/>
        </w:rPr>
        <w:t>管护期</w:t>
      </w:r>
      <w:r>
        <w:t>起始时间，</w:t>
      </w:r>
      <w:r>
        <w:rPr>
          <w:rFonts w:hint="eastAsia"/>
        </w:rPr>
        <w:t>管护期限</w:t>
      </w:r>
      <w:r>
        <w:t>结合</w:t>
      </w:r>
      <w:r>
        <w:rPr>
          <w:rFonts w:hint="eastAsia"/>
        </w:rPr>
        <w:t>露天矿坑生态系统自稳定程度确定，一般</w:t>
      </w:r>
      <w:r>
        <w:t>为</w:t>
      </w:r>
      <w:r>
        <w:rPr>
          <w:rFonts w:hint="eastAsia"/>
        </w:rPr>
        <w:t>3年</w:t>
      </w:r>
      <w:r>
        <w:t>；设计文件、管护协议或合同约定有特殊要求的</w:t>
      </w:r>
      <w:r>
        <w:rPr>
          <w:rFonts w:hint="eastAsia"/>
        </w:rPr>
        <w:t>执行其规定。</w:t>
      </w:r>
    </w:p>
    <w:p w14:paraId="1BE7A478">
      <w:pPr>
        <w:pStyle w:val="37"/>
        <w:adjustRightInd/>
        <w:snapToGrid/>
        <w:spacing w:before="156" w:after="156"/>
        <w:outlineLvl w:val="2"/>
      </w:pPr>
      <w:r>
        <w:rPr>
          <w:rFonts w:hint="eastAsia"/>
        </w:rPr>
        <w:t>9.1.5 管护的对象、内容包括建构筑物的管理和维护、基础设施的运行和维护、植被管养，以及生态系统稳定性提升等。</w:t>
      </w:r>
    </w:p>
    <w:p w14:paraId="209D5F78">
      <w:pPr>
        <w:pStyle w:val="37"/>
        <w:adjustRightInd/>
        <w:snapToGrid/>
        <w:spacing w:before="156" w:after="156"/>
        <w:outlineLvl w:val="2"/>
      </w:pPr>
      <w:r>
        <w:rPr>
          <w:rFonts w:hint="eastAsia"/>
        </w:rPr>
        <w:t>9.1.6 与工程后期管护有关的设计、施工、监测等资料宜一并移交。</w:t>
      </w:r>
    </w:p>
    <w:p w14:paraId="50644A32">
      <w:pPr>
        <w:pStyle w:val="37"/>
        <w:spacing w:before="156" w:after="156"/>
      </w:pPr>
      <w:bookmarkStart w:id="215" w:name="_Toc218963345"/>
      <w:bookmarkStart w:id="216" w:name="_Toc218763139"/>
      <w:bookmarkStart w:id="217" w:name="_Toc10087"/>
      <w:bookmarkStart w:id="218" w:name="_Toc218763810"/>
      <w:r>
        <w:rPr>
          <w:rFonts w:hint="eastAsia"/>
        </w:rPr>
        <w:t>9.2 资料归档</w:t>
      </w:r>
      <w:bookmarkEnd w:id="215"/>
      <w:bookmarkEnd w:id="216"/>
      <w:bookmarkEnd w:id="217"/>
      <w:bookmarkEnd w:id="218"/>
    </w:p>
    <w:p w14:paraId="327F4492">
      <w:pPr>
        <w:pStyle w:val="37"/>
        <w:adjustRightInd/>
        <w:snapToGrid/>
        <w:spacing w:before="156" w:after="156"/>
        <w:outlineLvl w:val="2"/>
      </w:pPr>
      <w:r>
        <w:rPr>
          <w:rFonts w:hint="eastAsia"/>
        </w:rPr>
        <w:t>9.2.1 工程最终验收完成后，工程实施责任单位应组织设计、施工、监理等单位，按照管理、设计、施工、监理、财务类对工程资料进行编号、编目、立卷归档。包括文字、图片、表格、影像等。</w:t>
      </w:r>
    </w:p>
    <w:p w14:paraId="577657CD">
      <w:pPr>
        <w:pStyle w:val="37"/>
        <w:adjustRightInd/>
        <w:snapToGrid/>
        <w:spacing w:before="156" w:after="156"/>
        <w:outlineLvl w:val="2"/>
      </w:pPr>
      <w:r>
        <w:rPr>
          <w:rFonts w:hint="eastAsia"/>
        </w:rPr>
        <w:t>9.2.2 归档资料应系统完整、客观真实，纸质资料应为原件或有效复印件；纸质档案与电子文件应一一对应。</w:t>
      </w:r>
    </w:p>
    <w:p w14:paraId="7213273D">
      <w:pPr>
        <w:pStyle w:val="37"/>
        <w:adjustRightInd/>
        <w:snapToGrid/>
        <w:spacing w:before="156" w:after="156"/>
        <w:outlineLvl w:val="2"/>
        <w:sectPr>
          <w:footerReference r:id="rId16" w:type="default"/>
          <w:pgSz w:w="11906" w:h="16838"/>
          <w:pgMar w:top="567" w:right="1134" w:bottom="1134" w:left="1418" w:header="1418" w:footer="1134" w:gutter="0"/>
          <w:pgNumType w:start="1"/>
          <w:cols w:space="720" w:num="1"/>
          <w:docGrid w:type="lines" w:linePitch="312" w:charSpace="0"/>
        </w:sectPr>
      </w:pPr>
      <w:r>
        <w:rPr>
          <w:rFonts w:hint="eastAsia"/>
        </w:rPr>
        <w:t>9.2.3 工程实施责任单位应按地质资料档案地方行业管理有关要求，及时将资科纸质档案和电子文件汇交至工程监管责任单位，并上传至国土空间生态修复管理系统。</w:t>
      </w:r>
    </w:p>
    <w:bookmarkEnd w:id="186"/>
    <w:p w14:paraId="63D55235">
      <w:pPr>
        <w:pStyle w:val="60"/>
        <w:numPr>
          <w:ilvl w:val="0"/>
          <w:numId w:val="3"/>
        </w:numPr>
        <w:tabs>
          <w:tab w:val="clear" w:pos="432"/>
        </w:tabs>
        <w:adjustRightInd/>
        <w:snapToGrid/>
      </w:pPr>
      <w:bookmarkStart w:id="219" w:name="_Toc22692"/>
      <w:r>
        <w:br w:type="textWrapping"/>
      </w:r>
      <w:bookmarkStart w:id="220" w:name="_Toc218763813"/>
      <w:bookmarkStart w:id="221" w:name="_Toc218963348"/>
      <w:bookmarkStart w:id="222" w:name="_Toc218763142"/>
      <w:r>
        <w:t>（</w:t>
      </w:r>
      <w:r>
        <w:rPr>
          <w:rFonts w:hint="eastAsia"/>
        </w:rPr>
        <w:t>资料</w:t>
      </w:r>
      <w:r>
        <w:t>性）</w:t>
      </w:r>
      <w:r>
        <w:br w:type="textWrapping"/>
      </w:r>
      <w:r>
        <w:rPr>
          <w:rFonts w:hint="eastAsia"/>
        </w:rPr>
        <w:t>露天矿坑生态修复工程验收资料清单</w:t>
      </w:r>
      <w:bookmarkEnd w:id="219"/>
      <w:bookmarkEnd w:id="220"/>
      <w:bookmarkEnd w:id="221"/>
      <w:bookmarkEnd w:id="222"/>
    </w:p>
    <w:p w14:paraId="09BFAF9F">
      <w:pPr>
        <w:pStyle w:val="45"/>
        <w:adjustRightInd/>
        <w:snapToGrid/>
        <w:ind w:firstLine="420"/>
        <w:rPr>
          <w:rFonts w:eastAsia="黑体"/>
          <w:kern w:val="21"/>
        </w:rPr>
      </w:pPr>
      <w:r>
        <w:rPr>
          <w:rFonts w:hint="eastAsia" w:eastAsia="黑体"/>
          <w:kern w:val="21"/>
        </w:rPr>
        <w:t>A</w:t>
      </w:r>
      <w:r>
        <w:rPr>
          <w:rFonts w:eastAsia="黑体"/>
          <w:kern w:val="21"/>
        </w:rPr>
        <w:t>.1 露天矿坑生态修复工程自验资料清单可按表</w:t>
      </w:r>
      <w:r>
        <w:rPr>
          <w:rFonts w:hint="eastAsia" w:eastAsia="黑体"/>
          <w:kern w:val="21"/>
        </w:rPr>
        <w:t>A</w:t>
      </w:r>
      <w:r>
        <w:rPr>
          <w:rFonts w:eastAsia="黑体"/>
          <w:kern w:val="21"/>
        </w:rPr>
        <w:t>.1提交。</w:t>
      </w:r>
    </w:p>
    <w:p w14:paraId="19C11D9D">
      <w:pPr>
        <w:pStyle w:val="45"/>
        <w:adjustRightInd/>
        <w:snapToGrid/>
        <w:ind w:firstLine="420"/>
        <w:rPr>
          <w:rFonts w:eastAsia="黑体"/>
          <w:kern w:val="21"/>
        </w:rPr>
      </w:pPr>
      <w:r>
        <w:rPr>
          <w:rFonts w:hint="eastAsia" w:eastAsia="黑体"/>
          <w:kern w:val="21"/>
        </w:rPr>
        <w:t>A</w:t>
      </w:r>
      <w:r>
        <w:rPr>
          <w:rFonts w:eastAsia="黑体"/>
          <w:kern w:val="21"/>
        </w:rPr>
        <w:t>.2 最终验收除提交表B.1资料外，还需提交总结报告、工程自验意见、工程自验问题整改报告、项目决算审计报告、项目绩效自评价报告、露天矿坑生态修复效果自评报告(或第三方评估报告)、工程后期管护合同等。</w:t>
      </w:r>
    </w:p>
    <w:p w14:paraId="2099C204">
      <w:pPr>
        <w:sectPr>
          <w:pgSz w:w="11906" w:h="16838"/>
          <w:pgMar w:top="567" w:right="1134" w:bottom="1134" w:left="1418" w:header="1418" w:footer="1134" w:gutter="0"/>
          <w:cols w:space="425" w:num="1"/>
          <w:docGrid w:type="lines" w:linePitch="312" w:charSpace="0"/>
        </w:sectPr>
      </w:pPr>
    </w:p>
    <w:p w14:paraId="45B4CCD9">
      <w:pPr>
        <w:pStyle w:val="67"/>
        <w:spacing w:before="156" w:beforeLines="50" w:after="156" w:afterLines="50"/>
      </w:pPr>
      <w:r>
        <w:t>表</w:t>
      </w:r>
      <w:r>
        <w:rPr>
          <w:rFonts w:hint="eastAsia"/>
        </w:rPr>
        <w:t>A</w:t>
      </w:r>
      <w:r>
        <w:t>.1</w:t>
      </w:r>
      <w:r>
        <w:rPr>
          <w:rFonts w:hint="eastAsia"/>
        </w:rPr>
        <w:t xml:space="preserve">  </w:t>
      </w:r>
      <w:r>
        <w:t>露天矿坑生态修复工程自验资料清单</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78"/>
        <w:gridCol w:w="7386"/>
      </w:tblGrid>
      <w:tr w14:paraId="10D5C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44237FEB">
            <w:pPr>
              <w:pStyle w:val="40"/>
              <w:rPr>
                <w:rFonts w:ascii="Arial" w:hAnsi="Arial"/>
                <w:snapToGrid w:val="0"/>
                <w:lang w:eastAsia="en-US"/>
              </w:rPr>
            </w:pPr>
            <w:r>
              <w:rPr>
                <w:rFonts w:ascii="Arial" w:hAnsi="Arial"/>
                <w:snapToGrid w:val="0"/>
                <w:lang w:eastAsia="en-US"/>
              </w:rPr>
              <w:t>资料类型</w:t>
            </w:r>
          </w:p>
        </w:tc>
        <w:tc>
          <w:tcPr>
            <w:tcW w:w="3944" w:type="pct"/>
            <w:vAlign w:val="center"/>
          </w:tcPr>
          <w:p w14:paraId="20EF211B">
            <w:pPr>
              <w:pStyle w:val="40"/>
              <w:rPr>
                <w:rFonts w:ascii="Arial" w:hAnsi="Arial"/>
                <w:snapToGrid w:val="0"/>
                <w:lang w:eastAsia="en-US"/>
              </w:rPr>
            </w:pPr>
            <w:r>
              <w:rPr>
                <w:rFonts w:ascii="Arial" w:hAnsi="Arial"/>
                <w:snapToGrid w:val="0"/>
                <w:lang w:eastAsia="en-US"/>
              </w:rPr>
              <w:t>资料名称</w:t>
            </w:r>
          </w:p>
        </w:tc>
      </w:tr>
      <w:tr w14:paraId="5E5B3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7556EF26">
            <w:pPr>
              <w:pStyle w:val="40"/>
              <w:rPr>
                <w:rFonts w:ascii="Arial" w:hAnsi="Arial"/>
                <w:snapToGrid w:val="0"/>
                <w:lang w:eastAsia="en-US"/>
              </w:rPr>
            </w:pPr>
            <w:r>
              <w:rPr>
                <w:rFonts w:ascii="Arial" w:hAnsi="Arial"/>
                <w:snapToGrid w:val="0"/>
                <w:lang w:eastAsia="en-US"/>
              </w:rPr>
              <w:t>管理类</w:t>
            </w:r>
          </w:p>
        </w:tc>
        <w:tc>
          <w:tcPr>
            <w:tcW w:w="3944" w:type="pct"/>
            <w:vAlign w:val="center"/>
          </w:tcPr>
          <w:p w14:paraId="23218CF4">
            <w:pPr>
              <w:pStyle w:val="40"/>
              <w:jc w:val="left"/>
              <w:rPr>
                <w:rFonts w:ascii="Arial" w:hAnsi="Arial"/>
                <w:snapToGrid w:val="0"/>
              </w:rPr>
            </w:pPr>
            <w:r>
              <w:rPr>
                <w:rFonts w:hint="eastAsia" w:ascii="Arial" w:hAnsi="Arial"/>
                <w:snapToGrid w:val="0"/>
              </w:rPr>
              <w:t xml:space="preserve">1. </w:t>
            </w:r>
            <w:r>
              <w:rPr>
                <w:rFonts w:ascii="Arial" w:hAnsi="Arial"/>
                <w:snapToGrid w:val="0"/>
              </w:rPr>
              <w:t>验收申请</w:t>
            </w:r>
            <w:r>
              <w:rPr>
                <w:rFonts w:hint="eastAsia" w:ascii="Arial" w:hAnsi="Arial"/>
                <w:snapToGrid w:val="0"/>
              </w:rPr>
              <w:t>；</w:t>
            </w:r>
          </w:p>
          <w:p w14:paraId="592921C3">
            <w:pPr>
              <w:pStyle w:val="40"/>
              <w:jc w:val="left"/>
              <w:rPr>
                <w:rFonts w:ascii="Arial" w:hAnsi="Arial"/>
                <w:snapToGrid w:val="0"/>
              </w:rPr>
            </w:pPr>
            <w:r>
              <w:rPr>
                <w:rFonts w:ascii="Arial" w:hAnsi="Arial"/>
                <w:snapToGrid w:val="0"/>
              </w:rPr>
              <w:t>2</w:t>
            </w:r>
            <w:r>
              <w:rPr>
                <w:rFonts w:hint="eastAsia" w:ascii="Arial" w:hAnsi="Arial"/>
                <w:snapToGrid w:val="0"/>
              </w:rPr>
              <w:t xml:space="preserve">. </w:t>
            </w:r>
            <w:r>
              <w:rPr>
                <w:rFonts w:ascii="Arial" w:hAnsi="Arial"/>
                <w:snapToGrid w:val="0"/>
              </w:rPr>
              <w:t>各类会议纪要</w:t>
            </w:r>
            <w:r>
              <w:rPr>
                <w:rFonts w:hint="eastAsia" w:ascii="Arial" w:hAnsi="Arial"/>
                <w:snapToGrid w:val="0"/>
              </w:rPr>
              <w:t>；</w:t>
            </w:r>
          </w:p>
          <w:p w14:paraId="1A012DBA">
            <w:pPr>
              <w:pStyle w:val="40"/>
              <w:jc w:val="left"/>
              <w:rPr>
                <w:rFonts w:ascii="Arial" w:hAnsi="Arial"/>
                <w:snapToGrid w:val="0"/>
              </w:rPr>
            </w:pPr>
            <w:r>
              <w:rPr>
                <w:rFonts w:ascii="Arial" w:hAnsi="Arial"/>
                <w:snapToGrid w:val="0"/>
              </w:rPr>
              <w:t>3.</w:t>
            </w:r>
            <w:r>
              <w:rPr>
                <w:rFonts w:hint="eastAsia" w:ascii="Arial" w:hAnsi="Arial"/>
                <w:snapToGrid w:val="0"/>
              </w:rPr>
              <w:t xml:space="preserve"> </w:t>
            </w:r>
            <w:r>
              <w:rPr>
                <w:rFonts w:ascii="Arial" w:hAnsi="Arial"/>
                <w:snapToGrid w:val="0"/>
              </w:rPr>
              <w:t>招投标文件、中标通知书、合同书</w:t>
            </w:r>
            <w:r>
              <w:rPr>
                <w:rFonts w:hint="eastAsia" w:ascii="Arial" w:hAnsi="Arial"/>
                <w:snapToGrid w:val="0"/>
              </w:rPr>
              <w:t>等；</w:t>
            </w:r>
          </w:p>
          <w:p w14:paraId="3A440406">
            <w:pPr>
              <w:pStyle w:val="40"/>
              <w:jc w:val="left"/>
              <w:rPr>
                <w:rFonts w:ascii="Arial" w:hAnsi="Arial"/>
                <w:snapToGrid w:val="0"/>
              </w:rPr>
            </w:pPr>
            <w:r>
              <w:rPr>
                <w:rFonts w:ascii="Arial" w:hAnsi="Arial"/>
                <w:snapToGrid w:val="0"/>
              </w:rPr>
              <w:t>4.</w:t>
            </w:r>
            <w:r>
              <w:rPr>
                <w:rFonts w:hint="eastAsia" w:ascii="Arial" w:hAnsi="Arial"/>
                <w:snapToGrid w:val="0"/>
              </w:rPr>
              <w:t xml:space="preserve"> </w:t>
            </w:r>
            <w:r>
              <w:rPr>
                <w:rFonts w:ascii="Arial" w:hAnsi="Arial"/>
                <w:snapToGrid w:val="0"/>
              </w:rPr>
              <w:t>承诺书。</w:t>
            </w:r>
          </w:p>
        </w:tc>
      </w:tr>
      <w:tr w14:paraId="2B91E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6B661B4E">
            <w:pPr>
              <w:pStyle w:val="40"/>
              <w:rPr>
                <w:rFonts w:ascii="Arial" w:hAnsi="Arial"/>
                <w:snapToGrid w:val="0"/>
                <w:lang w:eastAsia="en-US"/>
              </w:rPr>
            </w:pPr>
            <w:r>
              <w:rPr>
                <w:rFonts w:ascii="Arial" w:hAnsi="Arial"/>
                <w:snapToGrid w:val="0"/>
                <w:lang w:eastAsia="en-US"/>
              </w:rPr>
              <w:t>设计类</w:t>
            </w:r>
          </w:p>
        </w:tc>
        <w:tc>
          <w:tcPr>
            <w:tcW w:w="3944" w:type="pct"/>
            <w:vAlign w:val="center"/>
          </w:tcPr>
          <w:p w14:paraId="473278B8">
            <w:pPr>
              <w:pStyle w:val="40"/>
              <w:jc w:val="left"/>
              <w:rPr>
                <w:rFonts w:ascii="Arial" w:hAnsi="Arial"/>
                <w:snapToGrid w:val="0"/>
              </w:rPr>
            </w:pPr>
            <w:r>
              <w:rPr>
                <w:rFonts w:ascii="Arial" w:hAnsi="Arial"/>
                <w:snapToGrid w:val="0"/>
              </w:rPr>
              <w:t>1.</w:t>
            </w:r>
            <w:r>
              <w:rPr>
                <w:rFonts w:hint="eastAsia" w:ascii="Arial" w:hAnsi="Arial"/>
                <w:snapToGrid w:val="0"/>
              </w:rPr>
              <w:t xml:space="preserve"> </w:t>
            </w:r>
            <w:r>
              <w:rPr>
                <w:rFonts w:ascii="Arial" w:hAnsi="Arial"/>
                <w:snapToGrid w:val="0"/>
              </w:rPr>
              <w:t>设计</w:t>
            </w:r>
            <w:r>
              <w:rPr>
                <w:rFonts w:ascii="宋体" w:hAnsi="宋体"/>
                <w:snapToGrid w:val="0"/>
              </w:rPr>
              <w:t>(</w:t>
            </w:r>
            <w:r>
              <w:rPr>
                <w:rFonts w:ascii="Arial" w:hAnsi="Arial"/>
                <w:snapToGrid w:val="0"/>
              </w:rPr>
              <w:t>变更</w:t>
            </w:r>
            <w:r>
              <w:rPr>
                <w:rFonts w:ascii="宋体" w:hAnsi="宋体"/>
                <w:snapToGrid w:val="0"/>
              </w:rPr>
              <w:t>)</w:t>
            </w:r>
            <w:r>
              <w:rPr>
                <w:rFonts w:ascii="Arial" w:hAnsi="Arial"/>
                <w:snapToGrid w:val="0"/>
              </w:rPr>
              <w:t>及其批准文</w:t>
            </w:r>
            <w:r>
              <w:rPr>
                <w:rFonts w:hint="eastAsia" w:ascii="Arial" w:hAnsi="Arial"/>
                <w:snapToGrid w:val="0"/>
              </w:rPr>
              <w:t>；</w:t>
            </w:r>
          </w:p>
          <w:p w14:paraId="764E0E92">
            <w:pPr>
              <w:pStyle w:val="40"/>
              <w:jc w:val="left"/>
              <w:rPr>
                <w:rFonts w:ascii="Arial" w:hAnsi="Arial"/>
                <w:snapToGrid w:val="0"/>
              </w:rPr>
            </w:pPr>
            <w:r>
              <w:rPr>
                <w:rFonts w:ascii="Arial" w:hAnsi="Arial"/>
                <w:snapToGrid w:val="0"/>
              </w:rPr>
              <w:t>2.</w:t>
            </w:r>
            <w:r>
              <w:rPr>
                <w:rFonts w:hint="eastAsia" w:ascii="Arial" w:hAnsi="Arial"/>
                <w:snapToGrid w:val="0"/>
              </w:rPr>
              <w:t xml:space="preserve"> </w:t>
            </w:r>
            <w:r>
              <w:rPr>
                <w:rFonts w:ascii="Arial" w:hAnsi="Arial"/>
                <w:snapToGrid w:val="0"/>
              </w:rPr>
              <w:t>设计交底记录。</w:t>
            </w:r>
          </w:p>
        </w:tc>
      </w:tr>
      <w:tr w14:paraId="0D389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186B06FF">
            <w:pPr>
              <w:pStyle w:val="40"/>
              <w:rPr>
                <w:rFonts w:ascii="Arial" w:hAnsi="Arial"/>
                <w:snapToGrid w:val="0"/>
                <w:lang w:eastAsia="en-US"/>
              </w:rPr>
            </w:pPr>
            <w:r>
              <w:rPr>
                <w:rFonts w:ascii="Arial" w:hAnsi="Arial"/>
                <w:snapToGrid w:val="0"/>
                <w:lang w:eastAsia="en-US"/>
              </w:rPr>
              <w:t>施工类</w:t>
            </w:r>
          </w:p>
        </w:tc>
        <w:tc>
          <w:tcPr>
            <w:tcW w:w="3944" w:type="pct"/>
            <w:vAlign w:val="center"/>
          </w:tcPr>
          <w:p w14:paraId="5CF82586">
            <w:pPr>
              <w:pStyle w:val="40"/>
              <w:jc w:val="left"/>
              <w:rPr>
                <w:rFonts w:ascii="Arial" w:hAnsi="Arial"/>
                <w:snapToGrid w:val="0"/>
              </w:rPr>
            </w:pPr>
            <w:r>
              <w:rPr>
                <w:rFonts w:ascii="Arial" w:hAnsi="Arial"/>
                <w:snapToGrid w:val="0"/>
              </w:rPr>
              <w:t>1.</w:t>
            </w:r>
            <w:r>
              <w:rPr>
                <w:rFonts w:hint="eastAsia" w:ascii="Arial" w:hAnsi="Arial"/>
                <w:snapToGrid w:val="0"/>
              </w:rPr>
              <w:t xml:space="preserve"> </w:t>
            </w:r>
            <w:r>
              <w:rPr>
                <w:rFonts w:ascii="Arial" w:hAnsi="Arial"/>
                <w:snapToGrid w:val="0"/>
              </w:rPr>
              <w:t>竣工报告</w:t>
            </w:r>
            <w:r>
              <w:rPr>
                <w:rFonts w:ascii="宋体" w:hAnsi="宋体"/>
                <w:snapToGrid w:val="0"/>
              </w:rPr>
              <w:t>(</w:t>
            </w:r>
            <w:r>
              <w:rPr>
                <w:rFonts w:ascii="Arial" w:hAnsi="Arial"/>
                <w:snapToGrid w:val="0"/>
              </w:rPr>
              <w:t>图</w:t>
            </w:r>
            <w:r>
              <w:rPr>
                <w:rFonts w:ascii="宋体" w:hAnsi="宋体"/>
                <w:snapToGrid w:val="0"/>
              </w:rPr>
              <w:t>)</w:t>
            </w:r>
            <w:r>
              <w:rPr>
                <w:rFonts w:hint="eastAsia" w:ascii="Arial" w:hAnsi="Arial"/>
                <w:snapToGrid w:val="0"/>
              </w:rPr>
              <w:t>；</w:t>
            </w:r>
          </w:p>
          <w:p w14:paraId="36C46B0F">
            <w:pPr>
              <w:pStyle w:val="40"/>
              <w:jc w:val="left"/>
              <w:rPr>
                <w:rFonts w:ascii="Arial" w:hAnsi="Arial"/>
                <w:snapToGrid w:val="0"/>
              </w:rPr>
            </w:pPr>
            <w:r>
              <w:rPr>
                <w:rFonts w:ascii="Arial" w:hAnsi="Arial"/>
                <w:snapToGrid w:val="0"/>
              </w:rPr>
              <w:t>2.</w:t>
            </w:r>
            <w:r>
              <w:rPr>
                <w:rFonts w:hint="eastAsia" w:ascii="Arial" w:hAnsi="Arial"/>
                <w:snapToGrid w:val="0"/>
              </w:rPr>
              <w:t xml:space="preserve"> </w:t>
            </w:r>
            <w:r>
              <w:rPr>
                <w:rFonts w:ascii="Arial" w:hAnsi="Arial"/>
                <w:snapToGrid w:val="0"/>
              </w:rPr>
              <w:t>施工企业营业执照及相关资质证书</w:t>
            </w:r>
            <w:r>
              <w:rPr>
                <w:rFonts w:hint="eastAsia" w:ascii="Arial" w:hAnsi="Arial"/>
                <w:snapToGrid w:val="0"/>
              </w:rPr>
              <w:t>；</w:t>
            </w:r>
          </w:p>
          <w:p w14:paraId="284BEF13">
            <w:pPr>
              <w:pStyle w:val="40"/>
              <w:jc w:val="left"/>
              <w:rPr>
                <w:rFonts w:ascii="Arial" w:hAnsi="Arial"/>
                <w:snapToGrid w:val="0"/>
              </w:rPr>
            </w:pPr>
            <w:r>
              <w:rPr>
                <w:rFonts w:ascii="Arial" w:hAnsi="Arial"/>
                <w:snapToGrid w:val="0"/>
              </w:rPr>
              <w:t>3.</w:t>
            </w:r>
            <w:r>
              <w:rPr>
                <w:rFonts w:hint="eastAsia" w:ascii="Arial" w:hAnsi="Arial"/>
                <w:snapToGrid w:val="0"/>
              </w:rPr>
              <w:t xml:space="preserve"> </w:t>
            </w:r>
            <w:r>
              <w:rPr>
                <w:rFonts w:ascii="Arial" w:hAnsi="Arial"/>
                <w:snapToGrid w:val="0"/>
              </w:rPr>
              <w:t>项目施工组织设计及专项施工设计</w:t>
            </w:r>
            <w:r>
              <w:rPr>
                <w:rFonts w:hint="eastAsia" w:ascii="Arial" w:hAnsi="Arial"/>
                <w:snapToGrid w:val="0"/>
              </w:rPr>
              <w:t>；</w:t>
            </w:r>
          </w:p>
          <w:p w14:paraId="041F7077">
            <w:pPr>
              <w:pStyle w:val="40"/>
              <w:jc w:val="left"/>
              <w:rPr>
                <w:rFonts w:ascii="Arial" w:hAnsi="Arial"/>
                <w:snapToGrid w:val="0"/>
              </w:rPr>
            </w:pPr>
            <w:r>
              <w:rPr>
                <w:rFonts w:ascii="Arial" w:hAnsi="Arial"/>
                <w:snapToGrid w:val="0"/>
              </w:rPr>
              <w:t>4.</w:t>
            </w:r>
            <w:r>
              <w:rPr>
                <w:rFonts w:hint="eastAsia" w:ascii="Arial" w:hAnsi="Arial"/>
                <w:snapToGrid w:val="0"/>
              </w:rPr>
              <w:t xml:space="preserve"> </w:t>
            </w:r>
            <w:r>
              <w:rPr>
                <w:rFonts w:ascii="Arial" w:hAnsi="Arial"/>
                <w:snapToGrid w:val="0"/>
              </w:rPr>
              <w:t>技术、质量、安全交底记录</w:t>
            </w:r>
            <w:r>
              <w:rPr>
                <w:rFonts w:hint="eastAsia" w:ascii="Arial" w:hAnsi="Arial"/>
                <w:snapToGrid w:val="0"/>
              </w:rPr>
              <w:t>；</w:t>
            </w:r>
          </w:p>
          <w:p w14:paraId="452A406D">
            <w:pPr>
              <w:pStyle w:val="40"/>
              <w:jc w:val="left"/>
              <w:rPr>
                <w:rFonts w:ascii="Arial" w:hAnsi="Arial"/>
                <w:snapToGrid w:val="0"/>
              </w:rPr>
            </w:pPr>
            <w:r>
              <w:rPr>
                <w:rFonts w:ascii="Arial" w:hAnsi="Arial"/>
                <w:snapToGrid w:val="0"/>
              </w:rPr>
              <w:t>5.</w:t>
            </w:r>
            <w:r>
              <w:rPr>
                <w:rFonts w:hint="eastAsia" w:ascii="Arial" w:hAnsi="Arial"/>
                <w:snapToGrid w:val="0"/>
              </w:rPr>
              <w:t xml:space="preserve"> </w:t>
            </w:r>
            <w:r>
              <w:rPr>
                <w:rFonts w:ascii="Arial" w:hAnsi="Arial"/>
                <w:snapToGrid w:val="0"/>
              </w:rPr>
              <w:t>开工报告</w:t>
            </w:r>
            <w:r>
              <w:rPr>
                <w:rFonts w:hint="eastAsia" w:ascii="Arial" w:hAnsi="Arial"/>
                <w:snapToGrid w:val="0"/>
              </w:rPr>
              <w:t>；</w:t>
            </w:r>
          </w:p>
          <w:p w14:paraId="00F65C1C">
            <w:pPr>
              <w:pStyle w:val="40"/>
              <w:jc w:val="left"/>
              <w:rPr>
                <w:rFonts w:ascii="Arial" w:hAnsi="Arial"/>
                <w:snapToGrid w:val="0"/>
              </w:rPr>
            </w:pPr>
            <w:r>
              <w:rPr>
                <w:rFonts w:ascii="Arial" w:hAnsi="Arial"/>
                <w:snapToGrid w:val="0"/>
              </w:rPr>
              <w:t>6.</w:t>
            </w:r>
            <w:r>
              <w:rPr>
                <w:rFonts w:hint="eastAsia" w:ascii="Arial" w:hAnsi="Arial"/>
                <w:snapToGrid w:val="0"/>
              </w:rPr>
              <w:t xml:space="preserve"> </w:t>
            </w:r>
            <w:r>
              <w:rPr>
                <w:rFonts w:ascii="Arial" w:hAnsi="Arial"/>
                <w:snapToGrid w:val="0"/>
              </w:rPr>
              <w:t>主要材料合格证及复检报告</w:t>
            </w:r>
            <w:r>
              <w:rPr>
                <w:rFonts w:hint="eastAsia" w:ascii="Arial" w:hAnsi="Arial"/>
                <w:snapToGrid w:val="0"/>
              </w:rPr>
              <w:t>；</w:t>
            </w:r>
          </w:p>
          <w:p w14:paraId="06384EBB">
            <w:pPr>
              <w:pStyle w:val="40"/>
              <w:jc w:val="left"/>
              <w:rPr>
                <w:rFonts w:ascii="Arial" w:hAnsi="Arial"/>
                <w:snapToGrid w:val="0"/>
              </w:rPr>
            </w:pPr>
            <w:r>
              <w:rPr>
                <w:rFonts w:ascii="Arial" w:hAnsi="Arial"/>
                <w:snapToGrid w:val="0"/>
              </w:rPr>
              <w:t>7.</w:t>
            </w:r>
            <w:r>
              <w:rPr>
                <w:rFonts w:hint="eastAsia" w:ascii="Arial" w:hAnsi="Arial"/>
                <w:snapToGrid w:val="0"/>
              </w:rPr>
              <w:t xml:space="preserve"> </w:t>
            </w:r>
            <w:r>
              <w:rPr>
                <w:rFonts w:ascii="Arial" w:hAnsi="Arial"/>
                <w:snapToGrid w:val="0"/>
              </w:rPr>
              <w:t>隐蔽工程验收记录</w:t>
            </w:r>
            <w:r>
              <w:rPr>
                <w:rFonts w:hint="eastAsia" w:ascii="Arial" w:hAnsi="Arial"/>
                <w:snapToGrid w:val="0"/>
              </w:rPr>
              <w:t>；</w:t>
            </w:r>
          </w:p>
          <w:p w14:paraId="39310406">
            <w:pPr>
              <w:pStyle w:val="40"/>
              <w:jc w:val="left"/>
              <w:rPr>
                <w:rFonts w:ascii="Arial" w:hAnsi="Arial"/>
                <w:snapToGrid w:val="0"/>
              </w:rPr>
            </w:pPr>
            <w:r>
              <w:rPr>
                <w:rFonts w:ascii="Arial" w:hAnsi="Arial"/>
                <w:snapToGrid w:val="0"/>
              </w:rPr>
              <w:t>8.</w:t>
            </w:r>
            <w:r>
              <w:rPr>
                <w:rFonts w:hint="eastAsia" w:ascii="Arial" w:hAnsi="Arial"/>
                <w:snapToGrid w:val="0"/>
              </w:rPr>
              <w:t xml:space="preserve"> </w:t>
            </w:r>
            <w:r>
              <w:rPr>
                <w:rFonts w:ascii="Arial" w:hAnsi="Arial"/>
                <w:snapToGrid w:val="0"/>
              </w:rPr>
              <w:t>工程联系单</w:t>
            </w:r>
            <w:r>
              <w:rPr>
                <w:rFonts w:hint="eastAsia" w:ascii="Arial" w:hAnsi="Arial"/>
                <w:snapToGrid w:val="0"/>
              </w:rPr>
              <w:t>；</w:t>
            </w:r>
          </w:p>
          <w:p w14:paraId="28741FF9">
            <w:pPr>
              <w:pStyle w:val="40"/>
              <w:jc w:val="left"/>
              <w:rPr>
                <w:rFonts w:ascii="Arial" w:hAnsi="Arial"/>
                <w:snapToGrid w:val="0"/>
              </w:rPr>
            </w:pPr>
            <w:r>
              <w:rPr>
                <w:rFonts w:ascii="Arial" w:hAnsi="Arial"/>
                <w:snapToGrid w:val="0"/>
              </w:rPr>
              <w:t>9.</w:t>
            </w:r>
            <w:r>
              <w:rPr>
                <w:rFonts w:hint="eastAsia" w:ascii="Arial" w:hAnsi="Arial"/>
                <w:snapToGrid w:val="0"/>
              </w:rPr>
              <w:t xml:space="preserve"> </w:t>
            </w:r>
            <w:r>
              <w:rPr>
                <w:rFonts w:ascii="Arial" w:hAnsi="Arial"/>
                <w:snapToGrid w:val="0"/>
              </w:rPr>
              <w:t>分部、分项、整体工程质量检验与评定记录</w:t>
            </w:r>
            <w:r>
              <w:rPr>
                <w:rFonts w:hint="eastAsia" w:ascii="Arial" w:hAnsi="Arial"/>
                <w:snapToGrid w:val="0"/>
              </w:rPr>
              <w:t>；</w:t>
            </w:r>
          </w:p>
          <w:p w14:paraId="09FB5A1E">
            <w:pPr>
              <w:pStyle w:val="40"/>
              <w:jc w:val="left"/>
              <w:rPr>
                <w:rFonts w:ascii="Arial" w:hAnsi="Arial"/>
                <w:snapToGrid w:val="0"/>
              </w:rPr>
            </w:pPr>
            <w:r>
              <w:rPr>
                <w:rFonts w:ascii="Arial" w:hAnsi="Arial"/>
                <w:snapToGrid w:val="0"/>
              </w:rPr>
              <w:t>10.</w:t>
            </w:r>
            <w:r>
              <w:rPr>
                <w:rFonts w:hint="eastAsia" w:ascii="Arial" w:hAnsi="Arial"/>
                <w:snapToGrid w:val="0"/>
              </w:rPr>
              <w:t xml:space="preserve"> </w:t>
            </w:r>
            <w:r>
              <w:rPr>
                <w:rFonts w:ascii="Arial" w:hAnsi="Arial"/>
                <w:snapToGrid w:val="0"/>
              </w:rPr>
              <w:t>施工日志</w:t>
            </w:r>
            <w:r>
              <w:rPr>
                <w:rFonts w:hint="eastAsia" w:ascii="Arial" w:hAnsi="Arial"/>
                <w:snapToGrid w:val="0"/>
              </w:rPr>
              <w:t>；</w:t>
            </w:r>
          </w:p>
          <w:p w14:paraId="0ABCEF64">
            <w:pPr>
              <w:pStyle w:val="40"/>
              <w:jc w:val="left"/>
              <w:rPr>
                <w:rFonts w:ascii="Arial" w:hAnsi="Arial"/>
                <w:snapToGrid w:val="0"/>
              </w:rPr>
            </w:pPr>
            <w:r>
              <w:rPr>
                <w:rFonts w:ascii="Arial" w:hAnsi="Arial"/>
                <w:snapToGrid w:val="0"/>
              </w:rPr>
              <w:t>11.</w:t>
            </w:r>
            <w:r>
              <w:rPr>
                <w:rFonts w:hint="eastAsia" w:ascii="Arial" w:hAnsi="Arial"/>
                <w:snapToGrid w:val="0"/>
              </w:rPr>
              <w:t xml:space="preserve"> </w:t>
            </w:r>
            <w:r>
              <w:rPr>
                <w:rFonts w:ascii="Arial" w:hAnsi="Arial"/>
                <w:snapToGrid w:val="0"/>
              </w:rPr>
              <w:t>影像资料等。</w:t>
            </w:r>
          </w:p>
        </w:tc>
      </w:tr>
      <w:tr w14:paraId="51DF9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4ECD8A2D">
            <w:pPr>
              <w:pStyle w:val="40"/>
              <w:rPr>
                <w:rFonts w:ascii="Arial" w:hAnsi="Arial"/>
                <w:snapToGrid w:val="0"/>
                <w:lang w:eastAsia="en-US"/>
              </w:rPr>
            </w:pPr>
            <w:r>
              <w:rPr>
                <w:rFonts w:ascii="Arial" w:hAnsi="Arial"/>
                <w:snapToGrid w:val="0"/>
                <w:lang w:eastAsia="en-US"/>
              </w:rPr>
              <w:t>监理类</w:t>
            </w:r>
          </w:p>
        </w:tc>
        <w:tc>
          <w:tcPr>
            <w:tcW w:w="3944" w:type="pct"/>
            <w:vAlign w:val="center"/>
          </w:tcPr>
          <w:p w14:paraId="3E3ABF48">
            <w:pPr>
              <w:pStyle w:val="40"/>
              <w:jc w:val="left"/>
              <w:rPr>
                <w:rFonts w:ascii="Arial" w:hAnsi="Arial"/>
                <w:snapToGrid w:val="0"/>
              </w:rPr>
            </w:pPr>
            <w:r>
              <w:rPr>
                <w:rFonts w:ascii="Arial" w:hAnsi="Arial"/>
                <w:snapToGrid w:val="0"/>
              </w:rPr>
              <w:t>1.</w:t>
            </w:r>
            <w:r>
              <w:rPr>
                <w:rFonts w:hint="eastAsia" w:ascii="Arial" w:hAnsi="Arial"/>
                <w:snapToGrid w:val="0"/>
              </w:rPr>
              <w:t xml:space="preserve"> </w:t>
            </w:r>
            <w:r>
              <w:rPr>
                <w:rFonts w:ascii="Arial" w:hAnsi="Arial"/>
                <w:snapToGrid w:val="0"/>
              </w:rPr>
              <w:t>监理报告</w:t>
            </w:r>
            <w:r>
              <w:rPr>
                <w:rFonts w:hint="eastAsia" w:ascii="Arial" w:hAnsi="Arial"/>
                <w:snapToGrid w:val="0"/>
              </w:rPr>
              <w:t>；</w:t>
            </w:r>
          </w:p>
          <w:p w14:paraId="6EC90C50">
            <w:pPr>
              <w:pStyle w:val="40"/>
              <w:jc w:val="left"/>
              <w:rPr>
                <w:rFonts w:ascii="Arial" w:hAnsi="Arial"/>
                <w:snapToGrid w:val="0"/>
              </w:rPr>
            </w:pPr>
            <w:r>
              <w:rPr>
                <w:rFonts w:ascii="Arial" w:hAnsi="Arial"/>
                <w:snapToGrid w:val="0"/>
              </w:rPr>
              <w:t>2.</w:t>
            </w:r>
            <w:r>
              <w:rPr>
                <w:rFonts w:hint="eastAsia" w:ascii="Arial" w:hAnsi="Arial"/>
                <w:snapToGrid w:val="0"/>
              </w:rPr>
              <w:t xml:space="preserve"> </w:t>
            </w:r>
            <w:r>
              <w:rPr>
                <w:rFonts w:ascii="Arial" w:hAnsi="Arial"/>
                <w:snapToGrid w:val="0"/>
              </w:rPr>
              <w:t>监理企业营业执照及相关执业资格证书</w:t>
            </w:r>
            <w:r>
              <w:rPr>
                <w:rFonts w:hint="eastAsia" w:ascii="Arial" w:hAnsi="Arial"/>
                <w:snapToGrid w:val="0"/>
              </w:rPr>
              <w:t>；</w:t>
            </w:r>
          </w:p>
          <w:p w14:paraId="31EA4D21">
            <w:pPr>
              <w:pStyle w:val="40"/>
              <w:jc w:val="left"/>
              <w:rPr>
                <w:rFonts w:ascii="Arial" w:hAnsi="Arial"/>
                <w:snapToGrid w:val="0"/>
              </w:rPr>
            </w:pPr>
            <w:r>
              <w:rPr>
                <w:rFonts w:ascii="Arial" w:hAnsi="Arial"/>
                <w:snapToGrid w:val="0"/>
              </w:rPr>
              <w:t>3.</w:t>
            </w:r>
            <w:r>
              <w:rPr>
                <w:rFonts w:hint="eastAsia" w:ascii="Arial" w:hAnsi="Arial"/>
                <w:snapToGrid w:val="0"/>
              </w:rPr>
              <w:t xml:space="preserve"> </w:t>
            </w:r>
            <w:r>
              <w:rPr>
                <w:rFonts w:ascii="Arial" w:hAnsi="Arial"/>
                <w:snapToGrid w:val="0"/>
              </w:rPr>
              <w:t>监理规划</w:t>
            </w:r>
            <w:r>
              <w:rPr>
                <w:rFonts w:hint="eastAsia" w:ascii="Arial" w:hAnsi="Arial"/>
                <w:snapToGrid w:val="0"/>
              </w:rPr>
              <w:t>；</w:t>
            </w:r>
          </w:p>
          <w:p w14:paraId="049DAC68">
            <w:pPr>
              <w:pStyle w:val="40"/>
              <w:jc w:val="left"/>
              <w:rPr>
                <w:rFonts w:ascii="Arial" w:hAnsi="Arial"/>
                <w:snapToGrid w:val="0"/>
              </w:rPr>
            </w:pPr>
            <w:r>
              <w:rPr>
                <w:rFonts w:ascii="Arial" w:hAnsi="Arial"/>
                <w:snapToGrid w:val="0"/>
              </w:rPr>
              <w:t>4.</w:t>
            </w:r>
            <w:r>
              <w:rPr>
                <w:rFonts w:hint="eastAsia" w:ascii="Arial" w:hAnsi="Arial"/>
                <w:snapToGrid w:val="0"/>
              </w:rPr>
              <w:t xml:space="preserve"> </w:t>
            </w:r>
            <w:r>
              <w:rPr>
                <w:rFonts w:ascii="Arial" w:hAnsi="Arial"/>
                <w:snapToGrid w:val="0"/>
              </w:rPr>
              <w:t>主要材料复检记录</w:t>
            </w:r>
            <w:r>
              <w:rPr>
                <w:rFonts w:hint="eastAsia" w:ascii="Arial" w:hAnsi="Arial"/>
                <w:snapToGrid w:val="0"/>
              </w:rPr>
              <w:t>；</w:t>
            </w:r>
          </w:p>
          <w:p w14:paraId="2FEBB4D9">
            <w:pPr>
              <w:pStyle w:val="40"/>
              <w:jc w:val="left"/>
              <w:rPr>
                <w:rFonts w:ascii="Arial" w:hAnsi="Arial"/>
                <w:snapToGrid w:val="0"/>
              </w:rPr>
            </w:pPr>
            <w:r>
              <w:rPr>
                <w:rFonts w:ascii="Arial" w:hAnsi="Arial"/>
                <w:snapToGrid w:val="0"/>
              </w:rPr>
              <w:t>5.</w:t>
            </w:r>
            <w:r>
              <w:rPr>
                <w:rFonts w:hint="eastAsia" w:ascii="Arial" w:hAnsi="Arial"/>
                <w:snapToGrid w:val="0"/>
              </w:rPr>
              <w:t xml:space="preserve"> </w:t>
            </w:r>
            <w:r>
              <w:rPr>
                <w:rFonts w:ascii="Arial" w:hAnsi="Arial"/>
                <w:snapToGrid w:val="0"/>
              </w:rPr>
              <w:t>隐蔽工程验收记录</w:t>
            </w:r>
            <w:r>
              <w:rPr>
                <w:rFonts w:hint="eastAsia" w:ascii="Arial" w:hAnsi="Arial"/>
                <w:snapToGrid w:val="0"/>
              </w:rPr>
              <w:t>；</w:t>
            </w:r>
          </w:p>
          <w:p w14:paraId="0085C2FA">
            <w:pPr>
              <w:pStyle w:val="40"/>
              <w:jc w:val="left"/>
              <w:rPr>
                <w:rFonts w:ascii="Arial" w:hAnsi="Arial"/>
                <w:snapToGrid w:val="0"/>
              </w:rPr>
            </w:pPr>
            <w:r>
              <w:rPr>
                <w:rFonts w:ascii="Arial" w:hAnsi="Arial"/>
                <w:snapToGrid w:val="0"/>
              </w:rPr>
              <w:t>6.</w:t>
            </w:r>
            <w:r>
              <w:rPr>
                <w:rFonts w:hint="eastAsia" w:ascii="Arial" w:hAnsi="Arial"/>
                <w:snapToGrid w:val="0"/>
              </w:rPr>
              <w:t xml:space="preserve"> </w:t>
            </w:r>
            <w:r>
              <w:rPr>
                <w:rFonts w:ascii="Arial" w:hAnsi="Arial"/>
                <w:snapToGrid w:val="0"/>
              </w:rPr>
              <w:t>工程联系单</w:t>
            </w:r>
            <w:r>
              <w:rPr>
                <w:rFonts w:hint="eastAsia" w:ascii="Arial" w:hAnsi="Arial"/>
                <w:snapToGrid w:val="0"/>
              </w:rPr>
              <w:t>；</w:t>
            </w:r>
          </w:p>
          <w:p w14:paraId="269591A4">
            <w:pPr>
              <w:pStyle w:val="40"/>
              <w:jc w:val="left"/>
              <w:rPr>
                <w:rFonts w:ascii="Arial" w:hAnsi="Arial"/>
                <w:snapToGrid w:val="0"/>
              </w:rPr>
            </w:pPr>
            <w:r>
              <w:rPr>
                <w:rFonts w:ascii="Arial" w:hAnsi="Arial"/>
                <w:snapToGrid w:val="0"/>
              </w:rPr>
              <w:t>7.</w:t>
            </w:r>
            <w:r>
              <w:rPr>
                <w:rFonts w:hint="eastAsia" w:ascii="Arial" w:hAnsi="Arial"/>
                <w:snapToGrid w:val="0"/>
              </w:rPr>
              <w:t xml:space="preserve"> </w:t>
            </w:r>
            <w:r>
              <w:rPr>
                <w:rFonts w:ascii="Arial" w:hAnsi="Arial"/>
                <w:snapToGrid w:val="0"/>
              </w:rPr>
              <w:t>分部、分项、整体工程质量检验与评定记录</w:t>
            </w:r>
            <w:r>
              <w:rPr>
                <w:rFonts w:hint="eastAsia" w:ascii="Arial" w:hAnsi="Arial"/>
                <w:snapToGrid w:val="0"/>
              </w:rPr>
              <w:t>；</w:t>
            </w:r>
          </w:p>
          <w:p w14:paraId="5301097C">
            <w:pPr>
              <w:pStyle w:val="40"/>
              <w:jc w:val="left"/>
              <w:rPr>
                <w:rFonts w:ascii="Arial" w:hAnsi="Arial"/>
                <w:snapToGrid w:val="0"/>
              </w:rPr>
            </w:pPr>
            <w:r>
              <w:rPr>
                <w:rFonts w:ascii="Arial" w:hAnsi="Arial"/>
                <w:snapToGrid w:val="0"/>
              </w:rPr>
              <w:t>8.</w:t>
            </w:r>
            <w:r>
              <w:rPr>
                <w:rFonts w:hint="eastAsia" w:ascii="Arial" w:hAnsi="Arial"/>
                <w:snapToGrid w:val="0"/>
              </w:rPr>
              <w:t xml:space="preserve"> </w:t>
            </w:r>
            <w:r>
              <w:rPr>
                <w:rFonts w:ascii="Arial" w:hAnsi="Arial"/>
                <w:snapToGrid w:val="0"/>
              </w:rPr>
              <w:t>会议纪要</w:t>
            </w:r>
            <w:r>
              <w:rPr>
                <w:rFonts w:hint="eastAsia" w:ascii="Arial" w:hAnsi="Arial"/>
                <w:snapToGrid w:val="0"/>
              </w:rPr>
              <w:t>；</w:t>
            </w:r>
          </w:p>
          <w:p w14:paraId="69D5B545">
            <w:pPr>
              <w:pStyle w:val="40"/>
              <w:jc w:val="left"/>
              <w:rPr>
                <w:rFonts w:ascii="Arial" w:hAnsi="Arial"/>
                <w:snapToGrid w:val="0"/>
              </w:rPr>
            </w:pPr>
            <w:r>
              <w:rPr>
                <w:rFonts w:ascii="Arial" w:hAnsi="Arial"/>
                <w:snapToGrid w:val="0"/>
              </w:rPr>
              <w:t>9.</w:t>
            </w:r>
            <w:r>
              <w:rPr>
                <w:rFonts w:hint="eastAsia" w:ascii="Arial" w:hAnsi="Arial"/>
                <w:snapToGrid w:val="0"/>
              </w:rPr>
              <w:t xml:space="preserve"> </w:t>
            </w:r>
            <w:r>
              <w:rPr>
                <w:rFonts w:ascii="Arial" w:hAnsi="Arial"/>
                <w:snapToGrid w:val="0"/>
              </w:rPr>
              <w:t>监理日志</w:t>
            </w:r>
            <w:r>
              <w:rPr>
                <w:rFonts w:hint="eastAsia" w:ascii="Arial" w:hAnsi="Arial"/>
                <w:snapToGrid w:val="0"/>
              </w:rPr>
              <w:t>；</w:t>
            </w:r>
          </w:p>
          <w:p w14:paraId="46980AB5">
            <w:pPr>
              <w:pStyle w:val="40"/>
              <w:jc w:val="left"/>
              <w:rPr>
                <w:rFonts w:ascii="Arial" w:hAnsi="Arial"/>
                <w:snapToGrid w:val="0"/>
              </w:rPr>
            </w:pPr>
            <w:r>
              <w:rPr>
                <w:rFonts w:ascii="Arial" w:hAnsi="Arial"/>
                <w:snapToGrid w:val="0"/>
              </w:rPr>
              <w:t>10.</w:t>
            </w:r>
            <w:r>
              <w:rPr>
                <w:rFonts w:hint="eastAsia" w:ascii="Arial" w:hAnsi="Arial"/>
                <w:snapToGrid w:val="0"/>
              </w:rPr>
              <w:t xml:space="preserve"> </w:t>
            </w:r>
            <w:r>
              <w:rPr>
                <w:rFonts w:ascii="Arial" w:hAnsi="Arial"/>
                <w:snapToGrid w:val="0"/>
              </w:rPr>
              <w:t>影像资料等。</w:t>
            </w:r>
          </w:p>
        </w:tc>
      </w:tr>
      <w:tr w14:paraId="0DDF0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09DCADD8">
            <w:pPr>
              <w:pStyle w:val="40"/>
              <w:rPr>
                <w:rFonts w:ascii="Arial" w:hAnsi="Arial"/>
                <w:snapToGrid w:val="0"/>
                <w:lang w:eastAsia="en-US"/>
              </w:rPr>
            </w:pPr>
            <w:r>
              <w:rPr>
                <w:rFonts w:ascii="Arial" w:hAnsi="Arial"/>
                <w:snapToGrid w:val="0"/>
                <w:lang w:eastAsia="en-US"/>
              </w:rPr>
              <w:t>财务类</w:t>
            </w:r>
          </w:p>
        </w:tc>
        <w:tc>
          <w:tcPr>
            <w:tcW w:w="3944" w:type="pct"/>
            <w:vAlign w:val="center"/>
          </w:tcPr>
          <w:p w14:paraId="7205E83F">
            <w:pPr>
              <w:pStyle w:val="40"/>
              <w:jc w:val="left"/>
              <w:rPr>
                <w:rFonts w:ascii="Arial" w:hAnsi="Arial"/>
                <w:snapToGrid w:val="0"/>
              </w:rPr>
            </w:pPr>
            <w:r>
              <w:rPr>
                <w:rFonts w:ascii="Arial" w:hAnsi="Arial"/>
                <w:snapToGrid w:val="0"/>
              </w:rPr>
              <w:t>1.</w:t>
            </w:r>
            <w:r>
              <w:rPr>
                <w:rFonts w:hint="eastAsia" w:ascii="Arial" w:hAnsi="Arial"/>
                <w:snapToGrid w:val="0"/>
              </w:rPr>
              <w:t xml:space="preserve"> </w:t>
            </w:r>
            <w:r>
              <w:rPr>
                <w:rFonts w:ascii="Arial" w:hAnsi="Arial"/>
                <w:snapToGrid w:val="0"/>
              </w:rPr>
              <w:t>工程预算费用证明文件</w:t>
            </w:r>
            <w:r>
              <w:rPr>
                <w:rFonts w:hint="eastAsia" w:ascii="Arial" w:hAnsi="Arial"/>
                <w:snapToGrid w:val="0"/>
              </w:rPr>
              <w:t>；</w:t>
            </w:r>
          </w:p>
          <w:p w14:paraId="67AB9C3D">
            <w:pPr>
              <w:pStyle w:val="40"/>
              <w:jc w:val="left"/>
              <w:rPr>
                <w:rFonts w:ascii="Arial" w:hAnsi="Arial"/>
                <w:snapToGrid w:val="0"/>
              </w:rPr>
            </w:pPr>
            <w:r>
              <w:rPr>
                <w:rFonts w:ascii="Arial" w:hAnsi="Arial"/>
                <w:snapToGrid w:val="0"/>
              </w:rPr>
              <w:t>2.</w:t>
            </w:r>
            <w:r>
              <w:rPr>
                <w:rFonts w:hint="eastAsia" w:ascii="Arial" w:hAnsi="Arial"/>
                <w:snapToGrid w:val="0"/>
              </w:rPr>
              <w:t xml:space="preserve"> </w:t>
            </w:r>
            <w:r>
              <w:rPr>
                <w:rFonts w:ascii="Arial" w:hAnsi="Arial"/>
                <w:snapToGrid w:val="0"/>
              </w:rPr>
              <w:t>工程款收支凭证及汇总表</w:t>
            </w:r>
            <w:r>
              <w:rPr>
                <w:rFonts w:hint="eastAsia" w:ascii="Arial" w:hAnsi="Arial"/>
                <w:snapToGrid w:val="0"/>
              </w:rPr>
              <w:t>；</w:t>
            </w:r>
          </w:p>
          <w:p w14:paraId="3D95CAF8">
            <w:pPr>
              <w:pStyle w:val="40"/>
              <w:jc w:val="left"/>
              <w:rPr>
                <w:rFonts w:ascii="Arial" w:hAnsi="Arial"/>
                <w:snapToGrid w:val="0"/>
              </w:rPr>
            </w:pPr>
            <w:r>
              <w:rPr>
                <w:rFonts w:ascii="Arial" w:hAnsi="Arial"/>
                <w:snapToGrid w:val="0"/>
              </w:rPr>
              <w:t>3.</w:t>
            </w:r>
            <w:r>
              <w:rPr>
                <w:rFonts w:hint="eastAsia" w:ascii="Arial" w:hAnsi="Arial"/>
                <w:snapToGrid w:val="0"/>
              </w:rPr>
              <w:t xml:space="preserve"> </w:t>
            </w:r>
            <w:r>
              <w:rPr>
                <w:rFonts w:ascii="Arial" w:hAnsi="Arial"/>
                <w:snapToGrid w:val="0"/>
              </w:rPr>
              <w:t>工程施工费用清单</w:t>
            </w:r>
            <w:r>
              <w:rPr>
                <w:rFonts w:hint="eastAsia" w:ascii="Arial" w:hAnsi="Arial"/>
                <w:snapToGrid w:val="0"/>
              </w:rPr>
              <w:t>；</w:t>
            </w:r>
          </w:p>
          <w:p w14:paraId="36985AC5">
            <w:pPr>
              <w:pStyle w:val="40"/>
              <w:jc w:val="left"/>
              <w:rPr>
                <w:rFonts w:ascii="Arial" w:hAnsi="Arial"/>
                <w:snapToGrid w:val="0"/>
              </w:rPr>
            </w:pPr>
            <w:r>
              <w:rPr>
                <w:rFonts w:ascii="Arial" w:hAnsi="Arial"/>
                <w:snapToGrid w:val="0"/>
              </w:rPr>
              <w:t>4.</w:t>
            </w:r>
            <w:r>
              <w:rPr>
                <w:rFonts w:hint="eastAsia" w:ascii="Arial" w:hAnsi="Arial"/>
                <w:snapToGrid w:val="0"/>
              </w:rPr>
              <w:t xml:space="preserve"> </w:t>
            </w:r>
            <w:r>
              <w:rPr>
                <w:rFonts w:ascii="Arial" w:hAnsi="Arial"/>
                <w:snapToGrid w:val="0"/>
              </w:rPr>
              <w:t>其他财务资料</w:t>
            </w:r>
            <w:r>
              <w:rPr>
                <w:rFonts w:hint="eastAsia" w:ascii="Arial" w:hAnsi="Arial"/>
                <w:snapToGrid w:val="0"/>
              </w:rPr>
              <w:t>。</w:t>
            </w:r>
          </w:p>
        </w:tc>
      </w:tr>
    </w:tbl>
    <w:p w14:paraId="401366D1">
      <w:pPr>
        <w:sectPr>
          <w:pgSz w:w="11906" w:h="16838"/>
          <w:pgMar w:top="567" w:right="1134" w:bottom="1134" w:left="1418" w:header="1418" w:footer="1134" w:gutter="0"/>
          <w:cols w:space="425" w:num="1"/>
          <w:docGrid w:type="lines" w:linePitch="312" w:charSpace="0"/>
        </w:sectPr>
      </w:pPr>
    </w:p>
    <w:p w14:paraId="435C430E">
      <w:pPr>
        <w:pStyle w:val="60"/>
        <w:numPr>
          <w:ilvl w:val="0"/>
          <w:numId w:val="3"/>
        </w:numPr>
        <w:tabs>
          <w:tab w:val="clear" w:pos="432"/>
        </w:tabs>
        <w:adjustRightInd/>
        <w:snapToGrid/>
      </w:pPr>
      <w:bookmarkStart w:id="223" w:name="_Toc16831"/>
      <w:r>
        <w:br w:type="textWrapping"/>
      </w:r>
      <w:bookmarkStart w:id="224" w:name="_Toc218763814"/>
      <w:bookmarkStart w:id="225" w:name="_Toc218763143"/>
      <w:bookmarkStart w:id="226" w:name="_Toc218963349"/>
      <w:r>
        <w:t>（</w:t>
      </w:r>
      <w:r>
        <w:rPr>
          <w:rFonts w:hint="eastAsia"/>
        </w:rPr>
        <w:t>规范</w:t>
      </w:r>
      <w:r>
        <w:t>性）</w:t>
      </w:r>
      <w:r>
        <w:br w:type="textWrapping"/>
      </w:r>
      <w:r>
        <w:rPr>
          <w:rFonts w:hint="eastAsia"/>
        </w:rPr>
        <w:t>露天矿坑生态修复工程验收意见书格式</w:t>
      </w:r>
      <w:bookmarkEnd w:id="223"/>
      <w:bookmarkEnd w:id="224"/>
      <w:bookmarkEnd w:id="225"/>
      <w:bookmarkEnd w:id="226"/>
    </w:p>
    <w:p w14:paraId="458555D7">
      <w:pPr>
        <w:pStyle w:val="45"/>
        <w:adjustRightInd/>
        <w:snapToGrid/>
        <w:ind w:firstLine="420"/>
        <w:rPr>
          <w:rFonts w:eastAsia="黑体"/>
          <w:kern w:val="21"/>
        </w:rPr>
      </w:pPr>
      <w:r>
        <w:rPr>
          <w:rFonts w:hint="eastAsia" w:eastAsia="黑体"/>
          <w:kern w:val="21"/>
        </w:rPr>
        <w:t>B</w:t>
      </w:r>
      <w:r>
        <w:rPr>
          <w:rFonts w:eastAsia="黑体"/>
          <w:kern w:val="21"/>
        </w:rPr>
        <w:t>.1</w:t>
      </w:r>
      <w:r>
        <w:rPr>
          <w:rFonts w:hint="eastAsia" w:eastAsia="黑体"/>
          <w:kern w:val="21"/>
        </w:rPr>
        <w:t xml:space="preserve"> </w:t>
      </w:r>
      <w:r>
        <w:rPr>
          <w:rFonts w:eastAsia="黑体"/>
          <w:kern w:val="21"/>
        </w:rPr>
        <w:t>露天矿坑生态修复工程（项目）验收意见书格式见</w:t>
      </w:r>
      <w:r>
        <w:rPr>
          <w:rFonts w:hint="eastAsia" w:eastAsia="黑体"/>
          <w:kern w:val="21"/>
        </w:rPr>
        <w:t>B</w:t>
      </w:r>
      <w:r>
        <w:rPr>
          <w:rFonts w:eastAsia="黑体"/>
          <w:kern w:val="21"/>
        </w:rPr>
        <w:t>.1~</w:t>
      </w:r>
      <w:r>
        <w:rPr>
          <w:rFonts w:hint="eastAsia" w:eastAsia="黑体"/>
          <w:kern w:val="21"/>
        </w:rPr>
        <w:t>B</w:t>
      </w:r>
      <w:r>
        <w:rPr>
          <w:rFonts w:eastAsia="黑体"/>
          <w:kern w:val="21"/>
        </w:rPr>
        <w:t>.4表。</w:t>
      </w:r>
    </w:p>
    <w:p w14:paraId="273AE635">
      <w:pPr>
        <w:pStyle w:val="67"/>
        <w:spacing w:before="156" w:beforeLines="50" w:after="156" w:afterLines="50"/>
      </w:pPr>
      <w:r>
        <w:t>表</w:t>
      </w:r>
      <w:r>
        <w:rPr>
          <w:rFonts w:hint="eastAsia"/>
        </w:rPr>
        <w:t>C</w:t>
      </w:r>
      <w:r>
        <w:t xml:space="preserve">.1 </w:t>
      </w:r>
      <w:r>
        <w:rPr>
          <w:rFonts w:hint="eastAsia"/>
        </w:rPr>
        <w:t xml:space="preserve"> </w:t>
      </w:r>
      <w:r>
        <w:t>露天矿坑生态修复工程验收报告封面</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0"/>
      </w:tblGrid>
      <w:tr w14:paraId="1E03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69" w:hRule="atLeast"/>
        </w:trPr>
        <w:tc>
          <w:tcPr>
            <w:tcW w:w="5000" w:type="pct"/>
          </w:tcPr>
          <w:p w14:paraId="199E5593">
            <w:pPr>
              <w:pStyle w:val="42"/>
              <w:rPr>
                <w:rFonts w:eastAsia="Times New Roman"/>
              </w:rPr>
            </w:pPr>
          </w:p>
          <w:p w14:paraId="6A45A577">
            <w:pPr>
              <w:pStyle w:val="42"/>
              <w:rPr>
                <w:rFonts w:eastAsia="Times New Roman"/>
              </w:rPr>
            </w:pPr>
          </w:p>
          <w:p w14:paraId="0CE9C7DC">
            <w:pPr>
              <w:pStyle w:val="42"/>
              <w:rPr>
                <w:rFonts w:eastAsia="Times New Roman"/>
              </w:rPr>
            </w:pPr>
          </w:p>
          <w:p w14:paraId="7FA4FF89">
            <w:pPr>
              <w:pStyle w:val="42"/>
              <w:rPr>
                <w:rFonts w:eastAsia="Times New Roman"/>
              </w:rPr>
            </w:pPr>
          </w:p>
          <w:p w14:paraId="77EC28F2">
            <w:pPr>
              <w:pStyle w:val="42"/>
              <w:rPr>
                <w:rFonts w:eastAsia="Times New Roman"/>
              </w:rPr>
            </w:pPr>
          </w:p>
          <w:p w14:paraId="39EBC79F">
            <w:pPr>
              <w:pStyle w:val="42"/>
              <w:rPr>
                <w:rFonts w:eastAsia="Times New Roman"/>
              </w:rPr>
            </w:pPr>
          </w:p>
          <w:p w14:paraId="2555F468">
            <w:pPr>
              <w:pStyle w:val="42"/>
              <w:rPr>
                <w:rFonts w:eastAsia="Times New Roman"/>
              </w:rPr>
            </w:pPr>
          </w:p>
          <w:p w14:paraId="6D8E04DB">
            <w:pPr>
              <w:pStyle w:val="42"/>
              <w:rPr>
                <w:rFonts w:eastAsia="Times New Roman"/>
              </w:rPr>
            </w:pPr>
          </w:p>
          <w:p w14:paraId="7C5D45E8">
            <w:pPr>
              <w:pStyle w:val="42"/>
              <w:ind w:firstLine="0" w:firstLineChars="0"/>
              <w:jc w:val="center"/>
              <w:rPr>
                <w:rFonts w:hint="eastAsia" w:ascii="黑体" w:hAnsi="黑体" w:eastAsia="黑体"/>
                <w:sz w:val="44"/>
                <w:szCs w:val="44"/>
              </w:rPr>
            </w:pPr>
            <w:r>
              <w:rPr>
                <w:rFonts w:hint="eastAsia" w:ascii="黑体" w:hAnsi="黑体" w:eastAsia="黑体"/>
                <w:sz w:val="44"/>
                <w:szCs w:val="44"/>
              </w:rPr>
              <w:t>工程（项目）名称</w:t>
            </w:r>
          </w:p>
          <w:p w14:paraId="214FDB55">
            <w:pPr>
              <w:pStyle w:val="42"/>
              <w:ind w:firstLine="0" w:firstLineChars="0"/>
              <w:jc w:val="center"/>
              <w:rPr>
                <w:rFonts w:hint="eastAsia" w:ascii="黑体" w:hAnsi="黑体" w:eastAsia="黑体"/>
                <w:sz w:val="44"/>
                <w:szCs w:val="44"/>
              </w:rPr>
            </w:pPr>
            <w:r>
              <w:rPr>
                <w:rFonts w:hint="eastAsia" w:ascii="黑体" w:hAnsi="黑体" w:eastAsia="黑体"/>
                <w:sz w:val="44"/>
                <w:szCs w:val="44"/>
              </w:rPr>
              <w:t>（工程自验、最终验收）报告</w:t>
            </w:r>
          </w:p>
          <w:p w14:paraId="0F9DFDB6">
            <w:pPr>
              <w:pStyle w:val="42"/>
              <w:ind w:firstLine="0" w:firstLineChars="0"/>
              <w:jc w:val="center"/>
              <w:rPr>
                <w:rFonts w:eastAsia="Times New Roman"/>
              </w:rPr>
            </w:pPr>
            <w:r>
              <w:rPr>
                <w:rFonts w:hint="eastAsia" w:eastAsia="Times New Roman"/>
              </w:rPr>
              <w:t>（黑体二号）</w:t>
            </w:r>
          </w:p>
          <w:p w14:paraId="3B1ADA94">
            <w:pPr>
              <w:pStyle w:val="42"/>
              <w:rPr>
                <w:rFonts w:eastAsia="Times New Roman"/>
              </w:rPr>
            </w:pPr>
          </w:p>
          <w:p w14:paraId="104020BB">
            <w:pPr>
              <w:pStyle w:val="42"/>
              <w:rPr>
                <w:rFonts w:eastAsia="Times New Roman"/>
              </w:rPr>
            </w:pPr>
          </w:p>
          <w:p w14:paraId="07346BEC">
            <w:pPr>
              <w:pStyle w:val="42"/>
              <w:rPr>
                <w:rFonts w:eastAsia="Times New Roman"/>
              </w:rPr>
            </w:pPr>
          </w:p>
          <w:p w14:paraId="011CE2E1">
            <w:pPr>
              <w:pStyle w:val="42"/>
              <w:rPr>
                <w:rFonts w:eastAsia="Times New Roman"/>
              </w:rPr>
            </w:pPr>
          </w:p>
          <w:p w14:paraId="4C38704F">
            <w:pPr>
              <w:pStyle w:val="42"/>
              <w:rPr>
                <w:rFonts w:eastAsia="Times New Roman"/>
              </w:rPr>
            </w:pPr>
          </w:p>
          <w:p w14:paraId="2C3964BD">
            <w:pPr>
              <w:pStyle w:val="42"/>
              <w:rPr>
                <w:rFonts w:eastAsia="Times New Roman"/>
              </w:rPr>
            </w:pPr>
          </w:p>
          <w:p w14:paraId="30DA6407">
            <w:pPr>
              <w:pStyle w:val="42"/>
              <w:rPr>
                <w:rFonts w:eastAsia="Times New Roman"/>
              </w:rPr>
            </w:pPr>
          </w:p>
          <w:p w14:paraId="453C3151">
            <w:pPr>
              <w:pStyle w:val="42"/>
              <w:rPr>
                <w:rFonts w:eastAsia="Times New Roman"/>
              </w:rPr>
            </w:pPr>
          </w:p>
          <w:p w14:paraId="313CC2EC">
            <w:pPr>
              <w:pStyle w:val="42"/>
              <w:rPr>
                <w:rFonts w:eastAsia="Times New Roman"/>
              </w:rPr>
            </w:pPr>
          </w:p>
          <w:p w14:paraId="030EB10E">
            <w:pPr>
              <w:pStyle w:val="42"/>
              <w:rPr>
                <w:rFonts w:eastAsia="Times New Roman"/>
              </w:rPr>
            </w:pPr>
          </w:p>
          <w:p w14:paraId="65AB06FA">
            <w:pPr>
              <w:pStyle w:val="42"/>
              <w:rPr>
                <w:rFonts w:eastAsia="Times New Roman"/>
              </w:rPr>
            </w:pPr>
          </w:p>
          <w:p w14:paraId="6D379B0F">
            <w:pPr>
              <w:pStyle w:val="42"/>
              <w:rPr>
                <w:rFonts w:eastAsia="Times New Roman"/>
              </w:rPr>
            </w:pPr>
          </w:p>
          <w:p w14:paraId="0944710F">
            <w:pPr>
              <w:pStyle w:val="42"/>
              <w:rPr>
                <w:rFonts w:eastAsia="Times New Roman"/>
              </w:rPr>
            </w:pPr>
          </w:p>
          <w:p w14:paraId="21B2016D">
            <w:pPr>
              <w:pStyle w:val="42"/>
              <w:rPr>
                <w:rFonts w:eastAsia="Times New Roman"/>
              </w:rPr>
            </w:pPr>
          </w:p>
          <w:p w14:paraId="44ED762F">
            <w:pPr>
              <w:pStyle w:val="42"/>
              <w:rPr>
                <w:rFonts w:eastAsia="Times New Roman"/>
              </w:rPr>
            </w:pPr>
          </w:p>
          <w:p w14:paraId="64DBBCC4">
            <w:pPr>
              <w:pStyle w:val="42"/>
              <w:rPr>
                <w:rFonts w:eastAsia="Times New Roman"/>
              </w:rPr>
            </w:pPr>
          </w:p>
          <w:p w14:paraId="5CE5A748">
            <w:pPr>
              <w:pStyle w:val="42"/>
              <w:rPr>
                <w:rFonts w:eastAsia="Times New Roman"/>
              </w:rPr>
            </w:pPr>
          </w:p>
          <w:p w14:paraId="714F6D90">
            <w:pPr>
              <w:pStyle w:val="42"/>
              <w:rPr>
                <w:rFonts w:eastAsia="Times New Roman"/>
              </w:rPr>
            </w:pPr>
          </w:p>
          <w:p w14:paraId="0F2B298C">
            <w:pPr>
              <w:pStyle w:val="42"/>
              <w:rPr>
                <w:rFonts w:eastAsia="Times New Roman"/>
              </w:rPr>
            </w:pPr>
          </w:p>
          <w:p w14:paraId="05E599A2">
            <w:pPr>
              <w:pStyle w:val="42"/>
              <w:rPr>
                <w:rFonts w:eastAsia="Times New Roman"/>
              </w:rPr>
            </w:pPr>
          </w:p>
          <w:p w14:paraId="5443910D">
            <w:pPr>
              <w:pStyle w:val="42"/>
              <w:rPr>
                <w:rFonts w:eastAsia="Times New Roman"/>
              </w:rPr>
            </w:pPr>
          </w:p>
          <w:p w14:paraId="3F207837">
            <w:pPr>
              <w:pStyle w:val="42"/>
              <w:rPr>
                <w:rFonts w:eastAsia="Times New Roman"/>
              </w:rPr>
            </w:pPr>
          </w:p>
          <w:p w14:paraId="5BB09D50">
            <w:pPr>
              <w:pStyle w:val="42"/>
              <w:rPr>
                <w:rFonts w:eastAsia="Times New Roman"/>
              </w:rPr>
            </w:pPr>
          </w:p>
          <w:p w14:paraId="218FDCE8">
            <w:pPr>
              <w:pStyle w:val="42"/>
              <w:rPr>
                <w:rFonts w:eastAsia="Times New Roman"/>
              </w:rPr>
            </w:pPr>
          </w:p>
          <w:p w14:paraId="271A77C4">
            <w:pPr>
              <w:pStyle w:val="42"/>
              <w:rPr>
                <w:rFonts w:eastAsia="Times New Roman"/>
              </w:rPr>
            </w:pPr>
          </w:p>
          <w:p w14:paraId="3D71589E">
            <w:pPr>
              <w:ind w:firstLine="1920" w:firstLineChars="600"/>
              <w:rPr>
                <w:rFonts w:eastAsia="Times New Roman"/>
                <w:sz w:val="32"/>
                <w:szCs w:val="32"/>
              </w:rPr>
            </w:pPr>
            <w:r>
              <w:rPr>
                <w:rFonts w:hint="eastAsia" w:eastAsia="Times New Roman"/>
                <w:sz w:val="32"/>
                <w:szCs w:val="32"/>
              </w:rPr>
              <w:t>组织验收单位：</w:t>
            </w:r>
          </w:p>
          <w:p w14:paraId="40618B00">
            <w:pPr>
              <w:pStyle w:val="42"/>
              <w:ind w:firstLine="0" w:firstLineChars="0"/>
              <w:jc w:val="center"/>
              <w:rPr>
                <w:rFonts w:eastAsia="Times New Roman"/>
                <w:sz w:val="32"/>
                <w:szCs w:val="32"/>
              </w:rPr>
            </w:pPr>
            <w:r>
              <w:rPr>
                <w:rFonts w:hint="eastAsia" w:eastAsia="Times New Roman"/>
                <w:sz w:val="32"/>
                <w:szCs w:val="32"/>
              </w:rPr>
              <w:t>年  月  日</w:t>
            </w:r>
          </w:p>
          <w:p w14:paraId="791E6486">
            <w:pPr>
              <w:pStyle w:val="42"/>
              <w:ind w:firstLine="0" w:firstLineChars="0"/>
              <w:jc w:val="center"/>
              <w:rPr>
                <w:rFonts w:eastAsiaTheme="minorEastAsia"/>
              </w:rPr>
            </w:pPr>
            <w:r>
              <w:rPr>
                <w:rFonts w:hint="eastAsia" w:eastAsia="Times New Roman"/>
              </w:rPr>
              <w:t>（宋体三号）</w:t>
            </w:r>
          </w:p>
        </w:tc>
      </w:tr>
    </w:tbl>
    <w:p w14:paraId="04908FC8">
      <w:pPr>
        <w:pStyle w:val="67"/>
        <w:sectPr>
          <w:pgSz w:w="11906" w:h="16838"/>
          <w:pgMar w:top="567" w:right="1134" w:bottom="1134" w:left="1418" w:header="1418" w:footer="1134" w:gutter="0"/>
          <w:cols w:space="425" w:num="1"/>
          <w:docGrid w:type="lines" w:linePitch="312" w:charSpace="0"/>
        </w:sectPr>
      </w:pPr>
    </w:p>
    <w:p w14:paraId="38E88F2C">
      <w:pPr>
        <w:pStyle w:val="67"/>
        <w:spacing w:before="156" w:beforeLines="50" w:after="156" w:afterLines="50"/>
      </w:pPr>
      <w:r>
        <w:t>表</w:t>
      </w:r>
      <w:r>
        <w:rPr>
          <w:rFonts w:hint="eastAsia"/>
        </w:rPr>
        <w:t>B</w:t>
      </w:r>
      <w:r>
        <w:t>.2 露天矿坑生态修复工程（项目）基本情况</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05"/>
        <w:gridCol w:w="1654"/>
        <w:gridCol w:w="1642"/>
        <w:gridCol w:w="1480"/>
        <w:gridCol w:w="1245"/>
        <w:gridCol w:w="2038"/>
      </w:tblGrid>
      <w:tr w14:paraId="31922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697" w:type="pct"/>
            <w:vAlign w:val="center"/>
          </w:tcPr>
          <w:p w14:paraId="4CC96892">
            <w:pPr>
              <w:pStyle w:val="40"/>
              <w:rPr>
                <w:rFonts w:ascii="Arial" w:hAnsi="Arial"/>
                <w:snapToGrid w:val="0"/>
                <w:szCs w:val="18"/>
                <w:lang w:eastAsia="en-US"/>
              </w:rPr>
            </w:pPr>
            <w:r>
              <w:rPr>
                <w:rFonts w:ascii="Arial" w:hAnsi="Arial"/>
                <w:snapToGrid w:val="0"/>
                <w:szCs w:val="18"/>
                <w:lang w:eastAsia="en-US"/>
              </w:rPr>
              <w:t>项目名称</w:t>
            </w:r>
          </w:p>
        </w:tc>
        <w:tc>
          <w:tcPr>
            <w:tcW w:w="4303" w:type="pct"/>
            <w:gridSpan w:val="5"/>
            <w:vAlign w:val="center"/>
          </w:tcPr>
          <w:p w14:paraId="65BD7DDB">
            <w:pPr>
              <w:pStyle w:val="40"/>
              <w:rPr>
                <w:rFonts w:ascii="Arial" w:hAnsi="Arial"/>
                <w:snapToGrid w:val="0"/>
                <w:szCs w:val="18"/>
                <w:lang w:eastAsia="en-US"/>
              </w:rPr>
            </w:pPr>
          </w:p>
        </w:tc>
      </w:tr>
      <w:tr w14:paraId="183C5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697" w:type="pct"/>
            <w:vAlign w:val="center"/>
          </w:tcPr>
          <w:p w14:paraId="4FB1B5DC">
            <w:pPr>
              <w:pStyle w:val="40"/>
              <w:rPr>
                <w:rFonts w:ascii="Arial" w:hAnsi="Arial"/>
                <w:snapToGrid w:val="0"/>
                <w:szCs w:val="18"/>
                <w:lang w:eastAsia="en-US"/>
              </w:rPr>
            </w:pPr>
            <w:r>
              <w:rPr>
                <w:rFonts w:ascii="Arial" w:hAnsi="Arial"/>
                <w:snapToGrid w:val="0"/>
                <w:szCs w:val="18"/>
                <w:lang w:eastAsia="en-US"/>
              </w:rPr>
              <w:t>施工起止时间</w:t>
            </w:r>
          </w:p>
        </w:tc>
        <w:tc>
          <w:tcPr>
            <w:tcW w:w="4303" w:type="pct"/>
            <w:gridSpan w:val="5"/>
            <w:vAlign w:val="center"/>
          </w:tcPr>
          <w:p w14:paraId="6F9A9468">
            <w:pPr>
              <w:pStyle w:val="40"/>
              <w:rPr>
                <w:rFonts w:ascii="Arial" w:hAnsi="Arial"/>
                <w:snapToGrid w:val="0"/>
                <w:szCs w:val="18"/>
                <w:lang w:eastAsia="en-US"/>
              </w:rPr>
            </w:pPr>
          </w:p>
        </w:tc>
      </w:tr>
      <w:tr w14:paraId="2F90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97" w:type="pct"/>
            <w:vMerge w:val="restart"/>
            <w:tcBorders>
              <w:bottom w:val="nil"/>
            </w:tcBorders>
            <w:vAlign w:val="center"/>
          </w:tcPr>
          <w:p w14:paraId="5D15D893">
            <w:pPr>
              <w:pStyle w:val="40"/>
              <w:rPr>
                <w:rFonts w:ascii="Arial" w:hAnsi="Arial"/>
                <w:snapToGrid w:val="0"/>
                <w:szCs w:val="18"/>
                <w:lang w:eastAsia="en-US"/>
              </w:rPr>
            </w:pPr>
            <w:r>
              <w:rPr>
                <w:rFonts w:ascii="Arial" w:hAnsi="Arial"/>
                <w:snapToGrid w:val="0"/>
                <w:szCs w:val="18"/>
                <w:lang w:eastAsia="en-US"/>
              </w:rPr>
              <w:t>实施责任单位</w:t>
            </w:r>
          </w:p>
        </w:tc>
        <w:tc>
          <w:tcPr>
            <w:tcW w:w="883" w:type="pct"/>
            <w:vAlign w:val="center"/>
          </w:tcPr>
          <w:p w14:paraId="2A2255DF">
            <w:pPr>
              <w:pStyle w:val="40"/>
              <w:rPr>
                <w:rFonts w:ascii="Arial" w:hAnsi="Arial"/>
                <w:snapToGrid w:val="0"/>
                <w:szCs w:val="18"/>
                <w:lang w:eastAsia="en-US"/>
              </w:rPr>
            </w:pPr>
            <w:r>
              <w:rPr>
                <w:rFonts w:ascii="Arial" w:hAnsi="Arial"/>
                <w:snapToGrid w:val="0"/>
                <w:szCs w:val="18"/>
                <w:lang w:eastAsia="en-US"/>
              </w:rPr>
              <w:t>单位名称</w:t>
            </w:r>
          </w:p>
        </w:tc>
        <w:tc>
          <w:tcPr>
            <w:tcW w:w="3420" w:type="pct"/>
            <w:gridSpan w:val="4"/>
            <w:vAlign w:val="center"/>
          </w:tcPr>
          <w:p w14:paraId="02451705">
            <w:pPr>
              <w:pStyle w:val="40"/>
              <w:rPr>
                <w:rFonts w:ascii="Arial" w:hAnsi="Arial"/>
                <w:snapToGrid w:val="0"/>
                <w:szCs w:val="18"/>
                <w:lang w:eastAsia="en-US"/>
              </w:rPr>
            </w:pPr>
          </w:p>
        </w:tc>
      </w:tr>
      <w:tr w14:paraId="1C0D1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697" w:type="pct"/>
            <w:vMerge w:val="continue"/>
            <w:tcBorders>
              <w:top w:val="nil"/>
            </w:tcBorders>
            <w:vAlign w:val="center"/>
          </w:tcPr>
          <w:p w14:paraId="604150B0">
            <w:pPr>
              <w:pStyle w:val="40"/>
              <w:rPr>
                <w:rFonts w:ascii="Arial" w:hAnsi="Arial"/>
                <w:snapToGrid w:val="0"/>
                <w:szCs w:val="18"/>
                <w:lang w:eastAsia="en-US"/>
              </w:rPr>
            </w:pPr>
          </w:p>
        </w:tc>
        <w:tc>
          <w:tcPr>
            <w:tcW w:w="883" w:type="pct"/>
            <w:vAlign w:val="center"/>
          </w:tcPr>
          <w:p w14:paraId="44C157B7">
            <w:pPr>
              <w:pStyle w:val="40"/>
              <w:rPr>
                <w:rFonts w:ascii="Arial" w:hAnsi="Arial"/>
                <w:snapToGrid w:val="0"/>
                <w:szCs w:val="18"/>
                <w:lang w:eastAsia="en-US"/>
              </w:rPr>
            </w:pPr>
            <w:r>
              <w:rPr>
                <w:rFonts w:ascii="Arial" w:hAnsi="Arial"/>
                <w:snapToGrid w:val="0"/>
                <w:szCs w:val="18"/>
                <w:lang w:eastAsia="en-US"/>
              </w:rPr>
              <w:t>单位地址</w:t>
            </w:r>
          </w:p>
        </w:tc>
        <w:tc>
          <w:tcPr>
            <w:tcW w:w="1667" w:type="pct"/>
            <w:gridSpan w:val="2"/>
            <w:vAlign w:val="center"/>
          </w:tcPr>
          <w:p w14:paraId="484ED0E9">
            <w:pPr>
              <w:pStyle w:val="40"/>
              <w:rPr>
                <w:rFonts w:ascii="Arial" w:hAnsi="Arial"/>
                <w:snapToGrid w:val="0"/>
                <w:szCs w:val="18"/>
                <w:lang w:eastAsia="en-US"/>
              </w:rPr>
            </w:pPr>
          </w:p>
        </w:tc>
        <w:tc>
          <w:tcPr>
            <w:tcW w:w="665" w:type="pct"/>
            <w:vAlign w:val="center"/>
          </w:tcPr>
          <w:p w14:paraId="12B154C9">
            <w:pPr>
              <w:pStyle w:val="40"/>
              <w:rPr>
                <w:rFonts w:ascii="Arial" w:hAnsi="Arial"/>
                <w:snapToGrid w:val="0"/>
                <w:szCs w:val="18"/>
                <w:lang w:eastAsia="en-US"/>
              </w:rPr>
            </w:pPr>
            <w:r>
              <w:rPr>
                <w:rFonts w:hint="eastAsia" w:ascii="Arial" w:hAnsi="Arial"/>
                <w:snapToGrid w:val="0"/>
                <w:szCs w:val="18"/>
                <w:lang w:eastAsia="en-US"/>
              </w:rPr>
              <w:t>联系电话</w:t>
            </w:r>
          </w:p>
        </w:tc>
        <w:tc>
          <w:tcPr>
            <w:tcW w:w="1087" w:type="pct"/>
            <w:vAlign w:val="center"/>
          </w:tcPr>
          <w:p w14:paraId="380E6A34">
            <w:pPr>
              <w:pStyle w:val="40"/>
              <w:rPr>
                <w:rFonts w:ascii="Arial" w:hAnsi="Arial"/>
                <w:snapToGrid w:val="0"/>
                <w:szCs w:val="18"/>
                <w:lang w:eastAsia="en-US"/>
              </w:rPr>
            </w:pPr>
          </w:p>
        </w:tc>
      </w:tr>
      <w:tr w14:paraId="136BF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97" w:type="pct"/>
            <w:vMerge w:val="restart"/>
            <w:tcBorders>
              <w:bottom w:val="nil"/>
            </w:tcBorders>
            <w:vAlign w:val="center"/>
          </w:tcPr>
          <w:p w14:paraId="3D0A02D5">
            <w:pPr>
              <w:pStyle w:val="40"/>
              <w:rPr>
                <w:rFonts w:ascii="Arial" w:hAnsi="Arial"/>
                <w:snapToGrid w:val="0"/>
                <w:szCs w:val="18"/>
                <w:lang w:eastAsia="en-US"/>
              </w:rPr>
            </w:pPr>
            <w:r>
              <w:rPr>
                <w:rFonts w:ascii="Arial" w:hAnsi="Arial"/>
                <w:snapToGrid w:val="0"/>
                <w:szCs w:val="18"/>
                <w:lang w:eastAsia="en-US"/>
              </w:rPr>
              <w:t>设计单位</w:t>
            </w:r>
          </w:p>
        </w:tc>
        <w:tc>
          <w:tcPr>
            <w:tcW w:w="883" w:type="pct"/>
            <w:vAlign w:val="center"/>
          </w:tcPr>
          <w:p w14:paraId="441B8969">
            <w:pPr>
              <w:pStyle w:val="40"/>
              <w:rPr>
                <w:rFonts w:ascii="Arial" w:hAnsi="Arial"/>
                <w:snapToGrid w:val="0"/>
                <w:szCs w:val="18"/>
                <w:lang w:eastAsia="en-US"/>
              </w:rPr>
            </w:pPr>
            <w:r>
              <w:rPr>
                <w:rFonts w:ascii="Arial" w:hAnsi="Arial"/>
                <w:snapToGrid w:val="0"/>
                <w:szCs w:val="18"/>
                <w:lang w:eastAsia="en-US"/>
              </w:rPr>
              <w:t>单位名称</w:t>
            </w:r>
          </w:p>
        </w:tc>
        <w:tc>
          <w:tcPr>
            <w:tcW w:w="877" w:type="pct"/>
            <w:vAlign w:val="center"/>
          </w:tcPr>
          <w:p w14:paraId="6F73476D">
            <w:pPr>
              <w:pStyle w:val="40"/>
              <w:rPr>
                <w:rFonts w:ascii="Arial" w:hAnsi="Arial"/>
                <w:snapToGrid w:val="0"/>
                <w:szCs w:val="18"/>
                <w:lang w:eastAsia="en-US"/>
              </w:rPr>
            </w:pPr>
          </w:p>
        </w:tc>
        <w:tc>
          <w:tcPr>
            <w:tcW w:w="790" w:type="pct"/>
            <w:vAlign w:val="center"/>
          </w:tcPr>
          <w:p w14:paraId="348808F9">
            <w:pPr>
              <w:pStyle w:val="40"/>
              <w:rPr>
                <w:rFonts w:ascii="Arial" w:hAnsi="Arial"/>
                <w:snapToGrid w:val="0"/>
                <w:szCs w:val="18"/>
                <w:lang w:eastAsia="en-US"/>
              </w:rPr>
            </w:pPr>
            <w:r>
              <w:rPr>
                <w:rFonts w:ascii="Arial" w:hAnsi="Arial"/>
                <w:snapToGrid w:val="0"/>
                <w:szCs w:val="18"/>
                <w:lang w:eastAsia="en-US"/>
              </w:rPr>
              <w:t>单位</w:t>
            </w:r>
            <w:r>
              <w:rPr>
                <w:rFonts w:ascii="Arial" w:hAnsi="Arial"/>
                <w:snapToGrid w:val="0"/>
                <w:spacing w:val="-4"/>
                <w:szCs w:val="18"/>
                <w:lang w:eastAsia="en-US"/>
              </w:rPr>
              <w:t>地址</w:t>
            </w:r>
          </w:p>
        </w:tc>
        <w:tc>
          <w:tcPr>
            <w:tcW w:w="1752" w:type="pct"/>
            <w:gridSpan w:val="2"/>
            <w:vAlign w:val="center"/>
          </w:tcPr>
          <w:p w14:paraId="61CD1358">
            <w:pPr>
              <w:pStyle w:val="40"/>
              <w:rPr>
                <w:rFonts w:ascii="Arial" w:hAnsi="Arial"/>
                <w:snapToGrid w:val="0"/>
                <w:szCs w:val="18"/>
                <w:lang w:eastAsia="en-US"/>
              </w:rPr>
            </w:pPr>
          </w:p>
        </w:tc>
      </w:tr>
      <w:tr w14:paraId="15439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79" w:hRule="atLeast"/>
        </w:trPr>
        <w:tc>
          <w:tcPr>
            <w:tcW w:w="697" w:type="pct"/>
            <w:vMerge w:val="continue"/>
            <w:tcBorders>
              <w:top w:val="nil"/>
            </w:tcBorders>
            <w:vAlign w:val="center"/>
          </w:tcPr>
          <w:p w14:paraId="30E7D104">
            <w:pPr>
              <w:pStyle w:val="40"/>
              <w:rPr>
                <w:rFonts w:ascii="Arial" w:hAnsi="Arial"/>
                <w:snapToGrid w:val="0"/>
                <w:szCs w:val="18"/>
                <w:lang w:eastAsia="en-US"/>
              </w:rPr>
            </w:pPr>
          </w:p>
        </w:tc>
        <w:tc>
          <w:tcPr>
            <w:tcW w:w="883" w:type="pct"/>
            <w:vAlign w:val="center"/>
          </w:tcPr>
          <w:p w14:paraId="484A59EC">
            <w:pPr>
              <w:pStyle w:val="40"/>
              <w:rPr>
                <w:rFonts w:ascii="Arial" w:hAnsi="Arial"/>
                <w:snapToGrid w:val="0"/>
                <w:szCs w:val="18"/>
                <w:lang w:eastAsia="en-US"/>
              </w:rPr>
            </w:pPr>
            <w:r>
              <w:rPr>
                <w:rFonts w:ascii="Arial" w:hAnsi="Arial"/>
                <w:snapToGrid w:val="0"/>
                <w:szCs w:val="18"/>
                <w:lang w:eastAsia="en-US"/>
              </w:rPr>
              <w:t>资质等级资质证号</w:t>
            </w:r>
          </w:p>
        </w:tc>
        <w:tc>
          <w:tcPr>
            <w:tcW w:w="877" w:type="pct"/>
            <w:vAlign w:val="center"/>
          </w:tcPr>
          <w:p w14:paraId="676899E9">
            <w:pPr>
              <w:pStyle w:val="40"/>
              <w:rPr>
                <w:rFonts w:ascii="Arial" w:hAnsi="Arial"/>
                <w:snapToGrid w:val="0"/>
                <w:szCs w:val="18"/>
                <w:lang w:eastAsia="en-US"/>
              </w:rPr>
            </w:pPr>
          </w:p>
        </w:tc>
        <w:tc>
          <w:tcPr>
            <w:tcW w:w="790" w:type="pct"/>
            <w:vAlign w:val="center"/>
          </w:tcPr>
          <w:p w14:paraId="32E55E0E">
            <w:pPr>
              <w:pStyle w:val="40"/>
              <w:rPr>
                <w:rFonts w:ascii="Arial" w:hAnsi="Arial"/>
                <w:snapToGrid w:val="0"/>
                <w:szCs w:val="18"/>
                <w:lang w:eastAsia="en-US"/>
              </w:rPr>
            </w:pPr>
            <w:r>
              <w:rPr>
                <w:rFonts w:ascii="Arial" w:hAnsi="Arial"/>
                <w:snapToGrid w:val="0"/>
                <w:szCs w:val="18"/>
                <w:lang w:eastAsia="en-US"/>
              </w:rPr>
              <w:t>联系</w:t>
            </w:r>
            <w:r>
              <w:rPr>
                <w:rFonts w:ascii="Arial" w:hAnsi="Arial"/>
                <w:snapToGrid w:val="0"/>
                <w:spacing w:val="3"/>
                <w:szCs w:val="18"/>
                <w:lang w:eastAsia="en-US"/>
              </w:rPr>
              <w:t>电话</w:t>
            </w:r>
          </w:p>
        </w:tc>
        <w:tc>
          <w:tcPr>
            <w:tcW w:w="1752" w:type="pct"/>
            <w:gridSpan w:val="2"/>
            <w:vAlign w:val="center"/>
          </w:tcPr>
          <w:p w14:paraId="245613D5">
            <w:pPr>
              <w:pStyle w:val="40"/>
              <w:rPr>
                <w:rFonts w:ascii="Arial" w:hAnsi="Arial"/>
                <w:snapToGrid w:val="0"/>
                <w:szCs w:val="18"/>
                <w:lang w:eastAsia="en-US"/>
              </w:rPr>
            </w:pPr>
          </w:p>
        </w:tc>
      </w:tr>
      <w:tr w14:paraId="620D2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697" w:type="pct"/>
            <w:vMerge w:val="restart"/>
            <w:tcBorders>
              <w:bottom w:val="nil"/>
            </w:tcBorders>
            <w:vAlign w:val="center"/>
          </w:tcPr>
          <w:p w14:paraId="5CF3F764">
            <w:pPr>
              <w:pStyle w:val="40"/>
              <w:rPr>
                <w:rFonts w:ascii="Arial" w:hAnsi="Arial"/>
                <w:snapToGrid w:val="0"/>
                <w:szCs w:val="18"/>
                <w:lang w:eastAsia="en-US"/>
              </w:rPr>
            </w:pPr>
            <w:r>
              <w:rPr>
                <w:rFonts w:ascii="Arial" w:hAnsi="Arial"/>
                <w:snapToGrid w:val="0"/>
                <w:szCs w:val="18"/>
                <w:lang w:eastAsia="en-US"/>
              </w:rPr>
              <w:t>监理单位</w:t>
            </w:r>
          </w:p>
        </w:tc>
        <w:tc>
          <w:tcPr>
            <w:tcW w:w="883" w:type="pct"/>
            <w:vAlign w:val="center"/>
          </w:tcPr>
          <w:p w14:paraId="16669272">
            <w:pPr>
              <w:pStyle w:val="40"/>
              <w:rPr>
                <w:rFonts w:ascii="Arial" w:hAnsi="Arial"/>
                <w:snapToGrid w:val="0"/>
                <w:szCs w:val="18"/>
                <w:lang w:eastAsia="en-US"/>
              </w:rPr>
            </w:pPr>
            <w:r>
              <w:rPr>
                <w:rFonts w:ascii="Arial" w:hAnsi="Arial"/>
                <w:snapToGrid w:val="0"/>
                <w:szCs w:val="18"/>
                <w:lang w:eastAsia="en-US"/>
              </w:rPr>
              <w:t>单位名称</w:t>
            </w:r>
          </w:p>
        </w:tc>
        <w:tc>
          <w:tcPr>
            <w:tcW w:w="877" w:type="pct"/>
            <w:vAlign w:val="center"/>
          </w:tcPr>
          <w:p w14:paraId="780CCE17">
            <w:pPr>
              <w:pStyle w:val="40"/>
              <w:rPr>
                <w:rFonts w:ascii="Arial" w:hAnsi="Arial"/>
                <w:snapToGrid w:val="0"/>
                <w:szCs w:val="18"/>
                <w:lang w:eastAsia="en-US"/>
              </w:rPr>
            </w:pPr>
          </w:p>
        </w:tc>
        <w:tc>
          <w:tcPr>
            <w:tcW w:w="790" w:type="pct"/>
            <w:vAlign w:val="center"/>
          </w:tcPr>
          <w:p w14:paraId="1E4B4EC7">
            <w:pPr>
              <w:pStyle w:val="40"/>
              <w:rPr>
                <w:rFonts w:ascii="Arial" w:hAnsi="Arial"/>
                <w:snapToGrid w:val="0"/>
                <w:szCs w:val="18"/>
                <w:lang w:eastAsia="en-US"/>
              </w:rPr>
            </w:pPr>
            <w:r>
              <w:rPr>
                <w:rFonts w:ascii="Arial" w:hAnsi="Arial"/>
                <w:snapToGrid w:val="0"/>
                <w:szCs w:val="18"/>
                <w:lang w:eastAsia="en-US"/>
              </w:rPr>
              <w:t>单位</w:t>
            </w:r>
            <w:r>
              <w:rPr>
                <w:rFonts w:ascii="Arial" w:hAnsi="Arial"/>
                <w:snapToGrid w:val="0"/>
                <w:spacing w:val="-4"/>
                <w:szCs w:val="18"/>
                <w:lang w:eastAsia="en-US"/>
              </w:rPr>
              <w:t>地址</w:t>
            </w:r>
          </w:p>
        </w:tc>
        <w:tc>
          <w:tcPr>
            <w:tcW w:w="1752" w:type="pct"/>
            <w:gridSpan w:val="2"/>
            <w:vAlign w:val="center"/>
          </w:tcPr>
          <w:p w14:paraId="4A19FD09">
            <w:pPr>
              <w:pStyle w:val="40"/>
              <w:rPr>
                <w:rFonts w:ascii="Arial" w:hAnsi="Arial"/>
                <w:snapToGrid w:val="0"/>
                <w:szCs w:val="18"/>
                <w:lang w:eastAsia="en-US"/>
              </w:rPr>
            </w:pPr>
          </w:p>
        </w:tc>
      </w:tr>
      <w:tr w14:paraId="0790E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697" w:type="pct"/>
            <w:vMerge w:val="continue"/>
            <w:tcBorders>
              <w:top w:val="nil"/>
              <w:bottom w:val="nil"/>
            </w:tcBorders>
            <w:vAlign w:val="center"/>
          </w:tcPr>
          <w:p w14:paraId="2E7D3301">
            <w:pPr>
              <w:pStyle w:val="40"/>
              <w:rPr>
                <w:rFonts w:ascii="Arial" w:hAnsi="Arial"/>
                <w:snapToGrid w:val="0"/>
                <w:szCs w:val="18"/>
                <w:lang w:eastAsia="en-US"/>
              </w:rPr>
            </w:pPr>
          </w:p>
        </w:tc>
        <w:tc>
          <w:tcPr>
            <w:tcW w:w="883" w:type="pct"/>
            <w:vAlign w:val="center"/>
          </w:tcPr>
          <w:p w14:paraId="141A887B">
            <w:pPr>
              <w:pStyle w:val="40"/>
              <w:rPr>
                <w:rFonts w:ascii="Arial" w:hAnsi="Arial"/>
                <w:snapToGrid w:val="0"/>
                <w:szCs w:val="18"/>
                <w:lang w:eastAsia="en-US"/>
              </w:rPr>
            </w:pPr>
            <w:r>
              <w:rPr>
                <w:rFonts w:ascii="Arial" w:hAnsi="Arial"/>
                <w:snapToGrid w:val="0"/>
                <w:szCs w:val="18"/>
                <w:lang w:eastAsia="en-US"/>
              </w:rPr>
              <w:t>资质等级资质证号</w:t>
            </w:r>
          </w:p>
        </w:tc>
        <w:tc>
          <w:tcPr>
            <w:tcW w:w="877" w:type="pct"/>
            <w:vAlign w:val="center"/>
          </w:tcPr>
          <w:p w14:paraId="58F2855D">
            <w:pPr>
              <w:pStyle w:val="40"/>
              <w:rPr>
                <w:rFonts w:ascii="Arial" w:hAnsi="Arial"/>
                <w:snapToGrid w:val="0"/>
                <w:szCs w:val="18"/>
                <w:lang w:eastAsia="en-US"/>
              </w:rPr>
            </w:pPr>
          </w:p>
        </w:tc>
        <w:tc>
          <w:tcPr>
            <w:tcW w:w="790" w:type="pct"/>
            <w:vAlign w:val="center"/>
          </w:tcPr>
          <w:p w14:paraId="6AF320D7">
            <w:pPr>
              <w:pStyle w:val="40"/>
              <w:rPr>
                <w:rFonts w:ascii="Arial" w:hAnsi="Arial"/>
                <w:snapToGrid w:val="0"/>
                <w:szCs w:val="18"/>
                <w:lang w:eastAsia="en-US"/>
              </w:rPr>
            </w:pPr>
            <w:r>
              <w:rPr>
                <w:rFonts w:ascii="Arial" w:hAnsi="Arial"/>
                <w:snapToGrid w:val="0"/>
                <w:szCs w:val="18"/>
                <w:lang w:eastAsia="en-US"/>
              </w:rPr>
              <w:t>联系</w:t>
            </w:r>
            <w:r>
              <w:rPr>
                <w:rFonts w:ascii="Arial" w:hAnsi="Arial"/>
                <w:snapToGrid w:val="0"/>
                <w:spacing w:val="3"/>
                <w:szCs w:val="18"/>
                <w:lang w:eastAsia="en-US"/>
              </w:rPr>
              <w:t>电话</w:t>
            </w:r>
          </w:p>
        </w:tc>
        <w:tc>
          <w:tcPr>
            <w:tcW w:w="1752" w:type="pct"/>
            <w:gridSpan w:val="2"/>
            <w:vAlign w:val="center"/>
          </w:tcPr>
          <w:p w14:paraId="0C3FD311">
            <w:pPr>
              <w:pStyle w:val="40"/>
              <w:rPr>
                <w:rFonts w:ascii="Arial" w:hAnsi="Arial"/>
                <w:snapToGrid w:val="0"/>
                <w:szCs w:val="18"/>
                <w:lang w:eastAsia="en-US"/>
              </w:rPr>
            </w:pPr>
          </w:p>
        </w:tc>
      </w:tr>
      <w:tr w14:paraId="2EC59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697" w:type="pct"/>
            <w:vMerge w:val="continue"/>
            <w:tcBorders>
              <w:top w:val="nil"/>
            </w:tcBorders>
            <w:vAlign w:val="center"/>
          </w:tcPr>
          <w:p w14:paraId="5D5AA16D">
            <w:pPr>
              <w:pStyle w:val="40"/>
              <w:rPr>
                <w:rFonts w:ascii="Arial" w:hAnsi="Arial"/>
                <w:snapToGrid w:val="0"/>
                <w:szCs w:val="18"/>
                <w:lang w:eastAsia="en-US"/>
              </w:rPr>
            </w:pPr>
          </w:p>
        </w:tc>
        <w:tc>
          <w:tcPr>
            <w:tcW w:w="883" w:type="pct"/>
            <w:vAlign w:val="center"/>
          </w:tcPr>
          <w:p w14:paraId="78EFA8D6">
            <w:pPr>
              <w:pStyle w:val="40"/>
              <w:rPr>
                <w:rFonts w:ascii="Arial" w:hAnsi="Arial"/>
                <w:snapToGrid w:val="0"/>
                <w:szCs w:val="18"/>
                <w:lang w:eastAsia="en-US"/>
              </w:rPr>
            </w:pPr>
            <w:r>
              <w:rPr>
                <w:rFonts w:ascii="Arial" w:hAnsi="Arial"/>
                <w:snapToGrid w:val="0"/>
                <w:szCs w:val="18"/>
                <w:lang w:eastAsia="en-US"/>
              </w:rPr>
              <w:t>总监</w:t>
            </w:r>
          </w:p>
        </w:tc>
        <w:tc>
          <w:tcPr>
            <w:tcW w:w="877" w:type="pct"/>
            <w:vAlign w:val="center"/>
          </w:tcPr>
          <w:p w14:paraId="1D2D1C92">
            <w:pPr>
              <w:pStyle w:val="40"/>
              <w:rPr>
                <w:rFonts w:ascii="Arial" w:hAnsi="Arial"/>
                <w:snapToGrid w:val="0"/>
                <w:szCs w:val="18"/>
                <w:lang w:eastAsia="en-US"/>
              </w:rPr>
            </w:pPr>
          </w:p>
        </w:tc>
        <w:tc>
          <w:tcPr>
            <w:tcW w:w="790" w:type="pct"/>
            <w:vAlign w:val="center"/>
          </w:tcPr>
          <w:p w14:paraId="66ADC635">
            <w:pPr>
              <w:pStyle w:val="40"/>
              <w:rPr>
                <w:rFonts w:ascii="Arial" w:hAnsi="Arial"/>
                <w:snapToGrid w:val="0"/>
                <w:szCs w:val="18"/>
                <w:lang w:eastAsia="en-US"/>
              </w:rPr>
            </w:pPr>
            <w:r>
              <w:rPr>
                <w:rFonts w:ascii="Arial" w:hAnsi="Arial"/>
                <w:snapToGrid w:val="0"/>
                <w:szCs w:val="18"/>
                <w:lang w:eastAsia="en-US"/>
              </w:rPr>
              <w:t>现场</w:t>
            </w:r>
            <w:r>
              <w:rPr>
                <w:rFonts w:ascii="Arial" w:hAnsi="Arial"/>
                <w:snapToGrid w:val="0"/>
                <w:spacing w:val="-4"/>
                <w:szCs w:val="18"/>
                <w:lang w:eastAsia="en-US"/>
              </w:rPr>
              <w:t>监理</w:t>
            </w:r>
          </w:p>
        </w:tc>
        <w:tc>
          <w:tcPr>
            <w:tcW w:w="1752" w:type="pct"/>
            <w:gridSpan w:val="2"/>
            <w:vAlign w:val="center"/>
          </w:tcPr>
          <w:p w14:paraId="3399CFCC">
            <w:pPr>
              <w:pStyle w:val="40"/>
              <w:rPr>
                <w:rFonts w:ascii="Arial" w:hAnsi="Arial"/>
                <w:snapToGrid w:val="0"/>
                <w:szCs w:val="18"/>
                <w:lang w:eastAsia="en-US"/>
              </w:rPr>
            </w:pPr>
          </w:p>
        </w:tc>
      </w:tr>
      <w:tr w14:paraId="4484C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697" w:type="pct"/>
            <w:vMerge w:val="restart"/>
            <w:tcBorders>
              <w:bottom w:val="nil"/>
            </w:tcBorders>
            <w:vAlign w:val="center"/>
          </w:tcPr>
          <w:p w14:paraId="6D6CED96">
            <w:pPr>
              <w:pStyle w:val="40"/>
              <w:rPr>
                <w:rFonts w:ascii="Arial" w:hAnsi="Arial"/>
                <w:snapToGrid w:val="0"/>
                <w:szCs w:val="18"/>
                <w:lang w:eastAsia="en-US"/>
              </w:rPr>
            </w:pPr>
            <w:r>
              <w:rPr>
                <w:rFonts w:ascii="Arial" w:hAnsi="Arial"/>
                <w:snapToGrid w:val="0"/>
                <w:szCs w:val="18"/>
                <w:lang w:eastAsia="en-US"/>
              </w:rPr>
              <w:t>施工单位</w:t>
            </w:r>
          </w:p>
        </w:tc>
        <w:tc>
          <w:tcPr>
            <w:tcW w:w="883" w:type="pct"/>
            <w:vAlign w:val="center"/>
          </w:tcPr>
          <w:p w14:paraId="06E38683">
            <w:pPr>
              <w:pStyle w:val="40"/>
              <w:rPr>
                <w:rFonts w:ascii="Arial" w:hAnsi="Arial"/>
                <w:snapToGrid w:val="0"/>
                <w:szCs w:val="18"/>
                <w:lang w:eastAsia="en-US"/>
              </w:rPr>
            </w:pPr>
            <w:r>
              <w:rPr>
                <w:rFonts w:ascii="Arial" w:hAnsi="Arial"/>
                <w:snapToGrid w:val="0"/>
                <w:szCs w:val="18"/>
                <w:lang w:eastAsia="en-US"/>
              </w:rPr>
              <w:t>单位名称</w:t>
            </w:r>
          </w:p>
        </w:tc>
        <w:tc>
          <w:tcPr>
            <w:tcW w:w="877" w:type="pct"/>
            <w:vAlign w:val="center"/>
          </w:tcPr>
          <w:p w14:paraId="61ABFC2C">
            <w:pPr>
              <w:pStyle w:val="40"/>
              <w:rPr>
                <w:rFonts w:ascii="Arial" w:hAnsi="Arial"/>
                <w:snapToGrid w:val="0"/>
                <w:szCs w:val="18"/>
                <w:lang w:eastAsia="en-US"/>
              </w:rPr>
            </w:pPr>
          </w:p>
        </w:tc>
        <w:tc>
          <w:tcPr>
            <w:tcW w:w="790" w:type="pct"/>
            <w:vAlign w:val="center"/>
          </w:tcPr>
          <w:p w14:paraId="1DF600BF">
            <w:pPr>
              <w:pStyle w:val="40"/>
              <w:rPr>
                <w:rFonts w:ascii="Arial" w:hAnsi="Arial"/>
                <w:snapToGrid w:val="0"/>
                <w:szCs w:val="18"/>
              </w:rPr>
            </w:pPr>
            <w:r>
              <w:rPr>
                <w:rFonts w:hint="eastAsia" w:ascii="Arial" w:hAnsi="Arial"/>
                <w:snapToGrid w:val="0"/>
                <w:szCs w:val="18"/>
              </w:rPr>
              <w:t>单位地址</w:t>
            </w:r>
          </w:p>
        </w:tc>
        <w:tc>
          <w:tcPr>
            <w:tcW w:w="1752" w:type="pct"/>
            <w:gridSpan w:val="2"/>
            <w:vAlign w:val="center"/>
          </w:tcPr>
          <w:p w14:paraId="01877449">
            <w:pPr>
              <w:pStyle w:val="40"/>
              <w:rPr>
                <w:rFonts w:ascii="Arial" w:hAnsi="Arial"/>
                <w:snapToGrid w:val="0"/>
                <w:szCs w:val="18"/>
                <w:lang w:eastAsia="en-US"/>
              </w:rPr>
            </w:pPr>
          </w:p>
        </w:tc>
      </w:tr>
      <w:tr w14:paraId="2818F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697" w:type="pct"/>
            <w:vMerge w:val="continue"/>
            <w:tcBorders>
              <w:top w:val="nil"/>
              <w:bottom w:val="nil"/>
            </w:tcBorders>
            <w:vAlign w:val="center"/>
          </w:tcPr>
          <w:p w14:paraId="33D140A2">
            <w:pPr>
              <w:pStyle w:val="40"/>
              <w:rPr>
                <w:rFonts w:ascii="Arial" w:hAnsi="Arial"/>
                <w:snapToGrid w:val="0"/>
                <w:szCs w:val="18"/>
                <w:lang w:eastAsia="en-US"/>
              </w:rPr>
            </w:pPr>
          </w:p>
        </w:tc>
        <w:tc>
          <w:tcPr>
            <w:tcW w:w="883" w:type="pct"/>
            <w:vAlign w:val="center"/>
          </w:tcPr>
          <w:p w14:paraId="7DA947D0">
            <w:pPr>
              <w:pStyle w:val="40"/>
              <w:rPr>
                <w:rFonts w:ascii="Arial" w:hAnsi="Arial"/>
                <w:snapToGrid w:val="0"/>
                <w:szCs w:val="18"/>
                <w:lang w:eastAsia="en-US"/>
              </w:rPr>
            </w:pPr>
            <w:r>
              <w:rPr>
                <w:rFonts w:ascii="Arial" w:hAnsi="Arial"/>
                <w:snapToGrid w:val="0"/>
                <w:szCs w:val="18"/>
                <w:lang w:eastAsia="en-US"/>
              </w:rPr>
              <w:t>资质等级资质证号</w:t>
            </w:r>
          </w:p>
        </w:tc>
        <w:tc>
          <w:tcPr>
            <w:tcW w:w="877" w:type="pct"/>
            <w:vAlign w:val="center"/>
          </w:tcPr>
          <w:p w14:paraId="6234E2E8">
            <w:pPr>
              <w:pStyle w:val="40"/>
              <w:rPr>
                <w:rFonts w:ascii="Arial" w:hAnsi="Arial"/>
                <w:snapToGrid w:val="0"/>
                <w:szCs w:val="18"/>
                <w:lang w:eastAsia="en-US"/>
              </w:rPr>
            </w:pPr>
          </w:p>
        </w:tc>
        <w:tc>
          <w:tcPr>
            <w:tcW w:w="790" w:type="pct"/>
            <w:vAlign w:val="center"/>
          </w:tcPr>
          <w:p w14:paraId="21F1D14C">
            <w:pPr>
              <w:pStyle w:val="40"/>
              <w:rPr>
                <w:rFonts w:ascii="Arial" w:hAnsi="Arial"/>
                <w:snapToGrid w:val="0"/>
                <w:szCs w:val="18"/>
                <w:lang w:eastAsia="en-US"/>
              </w:rPr>
            </w:pPr>
            <w:r>
              <w:rPr>
                <w:rFonts w:ascii="Arial" w:hAnsi="Arial"/>
                <w:snapToGrid w:val="0"/>
                <w:szCs w:val="18"/>
                <w:lang w:eastAsia="en-US"/>
              </w:rPr>
              <w:t>联系人</w:t>
            </w:r>
          </w:p>
        </w:tc>
        <w:tc>
          <w:tcPr>
            <w:tcW w:w="1752" w:type="pct"/>
            <w:gridSpan w:val="2"/>
            <w:vAlign w:val="center"/>
          </w:tcPr>
          <w:p w14:paraId="54F7237B">
            <w:pPr>
              <w:pStyle w:val="40"/>
              <w:rPr>
                <w:rFonts w:ascii="Arial" w:hAnsi="Arial"/>
                <w:snapToGrid w:val="0"/>
                <w:szCs w:val="18"/>
                <w:lang w:eastAsia="en-US"/>
              </w:rPr>
            </w:pPr>
          </w:p>
        </w:tc>
      </w:tr>
      <w:tr w14:paraId="781E5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97" w:type="pct"/>
            <w:vMerge w:val="continue"/>
            <w:tcBorders>
              <w:top w:val="nil"/>
              <w:bottom w:val="nil"/>
            </w:tcBorders>
            <w:vAlign w:val="center"/>
          </w:tcPr>
          <w:p w14:paraId="61745055">
            <w:pPr>
              <w:pStyle w:val="40"/>
              <w:rPr>
                <w:rFonts w:ascii="Arial" w:hAnsi="Arial"/>
                <w:snapToGrid w:val="0"/>
                <w:szCs w:val="18"/>
                <w:lang w:eastAsia="en-US"/>
              </w:rPr>
            </w:pPr>
          </w:p>
        </w:tc>
        <w:tc>
          <w:tcPr>
            <w:tcW w:w="883" w:type="pct"/>
            <w:vAlign w:val="center"/>
          </w:tcPr>
          <w:p w14:paraId="463AC4FD">
            <w:pPr>
              <w:pStyle w:val="40"/>
              <w:rPr>
                <w:rFonts w:ascii="Arial" w:hAnsi="Arial"/>
                <w:snapToGrid w:val="0"/>
                <w:szCs w:val="18"/>
                <w:lang w:eastAsia="en-US"/>
              </w:rPr>
            </w:pPr>
            <w:r>
              <w:rPr>
                <w:rFonts w:ascii="Arial" w:hAnsi="Arial"/>
                <w:snapToGrid w:val="0"/>
                <w:szCs w:val="18"/>
                <w:lang w:eastAsia="en-US"/>
              </w:rPr>
              <w:t>法定代表人</w:t>
            </w:r>
          </w:p>
        </w:tc>
        <w:tc>
          <w:tcPr>
            <w:tcW w:w="877" w:type="pct"/>
            <w:vAlign w:val="center"/>
          </w:tcPr>
          <w:p w14:paraId="57A3FE44">
            <w:pPr>
              <w:pStyle w:val="40"/>
              <w:rPr>
                <w:rFonts w:ascii="Arial" w:hAnsi="Arial"/>
                <w:snapToGrid w:val="0"/>
                <w:szCs w:val="18"/>
                <w:lang w:eastAsia="en-US"/>
              </w:rPr>
            </w:pPr>
          </w:p>
        </w:tc>
        <w:tc>
          <w:tcPr>
            <w:tcW w:w="790" w:type="pct"/>
            <w:vAlign w:val="center"/>
          </w:tcPr>
          <w:p w14:paraId="495E672C">
            <w:pPr>
              <w:pStyle w:val="40"/>
              <w:rPr>
                <w:rFonts w:ascii="Arial" w:hAnsi="Arial"/>
                <w:snapToGrid w:val="0"/>
                <w:szCs w:val="18"/>
                <w:lang w:eastAsia="en-US"/>
              </w:rPr>
            </w:pPr>
            <w:r>
              <w:rPr>
                <w:rFonts w:ascii="Arial" w:hAnsi="Arial"/>
                <w:snapToGrid w:val="0"/>
                <w:szCs w:val="18"/>
                <w:lang w:eastAsia="en-US"/>
              </w:rPr>
              <w:t>联系电话</w:t>
            </w:r>
          </w:p>
        </w:tc>
        <w:tc>
          <w:tcPr>
            <w:tcW w:w="1752" w:type="pct"/>
            <w:gridSpan w:val="2"/>
            <w:vAlign w:val="center"/>
          </w:tcPr>
          <w:p w14:paraId="45A8CF1D">
            <w:pPr>
              <w:pStyle w:val="40"/>
              <w:rPr>
                <w:rFonts w:ascii="Arial" w:hAnsi="Arial"/>
                <w:snapToGrid w:val="0"/>
                <w:szCs w:val="18"/>
                <w:lang w:eastAsia="en-US"/>
              </w:rPr>
            </w:pPr>
          </w:p>
        </w:tc>
      </w:tr>
      <w:tr w14:paraId="467F5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97" w:type="pct"/>
            <w:vMerge w:val="continue"/>
            <w:tcBorders>
              <w:top w:val="nil"/>
            </w:tcBorders>
            <w:vAlign w:val="center"/>
          </w:tcPr>
          <w:p w14:paraId="3E89038D">
            <w:pPr>
              <w:pStyle w:val="40"/>
              <w:rPr>
                <w:rFonts w:ascii="Arial" w:hAnsi="Arial"/>
                <w:snapToGrid w:val="0"/>
                <w:szCs w:val="18"/>
                <w:lang w:eastAsia="en-US"/>
              </w:rPr>
            </w:pPr>
          </w:p>
        </w:tc>
        <w:tc>
          <w:tcPr>
            <w:tcW w:w="883" w:type="pct"/>
            <w:vAlign w:val="center"/>
          </w:tcPr>
          <w:p w14:paraId="295A0EC4">
            <w:pPr>
              <w:pStyle w:val="40"/>
              <w:rPr>
                <w:rFonts w:ascii="Arial" w:hAnsi="Arial"/>
                <w:snapToGrid w:val="0"/>
                <w:szCs w:val="18"/>
                <w:lang w:eastAsia="en-US"/>
              </w:rPr>
            </w:pPr>
            <w:r>
              <w:rPr>
                <w:rFonts w:ascii="Arial" w:hAnsi="Arial"/>
                <w:snapToGrid w:val="0"/>
                <w:szCs w:val="18"/>
                <w:lang w:eastAsia="en-US"/>
              </w:rPr>
              <w:t>项目经理</w:t>
            </w:r>
          </w:p>
        </w:tc>
        <w:tc>
          <w:tcPr>
            <w:tcW w:w="877" w:type="pct"/>
            <w:vAlign w:val="center"/>
          </w:tcPr>
          <w:p w14:paraId="7EF5472C">
            <w:pPr>
              <w:pStyle w:val="40"/>
              <w:rPr>
                <w:rFonts w:ascii="Arial" w:hAnsi="Arial"/>
                <w:snapToGrid w:val="0"/>
                <w:szCs w:val="18"/>
                <w:lang w:eastAsia="en-US"/>
              </w:rPr>
            </w:pPr>
          </w:p>
        </w:tc>
        <w:tc>
          <w:tcPr>
            <w:tcW w:w="790" w:type="pct"/>
            <w:vAlign w:val="center"/>
          </w:tcPr>
          <w:p w14:paraId="22B85840">
            <w:pPr>
              <w:pStyle w:val="40"/>
              <w:rPr>
                <w:rFonts w:ascii="Arial" w:hAnsi="Arial"/>
                <w:snapToGrid w:val="0"/>
                <w:szCs w:val="18"/>
                <w:lang w:eastAsia="en-US"/>
              </w:rPr>
            </w:pPr>
            <w:r>
              <w:rPr>
                <w:rFonts w:hint="eastAsia" w:ascii="Arial" w:hAnsi="Arial"/>
                <w:snapToGrid w:val="0"/>
                <w:szCs w:val="18"/>
                <w:lang w:eastAsia="en-US"/>
              </w:rPr>
              <w:t>证书号</w:t>
            </w:r>
          </w:p>
        </w:tc>
        <w:tc>
          <w:tcPr>
            <w:tcW w:w="1752" w:type="pct"/>
            <w:gridSpan w:val="2"/>
            <w:vAlign w:val="center"/>
          </w:tcPr>
          <w:p w14:paraId="151E4D12">
            <w:pPr>
              <w:pStyle w:val="40"/>
              <w:rPr>
                <w:rFonts w:ascii="Arial" w:hAnsi="Arial"/>
                <w:snapToGrid w:val="0"/>
                <w:szCs w:val="18"/>
                <w:lang w:eastAsia="en-US"/>
              </w:rPr>
            </w:pPr>
          </w:p>
        </w:tc>
      </w:tr>
      <w:tr w14:paraId="41D5B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697" w:type="pct"/>
            <w:vAlign w:val="center"/>
          </w:tcPr>
          <w:p w14:paraId="1E9557D4">
            <w:pPr>
              <w:pStyle w:val="40"/>
              <w:rPr>
                <w:rFonts w:ascii="Arial" w:hAnsi="Arial"/>
                <w:snapToGrid w:val="0"/>
                <w:szCs w:val="18"/>
                <w:lang w:eastAsia="en-US"/>
              </w:rPr>
            </w:pPr>
            <w:r>
              <w:rPr>
                <w:rFonts w:ascii="Arial" w:hAnsi="Arial"/>
                <w:snapToGrid w:val="0"/>
                <w:szCs w:val="18"/>
                <w:lang w:eastAsia="en-US"/>
              </w:rPr>
              <w:t>验收时间</w:t>
            </w:r>
          </w:p>
        </w:tc>
        <w:tc>
          <w:tcPr>
            <w:tcW w:w="4303" w:type="pct"/>
            <w:gridSpan w:val="5"/>
            <w:vAlign w:val="center"/>
          </w:tcPr>
          <w:p w14:paraId="62571537">
            <w:pPr>
              <w:pStyle w:val="40"/>
              <w:rPr>
                <w:rFonts w:ascii="Arial" w:hAnsi="Arial"/>
                <w:snapToGrid w:val="0"/>
                <w:szCs w:val="18"/>
                <w:lang w:eastAsia="en-US"/>
              </w:rPr>
            </w:pPr>
          </w:p>
        </w:tc>
      </w:tr>
      <w:tr w14:paraId="09764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697" w:type="pct"/>
            <w:vAlign w:val="center"/>
          </w:tcPr>
          <w:p w14:paraId="3EEC644A">
            <w:pPr>
              <w:pStyle w:val="40"/>
              <w:rPr>
                <w:rFonts w:ascii="Arial" w:hAnsi="Arial"/>
                <w:snapToGrid w:val="0"/>
                <w:szCs w:val="18"/>
                <w:lang w:eastAsia="en-US"/>
              </w:rPr>
            </w:pPr>
            <w:r>
              <w:rPr>
                <w:rFonts w:ascii="Arial" w:hAnsi="Arial"/>
                <w:snapToGrid w:val="0"/>
                <w:szCs w:val="18"/>
                <w:lang w:eastAsia="en-US"/>
              </w:rPr>
              <w:t>备注</w:t>
            </w:r>
          </w:p>
        </w:tc>
        <w:tc>
          <w:tcPr>
            <w:tcW w:w="4303" w:type="pct"/>
            <w:gridSpan w:val="5"/>
            <w:vAlign w:val="center"/>
          </w:tcPr>
          <w:p w14:paraId="0DD041BA">
            <w:pPr>
              <w:pStyle w:val="40"/>
              <w:rPr>
                <w:rFonts w:ascii="Arial" w:hAnsi="Arial"/>
                <w:snapToGrid w:val="0"/>
                <w:szCs w:val="18"/>
                <w:lang w:eastAsia="en-US"/>
              </w:rPr>
            </w:pPr>
          </w:p>
        </w:tc>
      </w:tr>
    </w:tbl>
    <w:p w14:paraId="191D8B81">
      <w:pPr>
        <w:pStyle w:val="42"/>
      </w:pPr>
    </w:p>
    <w:p w14:paraId="1D7D931B">
      <w:pPr>
        <w:pStyle w:val="42"/>
      </w:pPr>
    </w:p>
    <w:p w14:paraId="758131F8">
      <w:pPr>
        <w:pStyle w:val="67"/>
        <w:spacing w:before="156" w:beforeLines="50" w:after="156" w:afterLines="50"/>
      </w:pPr>
      <w:r>
        <w:t>表</w:t>
      </w:r>
      <w:r>
        <w:rPr>
          <w:rFonts w:hint="eastAsia"/>
        </w:rPr>
        <w:t>B</w:t>
      </w:r>
      <w:r>
        <w:t>.3 露天矿坑生态修复工程（项目）实施情况</w:t>
      </w:r>
    </w:p>
    <w:tbl>
      <w:tblPr>
        <w:tblStyle w:val="76"/>
        <w:tblW w:w="9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1276"/>
        <w:gridCol w:w="7049"/>
      </w:tblGrid>
      <w:tr w14:paraId="044DA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2" w:hRule="atLeast"/>
        </w:trPr>
        <w:tc>
          <w:tcPr>
            <w:tcW w:w="1134" w:type="dxa"/>
            <w:vAlign w:val="center"/>
          </w:tcPr>
          <w:p w14:paraId="7866FC03">
            <w:pPr>
              <w:pStyle w:val="40"/>
              <w:rPr>
                <w:rFonts w:ascii="Arial" w:hAnsi="Arial"/>
              </w:rPr>
            </w:pPr>
            <w:r>
              <w:rPr>
                <w:rFonts w:ascii="Arial" w:hAnsi="Arial"/>
              </w:rPr>
              <w:t>工程</w:t>
            </w:r>
            <w:r>
              <w:rPr>
                <w:rFonts w:hint="eastAsia" w:ascii="Arial" w:hAnsi="Arial"/>
              </w:rPr>
              <w:t>（</w:t>
            </w:r>
            <w:r>
              <w:rPr>
                <w:rFonts w:ascii="Arial" w:hAnsi="Arial"/>
              </w:rPr>
              <w:t>项目</w:t>
            </w:r>
            <w:r>
              <w:rPr>
                <w:rFonts w:hint="eastAsia" w:ascii="Arial" w:hAnsi="Arial"/>
              </w:rPr>
              <w:t>）</w:t>
            </w:r>
            <w:r>
              <w:rPr>
                <w:rFonts w:ascii="Arial" w:hAnsi="Arial"/>
              </w:rPr>
              <w:t>概况</w:t>
            </w:r>
          </w:p>
        </w:tc>
        <w:tc>
          <w:tcPr>
            <w:tcW w:w="8325" w:type="dxa"/>
            <w:gridSpan w:val="2"/>
            <w:vAlign w:val="center"/>
          </w:tcPr>
          <w:p w14:paraId="21DF0849">
            <w:pPr>
              <w:rPr>
                <w:rFonts w:ascii="Arial" w:hAnsi="Arial" w:cs="Arial"/>
              </w:rPr>
            </w:pPr>
          </w:p>
        </w:tc>
      </w:tr>
      <w:tr w14:paraId="44F11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8" w:hRule="atLeast"/>
        </w:trPr>
        <w:tc>
          <w:tcPr>
            <w:tcW w:w="1134" w:type="dxa"/>
            <w:vMerge w:val="restart"/>
            <w:tcBorders>
              <w:bottom w:val="nil"/>
            </w:tcBorders>
            <w:vAlign w:val="center"/>
          </w:tcPr>
          <w:p w14:paraId="315EE083">
            <w:pPr>
              <w:pStyle w:val="40"/>
              <w:rPr>
                <w:rFonts w:ascii="Arial" w:hAnsi="Arial"/>
              </w:rPr>
            </w:pPr>
            <w:r>
              <w:rPr>
                <w:rFonts w:ascii="Arial" w:hAnsi="Arial"/>
              </w:rPr>
              <w:t>主要</w:t>
            </w:r>
          </w:p>
          <w:p w14:paraId="1FD7D24A">
            <w:pPr>
              <w:pStyle w:val="40"/>
              <w:rPr>
                <w:rFonts w:ascii="Arial" w:hAnsi="Arial"/>
              </w:rPr>
            </w:pPr>
            <w:r>
              <w:rPr>
                <w:rFonts w:ascii="Arial" w:hAnsi="Arial"/>
              </w:rPr>
              <w:t>工作量</w:t>
            </w:r>
          </w:p>
        </w:tc>
        <w:tc>
          <w:tcPr>
            <w:tcW w:w="1276" w:type="dxa"/>
            <w:vAlign w:val="center"/>
          </w:tcPr>
          <w:p w14:paraId="35AB2C69">
            <w:pPr>
              <w:pStyle w:val="40"/>
              <w:rPr>
                <w:rFonts w:ascii="Arial" w:hAnsi="Arial"/>
              </w:rPr>
            </w:pPr>
            <w:r>
              <w:rPr>
                <w:rFonts w:ascii="Arial" w:hAnsi="Arial"/>
              </w:rPr>
              <w:t>设计</w:t>
            </w:r>
          </w:p>
          <w:p w14:paraId="02D39596">
            <w:pPr>
              <w:pStyle w:val="40"/>
              <w:rPr>
                <w:rFonts w:ascii="Arial" w:hAnsi="Arial"/>
              </w:rPr>
            </w:pPr>
            <w:r>
              <w:rPr>
                <w:rFonts w:ascii="Arial" w:hAnsi="Arial"/>
              </w:rPr>
              <w:t>工作量</w:t>
            </w:r>
          </w:p>
        </w:tc>
        <w:tc>
          <w:tcPr>
            <w:tcW w:w="7049" w:type="dxa"/>
            <w:vAlign w:val="center"/>
          </w:tcPr>
          <w:p w14:paraId="0A1E3C04">
            <w:pPr>
              <w:pStyle w:val="40"/>
              <w:rPr>
                <w:rFonts w:ascii="Arial" w:hAnsi="Arial"/>
              </w:rPr>
            </w:pPr>
          </w:p>
        </w:tc>
      </w:tr>
      <w:tr w14:paraId="49A6B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8" w:hRule="atLeast"/>
        </w:trPr>
        <w:tc>
          <w:tcPr>
            <w:tcW w:w="1134" w:type="dxa"/>
            <w:vMerge w:val="continue"/>
            <w:tcBorders>
              <w:top w:val="nil"/>
              <w:bottom w:val="nil"/>
            </w:tcBorders>
            <w:vAlign w:val="center"/>
          </w:tcPr>
          <w:p w14:paraId="6F5F163F">
            <w:pPr>
              <w:pStyle w:val="40"/>
              <w:rPr>
                <w:rFonts w:ascii="Arial" w:hAnsi="Arial"/>
              </w:rPr>
            </w:pPr>
          </w:p>
        </w:tc>
        <w:tc>
          <w:tcPr>
            <w:tcW w:w="1276" w:type="dxa"/>
            <w:vAlign w:val="center"/>
          </w:tcPr>
          <w:p w14:paraId="2DE55F6E">
            <w:pPr>
              <w:pStyle w:val="40"/>
              <w:rPr>
                <w:rFonts w:ascii="Arial" w:hAnsi="Arial"/>
              </w:rPr>
            </w:pPr>
            <w:r>
              <w:rPr>
                <w:rFonts w:ascii="Arial" w:hAnsi="Arial"/>
              </w:rPr>
              <w:t>工作量</w:t>
            </w:r>
          </w:p>
          <w:p w14:paraId="538AD235">
            <w:pPr>
              <w:pStyle w:val="40"/>
              <w:rPr>
                <w:rFonts w:ascii="Arial" w:hAnsi="Arial"/>
              </w:rPr>
            </w:pPr>
            <w:r>
              <w:rPr>
                <w:rFonts w:ascii="Arial" w:hAnsi="Arial"/>
              </w:rPr>
              <w:t>变更情况</w:t>
            </w:r>
          </w:p>
        </w:tc>
        <w:tc>
          <w:tcPr>
            <w:tcW w:w="7049" w:type="dxa"/>
            <w:vAlign w:val="center"/>
          </w:tcPr>
          <w:p w14:paraId="0FAF0D87">
            <w:pPr>
              <w:pStyle w:val="40"/>
              <w:rPr>
                <w:rFonts w:ascii="Arial" w:hAnsi="Arial"/>
              </w:rPr>
            </w:pPr>
          </w:p>
        </w:tc>
      </w:tr>
      <w:tr w14:paraId="7B57C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2" w:hRule="atLeast"/>
        </w:trPr>
        <w:tc>
          <w:tcPr>
            <w:tcW w:w="1134" w:type="dxa"/>
            <w:vMerge w:val="continue"/>
            <w:tcBorders>
              <w:top w:val="nil"/>
            </w:tcBorders>
            <w:vAlign w:val="center"/>
          </w:tcPr>
          <w:p w14:paraId="1BFF0DC3">
            <w:pPr>
              <w:pStyle w:val="40"/>
              <w:rPr>
                <w:rFonts w:ascii="Arial" w:hAnsi="Arial"/>
              </w:rPr>
            </w:pPr>
          </w:p>
        </w:tc>
        <w:tc>
          <w:tcPr>
            <w:tcW w:w="1276" w:type="dxa"/>
            <w:vAlign w:val="center"/>
          </w:tcPr>
          <w:p w14:paraId="22BFC097">
            <w:pPr>
              <w:pStyle w:val="40"/>
              <w:rPr>
                <w:rFonts w:ascii="Arial" w:hAnsi="Arial"/>
              </w:rPr>
            </w:pPr>
            <w:r>
              <w:rPr>
                <w:rFonts w:ascii="Arial" w:hAnsi="Arial"/>
              </w:rPr>
              <w:t>实际完成</w:t>
            </w:r>
          </w:p>
          <w:p w14:paraId="314C3706">
            <w:pPr>
              <w:pStyle w:val="40"/>
              <w:rPr>
                <w:rFonts w:ascii="Arial" w:hAnsi="Arial"/>
              </w:rPr>
            </w:pPr>
            <w:r>
              <w:rPr>
                <w:rFonts w:ascii="Arial" w:hAnsi="Arial"/>
              </w:rPr>
              <w:t>工作量</w:t>
            </w:r>
          </w:p>
        </w:tc>
        <w:tc>
          <w:tcPr>
            <w:tcW w:w="7049" w:type="dxa"/>
            <w:vAlign w:val="center"/>
          </w:tcPr>
          <w:p w14:paraId="53E7B6AC">
            <w:pPr>
              <w:pStyle w:val="40"/>
              <w:rPr>
                <w:rFonts w:ascii="Arial" w:hAnsi="Arial"/>
              </w:rPr>
            </w:pPr>
          </w:p>
        </w:tc>
      </w:tr>
    </w:tbl>
    <w:p w14:paraId="71A01723">
      <w:pPr>
        <w:pStyle w:val="42"/>
        <w:sectPr>
          <w:pgSz w:w="11906" w:h="16838"/>
          <w:pgMar w:top="567" w:right="1134" w:bottom="1134" w:left="1418" w:header="1418" w:footer="1134" w:gutter="0"/>
          <w:cols w:space="425" w:num="1"/>
          <w:docGrid w:type="lines" w:linePitch="312" w:charSpace="0"/>
        </w:sectPr>
      </w:pPr>
    </w:p>
    <w:p w14:paraId="25A49F04">
      <w:pPr>
        <w:pStyle w:val="67"/>
        <w:spacing w:before="156" w:beforeLines="50" w:after="156" w:afterLines="50"/>
      </w:pPr>
      <w:r>
        <w:t>表</w:t>
      </w:r>
      <w:r>
        <w:rPr>
          <w:rFonts w:hint="eastAsia"/>
        </w:rPr>
        <w:t>B</w:t>
      </w:r>
      <w:r>
        <w:t>.4 露天矿坑生态修复工程（项目）验收组意见</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26D8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tcPr>
          <w:p w14:paraId="37751553">
            <w:pPr>
              <w:pStyle w:val="40"/>
              <w:spacing w:before="156" w:beforeLines="50" w:after="156" w:afterLines="50"/>
              <w:jc w:val="left"/>
              <w:rPr>
                <w:rFonts w:eastAsia="Times New Roman"/>
              </w:rPr>
            </w:pPr>
            <w:r>
              <w:rPr>
                <w:rFonts w:eastAsia="Times New Roman"/>
              </w:rPr>
              <w:t>一、工程(项目)实施情况</w:t>
            </w:r>
          </w:p>
          <w:p w14:paraId="21BFE5D3">
            <w:pPr>
              <w:pStyle w:val="40"/>
              <w:ind w:firstLine="360" w:firstLineChars="200"/>
              <w:jc w:val="left"/>
              <w:rPr>
                <w:rFonts w:eastAsia="Times New Roman"/>
              </w:rPr>
            </w:pPr>
          </w:p>
          <w:p w14:paraId="59E08CDE">
            <w:pPr>
              <w:pStyle w:val="40"/>
              <w:ind w:firstLine="360" w:firstLineChars="200"/>
              <w:jc w:val="left"/>
              <w:rPr>
                <w:rFonts w:eastAsia="Times New Roman"/>
              </w:rPr>
            </w:pPr>
          </w:p>
          <w:p w14:paraId="168909DA">
            <w:pPr>
              <w:pStyle w:val="40"/>
              <w:ind w:firstLine="360" w:firstLineChars="200"/>
              <w:jc w:val="left"/>
              <w:rPr>
                <w:rFonts w:eastAsia="Times New Roman"/>
              </w:rPr>
            </w:pPr>
          </w:p>
          <w:p w14:paraId="224BA493">
            <w:pPr>
              <w:pStyle w:val="40"/>
              <w:spacing w:before="156" w:beforeLines="50" w:after="156" w:afterLines="50"/>
              <w:jc w:val="left"/>
              <w:rPr>
                <w:rFonts w:eastAsia="Times New Roman"/>
              </w:rPr>
            </w:pPr>
            <w:r>
              <w:rPr>
                <w:rFonts w:eastAsia="Times New Roman"/>
              </w:rPr>
              <w:t>二、相关单位对修复效果的意见</w:t>
            </w:r>
          </w:p>
          <w:p w14:paraId="4AF54D9B">
            <w:pPr>
              <w:pStyle w:val="40"/>
              <w:ind w:firstLine="360" w:firstLineChars="200"/>
              <w:jc w:val="left"/>
              <w:rPr>
                <w:rFonts w:eastAsia="Times New Roman"/>
              </w:rPr>
            </w:pPr>
            <w:r>
              <w:rPr>
                <w:rFonts w:eastAsia="Times New Roman"/>
              </w:rPr>
              <w:t>1.设计单位意见</w:t>
            </w:r>
          </w:p>
          <w:p w14:paraId="3FAF019C">
            <w:pPr>
              <w:pStyle w:val="40"/>
              <w:ind w:firstLine="360" w:firstLineChars="200"/>
              <w:jc w:val="left"/>
              <w:rPr>
                <w:rFonts w:eastAsia="Times New Roman"/>
              </w:rPr>
            </w:pPr>
            <w:r>
              <w:rPr>
                <w:rFonts w:eastAsia="Times New Roman"/>
              </w:rPr>
              <w:t>2.监理单位意见</w:t>
            </w:r>
          </w:p>
          <w:p w14:paraId="37DD9065">
            <w:pPr>
              <w:pStyle w:val="40"/>
              <w:ind w:firstLine="360" w:firstLineChars="200"/>
              <w:jc w:val="left"/>
              <w:rPr>
                <w:rFonts w:eastAsia="Times New Roman"/>
              </w:rPr>
            </w:pPr>
            <w:r>
              <w:rPr>
                <w:rFonts w:eastAsia="Times New Roman"/>
              </w:rPr>
              <w:t>3.</w:t>
            </w:r>
            <w:r>
              <w:rPr>
                <w:rFonts w:hint="eastAsia" w:eastAsia="Times New Roman"/>
              </w:rPr>
              <w:t>……</w:t>
            </w:r>
          </w:p>
          <w:p w14:paraId="49F93A8C">
            <w:pPr>
              <w:pStyle w:val="40"/>
              <w:ind w:firstLine="360" w:firstLineChars="200"/>
              <w:jc w:val="left"/>
              <w:rPr>
                <w:rFonts w:eastAsia="Times New Roman"/>
              </w:rPr>
            </w:pPr>
          </w:p>
          <w:p w14:paraId="7947EE1D">
            <w:pPr>
              <w:pStyle w:val="40"/>
              <w:ind w:firstLine="360" w:firstLineChars="200"/>
              <w:jc w:val="left"/>
              <w:rPr>
                <w:rFonts w:eastAsia="Times New Roman"/>
              </w:rPr>
            </w:pPr>
          </w:p>
          <w:p w14:paraId="5786C5E5">
            <w:pPr>
              <w:pStyle w:val="40"/>
              <w:spacing w:before="156" w:beforeLines="50" w:after="156" w:afterLines="50"/>
              <w:jc w:val="left"/>
              <w:rPr>
                <w:rFonts w:eastAsia="Times New Roman"/>
              </w:rPr>
            </w:pPr>
            <w:r>
              <w:rPr>
                <w:rFonts w:eastAsia="Times New Roman"/>
              </w:rPr>
              <w:t>三、项目资金(审计)情况</w:t>
            </w:r>
          </w:p>
          <w:p w14:paraId="6862C9AA">
            <w:pPr>
              <w:pStyle w:val="40"/>
              <w:ind w:firstLine="360" w:firstLineChars="200"/>
              <w:jc w:val="left"/>
              <w:rPr>
                <w:rFonts w:eastAsia="Times New Roman"/>
              </w:rPr>
            </w:pPr>
          </w:p>
          <w:p w14:paraId="30DF790B">
            <w:pPr>
              <w:pStyle w:val="40"/>
              <w:ind w:firstLine="360" w:firstLineChars="200"/>
              <w:jc w:val="left"/>
              <w:rPr>
                <w:rFonts w:eastAsia="Times New Roman"/>
              </w:rPr>
            </w:pPr>
          </w:p>
          <w:p w14:paraId="08335F42">
            <w:pPr>
              <w:pStyle w:val="40"/>
              <w:ind w:firstLine="360" w:firstLineChars="200"/>
              <w:jc w:val="left"/>
              <w:rPr>
                <w:rFonts w:eastAsia="Times New Roman"/>
              </w:rPr>
            </w:pPr>
          </w:p>
          <w:p w14:paraId="35DA2CA9">
            <w:pPr>
              <w:pStyle w:val="40"/>
              <w:spacing w:before="156" w:beforeLines="50" w:after="156" w:afterLines="50"/>
              <w:jc w:val="left"/>
              <w:rPr>
                <w:rFonts w:eastAsia="Times New Roman"/>
              </w:rPr>
            </w:pPr>
            <w:r>
              <w:rPr>
                <w:rFonts w:eastAsia="Times New Roman"/>
              </w:rPr>
              <w:t>四、验收组总体评述</w:t>
            </w:r>
          </w:p>
          <w:p w14:paraId="0DF02664">
            <w:pPr>
              <w:pStyle w:val="40"/>
              <w:ind w:firstLine="360" w:firstLineChars="200"/>
              <w:jc w:val="left"/>
              <w:rPr>
                <w:rFonts w:eastAsia="Times New Roman"/>
              </w:rPr>
            </w:pPr>
            <w:r>
              <w:rPr>
                <w:rFonts w:eastAsia="Times New Roman"/>
              </w:rPr>
              <w:t>1.工程量完成情况</w:t>
            </w:r>
          </w:p>
          <w:p w14:paraId="50FD7962">
            <w:pPr>
              <w:pStyle w:val="40"/>
              <w:ind w:firstLine="360" w:firstLineChars="200"/>
              <w:jc w:val="left"/>
              <w:rPr>
                <w:rFonts w:eastAsia="Times New Roman"/>
              </w:rPr>
            </w:pPr>
            <w:r>
              <w:rPr>
                <w:rFonts w:eastAsia="Times New Roman"/>
              </w:rPr>
              <w:t>2.工程质量情况</w:t>
            </w:r>
          </w:p>
          <w:p w14:paraId="27268124">
            <w:pPr>
              <w:pStyle w:val="40"/>
              <w:ind w:firstLine="360" w:firstLineChars="200"/>
              <w:jc w:val="left"/>
              <w:rPr>
                <w:rFonts w:eastAsia="Times New Roman"/>
              </w:rPr>
            </w:pPr>
            <w:r>
              <w:rPr>
                <w:rFonts w:eastAsia="Times New Roman"/>
              </w:rPr>
              <w:t>3.修复效果</w:t>
            </w:r>
          </w:p>
          <w:p w14:paraId="0B350212">
            <w:pPr>
              <w:pStyle w:val="40"/>
              <w:ind w:firstLine="360" w:firstLineChars="200"/>
              <w:jc w:val="left"/>
              <w:rPr>
                <w:rFonts w:eastAsia="Times New Roman"/>
              </w:rPr>
            </w:pPr>
            <w:r>
              <w:rPr>
                <w:rFonts w:eastAsia="Times New Roman"/>
              </w:rPr>
              <w:t xml:space="preserve">4.财务情况  </w:t>
            </w:r>
          </w:p>
          <w:p w14:paraId="0B9D24AA">
            <w:pPr>
              <w:pStyle w:val="40"/>
              <w:ind w:firstLine="360" w:firstLineChars="200"/>
              <w:jc w:val="left"/>
              <w:rPr>
                <w:rFonts w:eastAsia="Times New Roman"/>
              </w:rPr>
            </w:pPr>
            <w:r>
              <w:rPr>
                <w:rFonts w:eastAsia="Times New Roman"/>
              </w:rPr>
              <w:t>5.</w:t>
            </w:r>
            <w:r>
              <w:rPr>
                <w:rFonts w:hint="eastAsia" w:eastAsia="Times New Roman"/>
              </w:rPr>
              <w:t xml:space="preserve"> ……</w:t>
            </w:r>
            <w:r>
              <w:rPr>
                <w:rFonts w:eastAsia="Times New Roman"/>
              </w:rPr>
              <w:t xml:space="preserve">     </w:t>
            </w:r>
          </w:p>
          <w:p w14:paraId="2694431C">
            <w:pPr>
              <w:pStyle w:val="40"/>
              <w:ind w:firstLine="360" w:firstLineChars="200"/>
              <w:jc w:val="left"/>
              <w:rPr>
                <w:rFonts w:eastAsia="Times New Roman"/>
              </w:rPr>
            </w:pPr>
          </w:p>
          <w:p w14:paraId="20DF493D">
            <w:pPr>
              <w:pStyle w:val="40"/>
              <w:ind w:firstLine="360" w:firstLineChars="200"/>
              <w:jc w:val="left"/>
              <w:rPr>
                <w:rFonts w:eastAsia="Times New Roman"/>
              </w:rPr>
            </w:pPr>
          </w:p>
          <w:p w14:paraId="31096840">
            <w:pPr>
              <w:pStyle w:val="40"/>
              <w:spacing w:before="156" w:beforeLines="50" w:after="156" w:afterLines="50"/>
              <w:jc w:val="left"/>
              <w:rPr>
                <w:rFonts w:eastAsia="Times New Roman"/>
              </w:rPr>
            </w:pPr>
            <w:r>
              <w:rPr>
                <w:rFonts w:eastAsia="Times New Roman"/>
              </w:rPr>
              <w:t>五、存在问题及要求</w:t>
            </w:r>
          </w:p>
          <w:p w14:paraId="50F136D7">
            <w:pPr>
              <w:pStyle w:val="40"/>
              <w:ind w:firstLine="360" w:firstLineChars="200"/>
              <w:jc w:val="left"/>
              <w:rPr>
                <w:rFonts w:eastAsia="Times New Roman"/>
              </w:rPr>
            </w:pPr>
          </w:p>
          <w:p w14:paraId="50D1BCE8">
            <w:pPr>
              <w:pStyle w:val="40"/>
              <w:ind w:firstLine="360" w:firstLineChars="200"/>
              <w:jc w:val="left"/>
              <w:rPr>
                <w:rFonts w:eastAsia="Times New Roman"/>
              </w:rPr>
            </w:pPr>
          </w:p>
          <w:p w14:paraId="1948F237">
            <w:pPr>
              <w:pStyle w:val="40"/>
              <w:ind w:firstLine="360" w:firstLineChars="200"/>
              <w:jc w:val="left"/>
              <w:rPr>
                <w:rFonts w:eastAsia="Times New Roman"/>
              </w:rPr>
            </w:pPr>
          </w:p>
          <w:p w14:paraId="1E80EAF8">
            <w:pPr>
              <w:pStyle w:val="40"/>
              <w:spacing w:before="156" w:beforeLines="50" w:after="156" w:afterLines="50"/>
              <w:jc w:val="left"/>
              <w:rPr>
                <w:rFonts w:eastAsia="Times New Roman"/>
              </w:rPr>
            </w:pPr>
            <w:r>
              <w:rPr>
                <w:rFonts w:hint="eastAsia" w:eastAsia="Times New Roman"/>
              </w:rPr>
              <w:t>六、验收结论</w:t>
            </w:r>
          </w:p>
          <w:p w14:paraId="52C2EE68">
            <w:pPr>
              <w:pStyle w:val="40"/>
              <w:ind w:firstLine="360" w:firstLineChars="200"/>
              <w:jc w:val="left"/>
              <w:rPr>
                <w:rFonts w:eastAsia="Times New Roman"/>
              </w:rPr>
            </w:pPr>
          </w:p>
          <w:p w14:paraId="1B40DC1B">
            <w:pPr>
              <w:pStyle w:val="40"/>
              <w:ind w:firstLine="360" w:firstLineChars="200"/>
              <w:jc w:val="left"/>
              <w:rPr>
                <w:rFonts w:eastAsia="Times New Roman"/>
              </w:rPr>
            </w:pPr>
          </w:p>
          <w:p w14:paraId="2248C6DC">
            <w:pPr>
              <w:pStyle w:val="40"/>
              <w:ind w:firstLine="360" w:firstLineChars="200"/>
              <w:jc w:val="left"/>
              <w:rPr>
                <w:rFonts w:eastAsia="Times New Roman"/>
              </w:rPr>
            </w:pPr>
          </w:p>
          <w:p w14:paraId="5D01B199">
            <w:pPr>
              <w:pStyle w:val="40"/>
              <w:ind w:firstLine="360" w:firstLineChars="200"/>
              <w:jc w:val="left"/>
              <w:rPr>
                <w:rFonts w:eastAsia="Times New Roman"/>
              </w:rPr>
            </w:pPr>
          </w:p>
          <w:p w14:paraId="250725F5">
            <w:pPr>
              <w:pStyle w:val="40"/>
              <w:rPr>
                <w:rFonts w:eastAsia="Times New Roman"/>
              </w:rPr>
            </w:pPr>
            <w:r>
              <w:rPr>
                <w:rFonts w:hint="eastAsia" w:eastAsia="Times New Roman"/>
              </w:rPr>
              <w:t>验收组长：</w:t>
            </w:r>
          </w:p>
          <w:p w14:paraId="1E47E6A5">
            <w:pPr>
              <w:pStyle w:val="40"/>
              <w:rPr>
                <w:rFonts w:eastAsia="Times New Roman"/>
              </w:rPr>
            </w:pPr>
            <w:r>
              <w:rPr>
                <w:rFonts w:hint="eastAsia" w:eastAsia="Times New Roman"/>
              </w:rPr>
              <w:t>成    员：</w:t>
            </w:r>
          </w:p>
          <w:p w14:paraId="47681C16">
            <w:pPr>
              <w:rPr>
                <w:rFonts w:eastAsia="Times New Roman"/>
              </w:rPr>
            </w:pPr>
            <w:r>
              <w:rPr>
                <w:rFonts w:hint="eastAsia" w:eastAsia="Times New Roman"/>
              </w:rPr>
              <w:t xml:space="preserve">  </w:t>
            </w:r>
          </w:p>
          <w:p w14:paraId="000A5129">
            <w:pPr>
              <w:pStyle w:val="40"/>
              <w:rPr>
                <w:rFonts w:eastAsia="Times New Roman"/>
              </w:rPr>
            </w:pPr>
            <w:r>
              <w:rPr>
                <w:rFonts w:eastAsia="Times New Roman"/>
              </w:rPr>
              <w:t>年</w:t>
            </w:r>
            <w:r>
              <w:rPr>
                <w:rFonts w:eastAsia="Times New Roman"/>
                <w:spacing w:val="9"/>
              </w:rPr>
              <w:t xml:space="preserve">   </w:t>
            </w:r>
            <w:r>
              <w:rPr>
                <w:rFonts w:eastAsia="Times New Roman"/>
              </w:rPr>
              <w:t>月</w:t>
            </w:r>
            <w:r>
              <w:rPr>
                <w:rFonts w:eastAsia="Times New Roman"/>
                <w:spacing w:val="19"/>
              </w:rPr>
              <w:t xml:space="preserve">   </w:t>
            </w:r>
            <w:r>
              <w:rPr>
                <w:rFonts w:eastAsia="Times New Roman"/>
              </w:rPr>
              <w:t>日</w:t>
            </w:r>
          </w:p>
        </w:tc>
      </w:tr>
    </w:tbl>
    <w:p w14:paraId="52CA5519">
      <w:pPr>
        <w:pStyle w:val="67"/>
        <w:sectPr>
          <w:pgSz w:w="11906" w:h="16838"/>
          <w:pgMar w:top="567" w:right="1134" w:bottom="1134" w:left="1418" w:header="1418" w:footer="1134" w:gutter="0"/>
          <w:cols w:space="425" w:num="1"/>
          <w:docGrid w:type="lines" w:linePitch="312" w:charSpace="0"/>
        </w:sectPr>
      </w:pPr>
    </w:p>
    <w:p w14:paraId="372F7893">
      <w:pPr>
        <w:pStyle w:val="45"/>
        <w:adjustRightInd/>
        <w:snapToGrid/>
        <w:ind w:firstLine="420"/>
        <w:rPr>
          <w:rFonts w:eastAsia="黑体"/>
          <w:kern w:val="21"/>
        </w:rPr>
      </w:pPr>
      <w:r>
        <w:rPr>
          <w:rFonts w:hint="eastAsia" w:eastAsia="黑体"/>
          <w:kern w:val="21"/>
        </w:rPr>
        <w:t>B.5 露天矿坑生态修复工程（项目）验收整改意见表。</w:t>
      </w:r>
    </w:p>
    <w:p w14:paraId="333166BC">
      <w:pPr>
        <w:pStyle w:val="67"/>
        <w:spacing w:before="156" w:beforeLines="50" w:after="156" w:afterLines="50"/>
      </w:pPr>
      <w:r>
        <w:t>表</w:t>
      </w:r>
      <w:r>
        <w:rPr>
          <w:rFonts w:hint="eastAsia"/>
        </w:rPr>
        <w:t>B</w:t>
      </w:r>
      <w:r>
        <w:t>.5 露天矿坑生态修复工程（项目）整改意见表</w:t>
      </w:r>
    </w:p>
    <w:tbl>
      <w:tblPr>
        <w:tblStyle w:val="7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00"/>
        <w:gridCol w:w="2892"/>
        <w:gridCol w:w="2444"/>
        <w:gridCol w:w="2328"/>
      </w:tblGrid>
      <w:tr w14:paraId="2455A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jc w:val="center"/>
        </w:trPr>
        <w:tc>
          <w:tcPr>
            <w:tcW w:w="908" w:type="pct"/>
            <w:vAlign w:val="center"/>
          </w:tcPr>
          <w:p w14:paraId="093F1124">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工程(项目) 名称</w:t>
            </w:r>
          </w:p>
        </w:tc>
        <w:tc>
          <w:tcPr>
            <w:tcW w:w="4092" w:type="pct"/>
            <w:gridSpan w:val="3"/>
            <w:vAlign w:val="center"/>
          </w:tcPr>
          <w:p w14:paraId="5381598F">
            <w:pPr>
              <w:pStyle w:val="40"/>
              <w:rPr>
                <w:rFonts w:hint="eastAsia" w:asciiTheme="minorEastAsia" w:hAnsiTheme="minorEastAsia" w:eastAsiaTheme="minorEastAsia" w:cstheme="minorEastAsia"/>
                <w:szCs w:val="18"/>
              </w:rPr>
            </w:pPr>
          </w:p>
        </w:tc>
      </w:tr>
      <w:tr w14:paraId="05609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08" w:type="pct"/>
            <w:vAlign w:val="center"/>
          </w:tcPr>
          <w:p w14:paraId="0510702D">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验收日期</w:t>
            </w:r>
          </w:p>
        </w:tc>
        <w:tc>
          <w:tcPr>
            <w:tcW w:w="1544" w:type="pct"/>
            <w:vAlign w:val="center"/>
          </w:tcPr>
          <w:p w14:paraId="62AC2D83">
            <w:pPr>
              <w:pStyle w:val="40"/>
              <w:rPr>
                <w:rFonts w:hint="eastAsia" w:asciiTheme="minorEastAsia" w:hAnsiTheme="minorEastAsia" w:eastAsiaTheme="minorEastAsia" w:cstheme="minorEastAsia"/>
                <w:szCs w:val="18"/>
              </w:rPr>
            </w:pPr>
          </w:p>
        </w:tc>
        <w:tc>
          <w:tcPr>
            <w:tcW w:w="1305" w:type="pct"/>
            <w:vAlign w:val="center"/>
          </w:tcPr>
          <w:p w14:paraId="025AD927">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专家组长</w:t>
            </w:r>
          </w:p>
        </w:tc>
        <w:tc>
          <w:tcPr>
            <w:tcW w:w="1243" w:type="pct"/>
            <w:vAlign w:val="center"/>
          </w:tcPr>
          <w:p w14:paraId="7249697C">
            <w:pPr>
              <w:pStyle w:val="40"/>
              <w:rPr>
                <w:rFonts w:hint="eastAsia" w:asciiTheme="minorEastAsia" w:hAnsiTheme="minorEastAsia" w:eastAsiaTheme="minorEastAsia" w:cstheme="minorEastAsia"/>
                <w:szCs w:val="18"/>
              </w:rPr>
            </w:pPr>
          </w:p>
        </w:tc>
      </w:tr>
      <w:tr w14:paraId="0E194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6" w:hRule="atLeast"/>
          <w:jc w:val="center"/>
        </w:trPr>
        <w:tc>
          <w:tcPr>
            <w:tcW w:w="908" w:type="pct"/>
            <w:textDirection w:val="tbRlV"/>
            <w:vAlign w:val="center"/>
          </w:tcPr>
          <w:p w14:paraId="665B2599">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必  改  意  见</w:t>
            </w:r>
          </w:p>
        </w:tc>
        <w:tc>
          <w:tcPr>
            <w:tcW w:w="4092" w:type="pct"/>
            <w:gridSpan w:val="3"/>
            <w:vAlign w:val="center"/>
          </w:tcPr>
          <w:p w14:paraId="51BE56EB">
            <w:pPr>
              <w:pStyle w:val="40"/>
              <w:rPr>
                <w:rFonts w:hint="eastAsia" w:asciiTheme="minorEastAsia" w:hAnsiTheme="minorEastAsia" w:eastAsiaTheme="minorEastAsia" w:cstheme="minorEastAsia"/>
                <w:szCs w:val="18"/>
              </w:rPr>
            </w:pPr>
          </w:p>
        </w:tc>
      </w:tr>
      <w:tr w14:paraId="4A258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7" w:hRule="atLeast"/>
          <w:jc w:val="center"/>
        </w:trPr>
        <w:tc>
          <w:tcPr>
            <w:tcW w:w="908" w:type="pct"/>
            <w:vAlign w:val="center"/>
          </w:tcPr>
          <w:p w14:paraId="7A5CEF2B">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工程实施责任单位(施工单位)承诺</w:t>
            </w:r>
          </w:p>
        </w:tc>
        <w:tc>
          <w:tcPr>
            <w:tcW w:w="4092" w:type="pct"/>
            <w:gridSpan w:val="3"/>
            <w:vAlign w:val="center"/>
          </w:tcPr>
          <w:p w14:paraId="5A50383C">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我单位承诺于   年  月  日前按专家组意见完成整改。</w:t>
            </w:r>
          </w:p>
          <w:p w14:paraId="528A3A20">
            <w:pPr>
              <w:pStyle w:val="40"/>
              <w:rPr>
                <w:rFonts w:hint="eastAsia" w:asciiTheme="minorEastAsia" w:hAnsiTheme="minorEastAsia" w:eastAsiaTheme="minorEastAsia" w:cstheme="minorEastAsia"/>
                <w:szCs w:val="18"/>
              </w:rPr>
            </w:pPr>
          </w:p>
          <w:p w14:paraId="1BE4BFC9">
            <w:pPr>
              <w:ind w:firstLine="360"/>
              <w:rPr>
                <w:rFonts w:hint="eastAsia" w:asciiTheme="minorEastAsia" w:hAnsiTheme="minorEastAsia" w:eastAsiaTheme="minorEastAsia" w:cstheme="minorEastAsia"/>
                <w:sz w:val="18"/>
                <w:szCs w:val="18"/>
              </w:rPr>
            </w:pPr>
          </w:p>
          <w:p w14:paraId="319E338C">
            <w:pPr>
              <w:ind w:firstLine="360"/>
              <w:rPr>
                <w:rFonts w:hint="eastAsia" w:asciiTheme="minorEastAsia" w:hAnsiTheme="minorEastAsia" w:eastAsiaTheme="minorEastAsia" w:cstheme="minorEastAsia"/>
                <w:sz w:val="18"/>
                <w:szCs w:val="18"/>
              </w:rPr>
            </w:pPr>
          </w:p>
          <w:p w14:paraId="1D2C5E2C">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签字：</w:t>
            </w:r>
          </w:p>
        </w:tc>
      </w:tr>
      <w:tr w14:paraId="66841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jc w:val="center"/>
        </w:trPr>
        <w:tc>
          <w:tcPr>
            <w:tcW w:w="908" w:type="pct"/>
            <w:vAlign w:val="center"/>
          </w:tcPr>
          <w:p w14:paraId="1DFC59D0">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专家组长复审意见</w:t>
            </w:r>
          </w:p>
        </w:tc>
        <w:tc>
          <w:tcPr>
            <w:tcW w:w="4092" w:type="pct"/>
            <w:gridSpan w:val="3"/>
            <w:vAlign w:val="center"/>
          </w:tcPr>
          <w:p w14:paraId="750E34C9">
            <w:pPr>
              <w:pStyle w:val="40"/>
              <w:rPr>
                <w:rFonts w:hint="eastAsia" w:asciiTheme="minorEastAsia" w:hAnsiTheme="minorEastAsia" w:eastAsiaTheme="minorEastAsia" w:cstheme="minorEastAsia"/>
                <w:szCs w:val="18"/>
              </w:rPr>
            </w:pPr>
          </w:p>
          <w:p w14:paraId="3D0BF403">
            <w:pPr>
              <w:pStyle w:val="40"/>
              <w:rPr>
                <w:rFonts w:hint="eastAsia" w:asciiTheme="minorEastAsia" w:hAnsiTheme="minorEastAsia" w:eastAsiaTheme="minorEastAsia" w:cstheme="minorEastAsia"/>
                <w:szCs w:val="18"/>
              </w:rPr>
            </w:pPr>
          </w:p>
          <w:p w14:paraId="0E9CEDA3">
            <w:pPr>
              <w:pStyle w:val="40"/>
              <w:rPr>
                <w:rFonts w:hint="eastAsia" w:asciiTheme="minorEastAsia" w:hAnsiTheme="minorEastAsia" w:eastAsiaTheme="minorEastAsia" w:cstheme="minorEastAsia"/>
                <w:szCs w:val="18"/>
              </w:rPr>
            </w:pPr>
          </w:p>
          <w:p w14:paraId="355531D3">
            <w:pPr>
              <w:pStyle w:val="40"/>
              <w:rPr>
                <w:rFonts w:hint="eastAsia" w:asciiTheme="minorEastAsia" w:hAnsiTheme="minorEastAsia" w:eastAsiaTheme="minorEastAsia" w:cstheme="minorEastAsia"/>
                <w:szCs w:val="18"/>
              </w:rPr>
            </w:pPr>
          </w:p>
          <w:p w14:paraId="20653A8E">
            <w:pPr>
              <w:pStyle w:val="40"/>
              <w:rPr>
                <w:rFonts w:hint="eastAsia" w:asciiTheme="minorEastAsia" w:hAnsiTheme="minorEastAsia" w:eastAsiaTheme="minorEastAsia" w:cstheme="minorEastAsia"/>
                <w:szCs w:val="18"/>
              </w:rPr>
            </w:pPr>
            <w:r>
              <w:rPr>
                <w:rFonts w:hint="eastAsia" w:asciiTheme="minorEastAsia" w:hAnsiTheme="minorEastAsia" w:eastAsiaTheme="minorEastAsia" w:cstheme="minorEastAsia"/>
                <w:szCs w:val="18"/>
              </w:rPr>
              <w:t>专家组长：</w:t>
            </w:r>
          </w:p>
        </w:tc>
      </w:tr>
    </w:tbl>
    <w:p w14:paraId="747FBEC4">
      <w:pPr>
        <w:pStyle w:val="42"/>
        <w:sectPr>
          <w:pgSz w:w="11906" w:h="16838"/>
          <w:pgMar w:top="567" w:right="1134" w:bottom="1134" w:left="1418" w:header="1418" w:footer="1134" w:gutter="0"/>
          <w:cols w:space="425" w:num="1"/>
          <w:docGrid w:type="lines" w:linePitch="312" w:charSpace="0"/>
        </w:sectPr>
      </w:pPr>
    </w:p>
    <w:p w14:paraId="63C64975">
      <w:pPr>
        <w:pStyle w:val="45"/>
        <w:adjustRightInd/>
        <w:snapToGrid/>
        <w:ind w:firstLine="420"/>
        <w:rPr>
          <w:rFonts w:eastAsia="黑体"/>
          <w:kern w:val="21"/>
        </w:rPr>
      </w:pPr>
      <w:r>
        <w:rPr>
          <w:rFonts w:hint="eastAsia" w:eastAsia="黑体"/>
          <w:kern w:val="21"/>
        </w:rPr>
        <w:t>B.6 露天矿坑生态修复工程（项目）验收专家个人意见表。</w:t>
      </w:r>
    </w:p>
    <w:p w14:paraId="48FCE8D7">
      <w:pPr>
        <w:pStyle w:val="67"/>
        <w:spacing w:before="156" w:beforeLines="50" w:after="156" w:afterLines="50"/>
      </w:pPr>
      <w:r>
        <w:t>表</w:t>
      </w:r>
      <w:r>
        <w:rPr>
          <w:rFonts w:hint="eastAsia"/>
        </w:rPr>
        <w:t>B</w:t>
      </w:r>
      <w:r>
        <w:t>.6 露天矿坑生态修复工程（项目）专家个人意见表</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88"/>
        <w:gridCol w:w="1453"/>
        <w:gridCol w:w="976"/>
        <w:gridCol w:w="1494"/>
        <w:gridCol w:w="1126"/>
        <w:gridCol w:w="2427"/>
      </w:tblGrid>
      <w:tr w14:paraId="6758C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008" w:type="pct"/>
            <w:vAlign w:val="center"/>
          </w:tcPr>
          <w:p w14:paraId="297D6A0E">
            <w:pPr>
              <w:pStyle w:val="40"/>
              <w:rPr>
                <w:rFonts w:ascii="Arial" w:hAnsi="Arial"/>
              </w:rPr>
            </w:pPr>
            <w:r>
              <w:rPr>
                <w:rFonts w:ascii="Arial" w:hAnsi="Arial"/>
              </w:rPr>
              <w:t>项目名称</w:t>
            </w:r>
          </w:p>
        </w:tc>
        <w:tc>
          <w:tcPr>
            <w:tcW w:w="3992" w:type="pct"/>
            <w:gridSpan w:val="5"/>
            <w:vAlign w:val="center"/>
          </w:tcPr>
          <w:p w14:paraId="4B5A6EC8">
            <w:pPr>
              <w:pStyle w:val="40"/>
              <w:rPr>
                <w:rFonts w:ascii="Arial" w:hAnsi="Arial"/>
              </w:rPr>
            </w:pPr>
          </w:p>
        </w:tc>
      </w:tr>
      <w:tr w14:paraId="36D42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8" w:type="pct"/>
            <w:vAlign w:val="center"/>
          </w:tcPr>
          <w:p w14:paraId="537268EC">
            <w:pPr>
              <w:pStyle w:val="40"/>
              <w:rPr>
                <w:rFonts w:ascii="Arial" w:hAnsi="Arial"/>
              </w:rPr>
            </w:pPr>
            <w:r>
              <w:rPr>
                <w:rFonts w:ascii="Arial" w:hAnsi="Arial"/>
              </w:rPr>
              <w:t>验收阶段</w:t>
            </w:r>
          </w:p>
        </w:tc>
        <w:tc>
          <w:tcPr>
            <w:tcW w:w="3992" w:type="pct"/>
            <w:gridSpan w:val="5"/>
            <w:vAlign w:val="center"/>
          </w:tcPr>
          <w:p w14:paraId="672FFB9A">
            <w:pPr>
              <w:pStyle w:val="40"/>
              <w:rPr>
                <w:rFonts w:ascii="Arial" w:hAnsi="Arial"/>
              </w:rPr>
            </w:pPr>
          </w:p>
        </w:tc>
      </w:tr>
      <w:tr w14:paraId="63422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008" w:type="pct"/>
            <w:vAlign w:val="center"/>
          </w:tcPr>
          <w:p w14:paraId="034CD217">
            <w:pPr>
              <w:pStyle w:val="40"/>
              <w:rPr>
                <w:rFonts w:ascii="Arial" w:hAnsi="Arial"/>
              </w:rPr>
            </w:pPr>
            <w:r>
              <w:rPr>
                <w:rFonts w:ascii="Arial" w:hAnsi="Arial"/>
              </w:rPr>
              <w:t>专家姓名</w:t>
            </w:r>
          </w:p>
        </w:tc>
        <w:tc>
          <w:tcPr>
            <w:tcW w:w="776" w:type="pct"/>
            <w:vAlign w:val="center"/>
          </w:tcPr>
          <w:p w14:paraId="352476BA">
            <w:pPr>
              <w:pStyle w:val="40"/>
              <w:rPr>
                <w:rFonts w:ascii="Arial" w:hAnsi="Arial"/>
              </w:rPr>
            </w:pPr>
          </w:p>
        </w:tc>
        <w:tc>
          <w:tcPr>
            <w:tcW w:w="521" w:type="pct"/>
            <w:vAlign w:val="center"/>
          </w:tcPr>
          <w:p w14:paraId="52EB8427">
            <w:pPr>
              <w:pStyle w:val="40"/>
              <w:rPr>
                <w:rFonts w:ascii="Arial" w:hAnsi="Arial"/>
              </w:rPr>
            </w:pPr>
            <w:r>
              <w:rPr>
                <w:rFonts w:ascii="Arial" w:hAnsi="Arial"/>
              </w:rPr>
              <w:t>专业</w:t>
            </w:r>
          </w:p>
        </w:tc>
        <w:tc>
          <w:tcPr>
            <w:tcW w:w="798" w:type="pct"/>
            <w:vAlign w:val="center"/>
          </w:tcPr>
          <w:p w14:paraId="3039C10F">
            <w:pPr>
              <w:pStyle w:val="40"/>
              <w:rPr>
                <w:rFonts w:ascii="Arial" w:hAnsi="Arial"/>
              </w:rPr>
            </w:pPr>
          </w:p>
        </w:tc>
        <w:tc>
          <w:tcPr>
            <w:tcW w:w="601" w:type="pct"/>
            <w:vAlign w:val="center"/>
          </w:tcPr>
          <w:p w14:paraId="32B01DB7">
            <w:pPr>
              <w:pStyle w:val="40"/>
              <w:rPr>
                <w:rFonts w:ascii="Arial" w:hAnsi="Arial"/>
              </w:rPr>
            </w:pPr>
            <w:r>
              <w:rPr>
                <w:rFonts w:ascii="Arial" w:hAnsi="Arial"/>
              </w:rPr>
              <w:t>职称</w:t>
            </w:r>
          </w:p>
        </w:tc>
        <w:tc>
          <w:tcPr>
            <w:tcW w:w="1295" w:type="pct"/>
          </w:tcPr>
          <w:p w14:paraId="2970B0FA">
            <w:pPr>
              <w:pStyle w:val="40"/>
              <w:rPr>
                <w:rFonts w:ascii="Arial" w:hAnsi="Arial"/>
              </w:rPr>
            </w:pPr>
          </w:p>
        </w:tc>
      </w:tr>
      <w:tr w14:paraId="1EAB3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008" w:type="pct"/>
            <w:vAlign w:val="center"/>
          </w:tcPr>
          <w:p w14:paraId="7B3F5889">
            <w:pPr>
              <w:pStyle w:val="40"/>
              <w:rPr>
                <w:rFonts w:ascii="Arial" w:hAnsi="Arial"/>
              </w:rPr>
            </w:pPr>
            <w:r>
              <w:rPr>
                <w:rFonts w:ascii="Arial" w:hAnsi="Arial"/>
              </w:rPr>
              <w:t>验收结论</w:t>
            </w:r>
          </w:p>
        </w:tc>
        <w:tc>
          <w:tcPr>
            <w:tcW w:w="776" w:type="pct"/>
            <w:vAlign w:val="center"/>
          </w:tcPr>
          <w:p w14:paraId="48347615">
            <w:pPr>
              <w:pStyle w:val="40"/>
              <w:rPr>
                <w:rFonts w:ascii="Arial" w:hAnsi="Arial"/>
              </w:rPr>
            </w:pPr>
            <w:r>
              <w:rPr>
                <w:rFonts w:ascii="Arial" w:hAnsi="Arial"/>
              </w:rPr>
              <w:t>通过</w:t>
            </w:r>
          </w:p>
        </w:tc>
        <w:tc>
          <w:tcPr>
            <w:tcW w:w="1319" w:type="pct"/>
            <w:gridSpan w:val="2"/>
            <w:vAlign w:val="center"/>
          </w:tcPr>
          <w:p w14:paraId="1FA2D647">
            <w:pPr>
              <w:pStyle w:val="40"/>
              <w:rPr>
                <w:rFonts w:ascii="Arial" w:hAnsi="Arial"/>
              </w:rPr>
            </w:pPr>
          </w:p>
        </w:tc>
        <w:tc>
          <w:tcPr>
            <w:tcW w:w="601" w:type="pct"/>
            <w:vAlign w:val="center"/>
          </w:tcPr>
          <w:p w14:paraId="450322AE">
            <w:pPr>
              <w:pStyle w:val="40"/>
              <w:rPr>
                <w:rFonts w:ascii="Arial" w:hAnsi="Arial"/>
              </w:rPr>
            </w:pPr>
            <w:r>
              <w:rPr>
                <w:rFonts w:ascii="Arial" w:hAnsi="Arial"/>
              </w:rPr>
              <w:t>不通过</w:t>
            </w:r>
          </w:p>
        </w:tc>
        <w:tc>
          <w:tcPr>
            <w:tcW w:w="1295" w:type="pct"/>
          </w:tcPr>
          <w:p w14:paraId="24565297">
            <w:pPr>
              <w:pStyle w:val="40"/>
              <w:rPr>
                <w:rFonts w:ascii="Arial" w:hAnsi="Arial"/>
              </w:rPr>
            </w:pPr>
          </w:p>
        </w:tc>
      </w:tr>
      <w:tr w14:paraId="2F67B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7" w:hRule="atLeast"/>
        </w:trPr>
        <w:tc>
          <w:tcPr>
            <w:tcW w:w="5000" w:type="pct"/>
            <w:gridSpan w:val="6"/>
          </w:tcPr>
          <w:p w14:paraId="2A15A23F">
            <w:pPr>
              <w:pStyle w:val="40"/>
              <w:jc w:val="both"/>
              <w:rPr>
                <w:rFonts w:ascii="Arial" w:hAnsi="Arial"/>
              </w:rPr>
            </w:pPr>
            <w:r>
              <w:rPr>
                <w:rFonts w:ascii="Arial" w:hAnsi="Arial"/>
              </w:rPr>
              <w:t>验收意见：</w:t>
            </w:r>
          </w:p>
          <w:p w14:paraId="1AFE0615">
            <w:pPr>
              <w:pStyle w:val="40"/>
              <w:rPr>
                <w:rFonts w:ascii="Arial" w:hAnsi="Arial"/>
              </w:rPr>
            </w:pPr>
          </w:p>
          <w:p w14:paraId="1E3C1A24">
            <w:pPr>
              <w:pStyle w:val="40"/>
              <w:rPr>
                <w:rFonts w:ascii="Arial" w:hAnsi="Arial"/>
              </w:rPr>
            </w:pPr>
          </w:p>
          <w:p w14:paraId="02C387A3">
            <w:pPr>
              <w:pStyle w:val="40"/>
              <w:rPr>
                <w:rFonts w:ascii="Arial" w:hAnsi="Arial"/>
              </w:rPr>
            </w:pPr>
          </w:p>
          <w:p w14:paraId="2237204E">
            <w:pPr>
              <w:pStyle w:val="40"/>
              <w:rPr>
                <w:rFonts w:ascii="Arial" w:hAnsi="Arial"/>
              </w:rPr>
            </w:pPr>
          </w:p>
          <w:p w14:paraId="37DF0AA2">
            <w:pPr>
              <w:pStyle w:val="40"/>
              <w:rPr>
                <w:rFonts w:ascii="Arial" w:hAnsi="Arial"/>
              </w:rPr>
            </w:pPr>
          </w:p>
          <w:p w14:paraId="02A7BF79">
            <w:pPr>
              <w:pStyle w:val="40"/>
              <w:rPr>
                <w:rFonts w:ascii="Arial" w:hAnsi="Arial"/>
              </w:rPr>
            </w:pPr>
          </w:p>
          <w:p w14:paraId="78693788">
            <w:pPr>
              <w:pStyle w:val="40"/>
              <w:rPr>
                <w:rFonts w:ascii="Arial" w:hAnsi="Arial"/>
              </w:rPr>
            </w:pPr>
          </w:p>
          <w:p w14:paraId="77844D8C">
            <w:pPr>
              <w:pStyle w:val="40"/>
              <w:rPr>
                <w:rFonts w:ascii="Arial" w:hAnsi="Arial"/>
              </w:rPr>
            </w:pPr>
          </w:p>
          <w:p w14:paraId="299FEF6B">
            <w:pPr>
              <w:pStyle w:val="40"/>
              <w:rPr>
                <w:rFonts w:ascii="Arial" w:hAnsi="Arial"/>
              </w:rPr>
            </w:pPr>
          </w:p>
          <w:p w14:paraId="77B0A393">
            <w:pPr>
              <w:rPr>
                <w:rFonts w:ascii="Arial" w:hAnsi="Arial" w:cs="Arial"/>
              </w:rPr>
            </w:pPr>
          </w:p>
          <w:p w14:paraId="4E803816">
            <w:pPr>
              <w:rPr>
                <w:rFonts w:ascii="Arial" w:hAnsi="Arial" w:cs="Arial"/>
              </w:rPr>
            </w:pPr>
          </w:p>
          <w:p w14:paraId="27F47D3C">
            <w:pPr>
              <w:rPr>
                <w:rFonts w:ascii="Arial" w:hAnsi="Arial" w:cs="Arial"/>
              </w:rPr>
            </w:pPr>
          </w:p>
          <w:p w14:paraId="69752715">
            <w:pPr>
              <w:rPr>
                <w:rFonts w:ascii="Arial" w:hAnsi="Arial" w:cs="Arial"/>
              </w:rPr>
            </w:pPr>
          </w:p>
          <w:p w14:paraId="4E694AFC">
            <w:pPr>
              <w:rPr>
                <w:rFonts w:ascii="Arial" w:hAnsi="Arial" w:cs="Arial"/>
              </w:rPr>
            </w:pPr>
          </w:p>
          <w:p w14:paraId="386E9724">
            <w:pPr>
              <w:rPr>
                <w:rFonts w:ascii="Arial" w:hAnsi="Arial" w:cs="Arial"/>
              </w:rPr>
            </w:pPr>
          </w:p>
          <w:p w14:paraId="05A901A5">
            <w:pPr>
              <w:rPr>
                <w:rFonts w:ascii="Arial" w:hAnsi="Arial" w:cs="Arial"/>
              </w:rPr>
            </w:pPr>
          </w:p>
          <w:p w14:paraId="3FB0C7F2">
            <w:pPr>
              <w:rPr>
                <w:rFonts w:ascii="Arial" w:hAnsi="Arial" w:cs="Arial"/>
              </w:rPr>
            </w:pPr>
          </w:p>
          <w:p w14:paraId="7BF360CF">
            <w:pPr>
              <w:rPr>
                <w:rFonts w:ascii="Arial" w:hAnsi="Arial" w:cs="Arial"/>
              </w:rPr>
            </w:pPr>
          </w:p>
          <w:p w14:paraId="42D5D37E">
            <w:pPr>
              <w:pStyle w:val="40"/>
              <w:rPr>
                <w:rFonts w:ascii="Arial" w:hAnsi="Arial"/>
              </w:rPr>
            </w:pPr>
          </w:p>
          <w:p w14:paraId="201F7100">
            <w:pPr>
              <w:pStyle w:val="40"/>
              <w:rPr>
                <w:rFonts w:ascii="Arial" w:hAnsi="Arial"/>
              </w:rPr>
            </w:pPr>
          </w:p>
          <w:p w14:paraId="713ED9E0">
            <w:pPr>
              <w:pStyle w:val="40"/>
              <w:rPr>
                <w:rFonts w:ascii="Arial" w:hAnsi="Arial"/>
              </w:rPr>
            </w:pPr>
          </w:p>
          <w:p w14:paraId="13394E27">
            <w:pPr>
              <w:pStyle w:val="40"/>
              <w:rPr>
                <w:rFonts w:ascii="Arial" w:hAnsi="Arial"/>
              </w:rPr>
            </w:pPr>
          </w:p>
          <w:p w14:paraId="1877F7AD">
            <w:pPr>
              <w:pStyle w:val="40"/>
              <w:rPr>
                <w:rFonts w:ascii="Arial" w:hAnsi="Arial"/>
              </w:rPr>
            </w:pPr>
          </w:p>
          <w:p w14:paraId="4D656297">
            <w:pPr>
              <w:pStyle w:val="40"/>
              <w:rPr>
                <w:rFonts w:ascii="Arial" w:hAnsi="Arial"/>
              </w:rPr>
            </w:pPr>
          </w:p>
          <w:p w14:paraId="45842448">
            <w:pPr>
              <w:pStyle w:val="40"/>
              <w:rPr>
                <w:rFonts w:ascii="Arial" w:hAnsi="Arial"/>
              </w:rPr>
            </w:pPr>
          </w:p>
          <w:p w14:paraId="7970A76F">
            <w:pPr>
              <w:pStyle w:val="40"/>
              <w:rPr>
                <w:rFonts w:ascii="Arial" w:hAnsi="Arial"/>
              </w:rPr>
            </w:pPr>
          </w:p>
          <w:p w14:paraId="71D43FE3">
            <w:pPr>
              <w:pStyle w:val="40"/>
              <w:rPr>
                <w:rFonts w:ascii="Arial" w:hAnsi="Arial"/>
              </w:rPr>
            </w:pPr>
          </w:p>
          <w:p w14:paraId="76A3DD53">
            <w:pPr>
              <w:pStyle w:val="40"/>
              <w:rPr>
                <w:rFonts w:ascii="Arial" w:hAnsi="Arial"/>
              </w:rPr>
            </w:pPr>
          </w:p>
          <w:p w14:paraId="076EAEB8">
            <w:pPr>
              <w:pStyle w:val="40"/>
              <w:rPr>
                <w:rFonts w:ascii="Arial" w:hAnsi="Arial"/>
              </w:rPr>
            </w:pPr>
          </w:p>
          <w:p w14:paraId="3C317C2C">
            <w:pPr>
              <w:pStyle w:val="40"/>
              <w:rPr>
                <w:rFonts w:ascii="Arial" w:hAnsi="Arial"/>
              </w:rPr>
            </w:pPr>
            <w:r>
              <w:rPr>
                <w:rFonts w:hint="eastAsia" w:ascii="Arial" w:hAnsi="Arial"/>
              </w:rPr>
              <w:t xml:space="preserve">                                      </w:t>
            </w:r>
            <w:r>
              <w:rPr>
                <w:rFonts w:ascii="Arial" w:hAnsi="Arial"/>
              </w:rPr>
              <w:t>专家签名</w:t>
            </w:r>
            <w:r>
              <w:rPr>
                <w:rFonts w:hint="eastAsia" w:ascii="Arial" w:hAnsi="Arial"/>
              </w:rPr>
              <w:t>:</w:t>
            </w:r>
          </w:p>
          <w:p w14:paraId="517567B8">
            <w:pPr>
              <w:rPr>
                <w:rFonts w:ascii="Arial" w:hAnsi="Arial" w:cs="Arial"/>
              </w:rPr>
            </w:pPr>
          </w:p>
          <w:p w14:paraId="2018DF7A">
            <w:pPr>
              <w:pStyle w:val="40"/>
              <w:rPr>
                <w:rFonts w:ascii="Arial" w:hAnsi="Arial"/>
              </w:rPr>
            </w:pPr>
          </w:p>
          <w:p w14:paraId="754218CB">
            <w:pPr>
              <w:pStyle w:val="40"/>
              <w:rPr>
                <w:rFonts w:ascii="Arial" w:hAnsi="Arial"/>
              </w:rPr>
            </w:pPr>
            <w:r>
              <w:rPr>
                <w:rFonts w:hint="eastAsia" w:ascii="Arial" w:hAnsi="Arial"/>
              </w:rPr>
              <w:t xml:space="preserve">                                                                               </w:t>
            </w:r>
            <w:r>
              <w:rPr>
                <w:rFonts w:ascii="Arial" w:hAnsi="Arial"/>
              </w:rPr>
              <w:t>年</w:t>
            </w:r>
            <w:r>
              <w:rPr>
                <w:rFonts w:ascii="Arial" w:hAnsi="Arial"/>
                <w:spacing w:val="10"/>
              </w:rPr>
              <w:t xml:space="preserve">   </w:t>
            </w:r>
            <w:r>
              <w:rPr>
                <w:rFonts w:ascii="Arial" w:hAnsi="Arial"/>
              </w:rPr>
              <w:t>月</w:t>
            </w:r>
            <w:r>
              <w:rPr>
                <w:rFonts w:ascii="Arial" w:hAnsi="Arial"/>
                <w:spacing w:val="20"/>
              </w:rPr>
              <w:t xml:space="preserve">   </w:t>
            </w:r>
            <w:r>
              <w:rPr>
                <w:rFonts w:ascii="Arial" w:hAnsi="Arial"/>
              </w:rPr>
              <w:t>日</w:t>
            </w:r>
          </w:p>
          <w:p w14:paraId="03BE1CE9">
            <w:pPr>
              <w:rPr>
                <w:rFonts w:ascii="Arial" w:hAnsi="Arial" w:cs="Arial"/>
              </w:rPr>
            </w:pPr>
          </w:p>
        </w:tc>
      </w:tr>
    </w:tbl>
    <w:p w14:paraId="3A1E2BD1">
      <w:pPr>
        <w:pStyle w:val="42"/>
        <w:sectPr>
          <w:pgSz w:w="11906" w:h="16838"/>
          <w:pgMar w:top="567" w:right="1134" w:bottom="1134" w:left="1418" w:header="1418" w:footer="1134" w:gutter="0"/>
          <w:cols w:space="425" w:num="1"/>
          <w:docGrid w:type="lines" w:linePitch="312" w:charSpace="0"/>
        </w:sectPr>
      </w:pPr>
    </w:p>
    <w:p w14:paraId="3283BE2E">
      <w:pPr>
        <w:pStyle w:val="60"/>
        <w:numPr>
          <w:ilvl w:val="0"/>
          <w:numId w:val="3"/>
        </w:numPr>
      </w:pPr>
      <w:bookmarkStart w:id="227" w:name="_Toc7787"/>
      <w:r>
        <w:br w:type="textWrapping"/>
      </w:r>
      <w:bookmarkStart w:id="228" w:name="_Toc218963350"/>
      <w:bookmarkStart w:id="229" w:name="_Toc218763815"/>
      <w:bookmarkStart w:id="230" w:name="_Toc218763144"/>
      <w:r>
        <w:t>（</w:t>
      </w:r>
      <w:r>
        <w:rPr>
          <w:rFonts w:hint="eastAsia"/>
        </w:rPr>
        <w:t>规范</w:t>
      </w:r>
      <w:r>
        <w:t>性）</w:t>
      </w:r>
      <w:r>
        <w:br w:type="textWrapping"/>
      </w:r>
      <w:r>
        <w:rPr>
          <w:rFonts w:hint="eastAsia"/>
        </w:rPr>
        <w:t>露天矿坑生态修复工程（项目）项目绩效自评</w:t>
      </w:r>
      <w:bookmarkEnd w:id="227"/>
      <w:bookmarkEnd w:id="228"/>
      <w:bookmarkEnd w:id="229"/>
      <w:bookmarkEnd w:id="230"/>
    </w:p>
    <w:p w14:paraId="0323A89B">
      <w:pPr>
        <w:pStyle w:val="45"/>
        <w:adjustRightInd/>
        <w:snapToGrid/>
        <w:ind w:firstLine="420"/>
        <w:rPr>
          <w:rFonts w:eastAsia="黑体"/>
          <w:kern w:val="21"/>
        </w:rPr>
      </w:pPr>
      <w:r>
        <w:rPr>
          <w:rFonts w:hint="eastAsia" w:eastAsia="黑体"/>
          <w:kern w:val="21"/>
        </w:rPr>
        <w:t>C.1 工程自验通过后，项目实施责任单位应对工程绩效目标完成情况进行评价，将目标完成值与设计目标值进行对照、评定打分，出具项目绩效自评价报告。</w:t>
      </w:r>
    </w:p>
    <w:p w14:paraId="0A07F723">
      <w:pPr>
        <w:pStyle w:val="45"/>
        <w:adjustRightInd/>
        <w:snapToGrid/>
        <w:ind w:firstLine="420"/>
        <w:rPr>
          <w:rFonts w:eastAsia="黑体"/>
          <w:kern w:val="21"/>
        </w:rPr>
      </w:pPr>
      <w:r>
        <w:rPr>
          <w:rFonts w:hint="eastAsia" w:eastAsia="黑体"/>
          <w:kern w:val="21"/>
        </w:rPr>
        <w:t>C.2 绩效考核指标分为一级指标、二级指标、三级指标，满分值100。一、二级指标及其分值设定见表D.1，三级指标、三级指标分值及其评定标准由设计单位在设计时明确。</w:t>
      </w:r>
    </w:p>
    <w:p w14:paraId="6EA0AF5D">
      <w:pPr>
        <w:pStyle w:val="45"/>
        <w:adjustRightInd/>
        <w:snapToGrid/>
        <w:ind w:firstLine="420"/>
        <w:rPr>
          <w:rFonts w:eastAsia="黑体"/>
          <w:kern w:val="21"/>
        </w:rPr>
      </w:pPr>
      <w:r>
        <w:rPr>
          <w:rFonts w:hint="eastAsia" w:eastAsia="黑体"/>
          <w:kern w:val="21"/>
        </w:rPr>
        <w:t>C.3 绩效自评报告编写大纲。</w:t>
      </w:r>
    </w:p>
    <w:p w14:paraId="257475B8">
      <w:pPr>
        <w:adjustRightInd/>
        <w:snapToGrid/>
      </w:pPr>
      <w:r>
        <w:rPr>
          <w:rFonts w:hint="eastAsia"/>
        </w:rPr>
        <w:t>第一章、基本情况</w:t>
      </w:r>
    </w:p>
    <w:p w14:paraId="7FD4D09B">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一、项目概况</w:t>
      </w:r>
    </w:p>
    <w:p w14:paraId="2253D66D">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二、总体目标</w:t>
      </w:r>
    </w:p>
    <w:p w14:paraId="0555E0DA">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三、评价工作情况</w:t>
      </w:r>
    </w:p>
    <w:p w14:paraId="4A9FC916">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第二章、绩效指标完成情况分析</w:t>
      </w:r>
    </w:p>
    <w:p w14:paraId="6EF22C2D">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一、产出指标完成情况分析</w:t>
      </w:r>
    </w:p>
    <w:p w14:paraId="5B95BCB9">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二、效益指标完成情况分析</w:t>
      </w:r>
    </w:p>
    <w:p w14:paraId="1A75E126">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三、满意度指标完成情况分析</w:t>
      </w:r>
    </w:p>
    <w:p w14:paraId="374B1D69">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包括：二、三级指标完成情况及一、二、三级指标得分。</w:t>
      </w:r>
    </w:p>
    <w:p w14:paraId="57B41E3C">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第三章、绩效综合评价</w:t>
      </w:r>
    </w:p>
    <w:p w14:paraId="33F8BC83">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一、总体绩效评价</w:t>
      </w:r>
    </w:p>
    <w:p w14:paraId="6864C9D3">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包括：总体目标完成情况、总分。</w:t>
      </w:r>
    </w:p>
    <w:p w14:paraId="7D9F947E">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二、问题分析</w:t>
      </w:r>
    </w:p>
    <w:p w14:paraId="6E1094BD">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包括：存在的问题，未完成原因、改进措施。</w:t>
      </w:r>
    </w:p>
    <w:p w14:paraId="0D271751">
      <w:pPr>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三、其他需要说明的问题</w:t>
      </w:r>
    </w:p>
    <w:p w14:paraId="2FB62D42">
      <w:pPr>
        <w:adjustRightInd/>
        <w:snapToGrid/>
        <w:rPr>
          <w:rFonts w:hint="eastAsia" w:asciiTheme="minorEastAsia" w:hAnsiTheme="minorEastAsia" w:eastAsiaTheme="minorEastAsia" w:cstheme="minorEastAsia"/>
        </w:rPr>
        <w:sectPr>
          <w:pgSz w:w="11906" w:h="16838"/>
          <w:pgMar w:top="567" w:right="1134" w:bottom="1134" w:left="1418" w:header="1418" w:footer="1134" w:gutter="0"/>
          <w:cols w:space="425" w:num="1"/>
          <w:docGrid w:type="lines" w:linePitch="312" w:charSpace="0"/>
        </w:sectPr>
      </w:pPr>
    </w:p>
    <w:p w14:paraId="7AF3049B">
      <w:pPr>
        <w:pStyle w:val="67"/>
        <w:spacing w:before="156" w:beforeLines="50" w:after="156" w:afterLines="50"/>
      </w:pPr>
      <w:r>
        <w:t>表</w:t>
      </w:r>
      <w:r>
        <w:rPr>
          <w:rFonts w:hint="eastAsia"/>
        </w:rPr>
        <w:t>C</w:t>
      </w:r>
      <w:r>
        <w:t>.1 露天矿坑生态修复工程验收绩效自评表</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28"/>
        <w:gridCol w:w="1043"/>
        <w:gridCol w:w="339"/>
        <w:gridCol w:w="1082"/>
        <w:gridCol w:w="1500"/>
        <w:gridCol w:w="669"/>
        <w:gridCol w:w="444"/>
        <w:gridCol w:w="978"/>
        <w:gridCol w:w="1154"/>
        <w:gridCol w:w="1127"/>
      </w:tblGrid>
      <w:tr w14:paraId="1F95B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5" w:hRule="atLeast"/>
        </w:trPr>
        <w:tc>
          <w:tcPr>
            <w:tcW w:w="1287" w:type="pct"/>
            <w:gridSpan w:val="3"/>
            <w:vAlign w:val="center"/>
          </w:tcPr>
          <w:p w14:paraId="5804A106">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项目(工程)名称</w:t>
            </w:r>
          </w:p>
        </w:tc>
        <w:tc>
          <w:tcPr>
            <w:tcW w:w="3713" w:type="pct"/>
            <w:gridSpan w:val="7"/>
            <w:vAlign w:val="center"/>
          </w:tcPr>
          <w:p w14:paraId="44A2409E">
            <w:pPr>
              <w:pStyle w:val="40"/>
              <w:adjustRightInd/>
              <w:snapToGrid/>
              <w:rPr>
                <w:rFonts w:hint="eastAsia" w:asciiTheme="minorEastAsia" w:hAnsiTheme="minorEastAsia" w:eastAsiaTheme="minorEastAsia" w:cstheme="minorEastAsia"/>
              </w:rPr>
            </w:pPr>
          </w:p>
        </w:tc>
      </w:tr>
      <w:tr w14:paraId="489D8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7" w:type="pct"/>
            <w:gridSpan w:val="3"/>
            <w:vAlign w:val="center"/>
          </w:tcPr>
          <w:p w14:paraId="4D32018D">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项目实施责任单位</w:t>
            </w:r>
          </w:p>
        </w:tc>
        <w:tc>
          <w:tcPr>
            <w:tcW w:w="3713" w:type="pct"/>
            <w:gridSpan w:val="7"/>
            <w:vAlign w:val="center"/>
          </w:tcPr>
          <w:p w14:paraId="12725E6F">
            <w:pPr>
              <w:pStyle w:val="40"/>
              <w:adjustRightInd/>
              <w:snapToGrid/>
              <w:rPr>
                <w:rFonts w:hint="eastAsia" w:asciiTheme="minorEastAsia" w:hAnsiTheme="minorEastAsia" w:eastAsiaTheme="minorEastAsia" w:cstheme="minorEastAsia"/>
              </w:rPr>
            </w:pPr>
          </w:p>
        </w:tc>
      </w:tr>
      <w:tr w14:paraId="6E842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7" w:type="pct"/>
            <w:gridSpan w:val="3"/>
            <w:vAlign w:val="center"/>
          </w:tcPr>
          <w:p w14:paraId="5DF0AA24">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项目施工单位</w:t>
            </w:r>
          </w:p>
        </w:tc>
        <w:tc>
          <w:tcPr>
            <w:tcW w:w="3713" w:type="pct"/>
            <w:gridSpan w:val="7"/>
            <w:vAlign w:val="center"/>
          </w:tcPr>
          <w:p w14:paraId="74BC1525">
            <w:pPr>
              <w:pStyle w:val="40"/>
              <w:adjustRightInd/>
              <w:snapToGrid/>
              <w:rPr>
                <w:rFonts w:hint="eastAsia" w:asciiTheme="minorEastAsia" w:hAnsiTheme="minorEastAsia" w:eastAsiaTheme="minorEastAsia" w:cstheme="minorEastAsia"/>
              </w:rPr>
            </w:pPr>
          </w:p>
        </w:tc>
      </w:tr>
      <w:tr w14:paraId="64340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87" w:type="pct"/>
            <w:gridSpan w:val="3"/>
            <w:vMerge w:val="restart"/>
            <w:tcBorders>
              <w:bottom w:val="nil"/>
            </w:tcBorders>
            <w:vAlign w:val="center"/>
          </w:tcPr>
          <w:p w14:paraId="5EB772DD">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资金来源</w:t>
            </w:r>
          </w:p>
        </w:tc>
        <w:tc>
          <w:tcPr>
            <w:tcW w:w="1736" w:type="pct"/>
            <w:gridSpan w:val="3"/>
            <w:vMerge w:val="restart"/>
            <w:tcBorders>
              <w:bottom w:val="nil"/>
            </w:tcBorders>
            <w:vAlign w:val="center"/>
          </w:tcPr>
          <w:p w14:paraId="3EBE6F03">
            <w:pPr>
              <w:pStyle w:val="40"/>
              <w:adjustRightInd/>
              <w:snapToGrid/>
              <w:rPr>
                <w:rFonts w:hint="eastAsia" w:asciiTheme="minorEastAsia" w:hAnsiTheme="minorEastAsia" w:eastAsiaTheme="minorEastAsia" w:cstheme="minorEastAsia"/>
              </w:rPr>
            </w:pPr>
          </w:p>
        </w:tc>
        <w:tc>
          <w:tcPr>
            <w:tcW w:w="759" w:type="pct"/>
            <w:gridSpan w:val="2"/>
            <w:vAlign w:val="center"/>
          </w:tcPr>
          <w:p w14:paraId="2AB5A10E">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预算数(万元)</w:t>
            </w:r>
          </w:p>
        </w:tc>
        <w:tc>
          <w:tcPr>
            <w:tcW w:w="1219" w:type="pct"/>
            <w:gridSpan w:val="2"/>
            <w:vAlign w:val="center"/>
          </w:tcPr>
          <w:p w14:paraId="14F05D32">
            <w:pPr>
              <w:pStyle w:val="40"/>
              <w:adjustRightInd/>
              <w:snapToGrid/>
              <w:rPr>
                <w:rFonts w:hint="eastAsia" w:asciiTheme="minorEastAsia" w:hAnsiTheme="minorEastAsia" w:eastAsiaTheme="minorEastAsia" w:cstheme="minorEastAsia"/>
              </w:rPr>
            </w:pPr>
          </w:p>
        </w:tc>
      </w:tr>
      <w:tr w14:paraId="621BD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7" w:type="pct"/>
            <w:gridSpan w:val="3"/>
            <w:vMerge w:val="continue"/>
            <w:tcBorders>
              <w:top w:val="nil"/>
            </w:tcBorders>
            <w:vAlign w:val="center"/>
          </w:tcPr>
          <w:p w14:paraId="3B4DFE4A">
            <w:pPr>
              <w:pStyle w:val="40"/>
              <w:adjustRightInd/>
              <w:snapToGrid/>
              <w:rPr>
                <w:rFonts w:hint="eastAsia" w:asciiTheme="minorEastAsia" w:hAnsiTheme="minorEastAsia" w:eastAsiaTheme="minorEastAsia" w:cstheme="minorEastAsia"/>
              </w:rPr>
            </w:pPr>
          </w:p>
        </w:tc>
        <w:tc>
          <w:tcPr>
            <w:tcW w:w="1736" w:type="pct"/>
            <w:gridSpan w:val="3"/>
            <w:vMerge w:val="continue"/>
            <w:tcBorders>
              <w:top w:val="nil"/>
            </w:tcBorders>
            <w:vAlign w:val="center"/>
          </w:tcPr>
          <w:p w14:paraId="3A21408A">
            <w:pPr>
              <w:pStyle w:val="40"/>
              <w:adjustRightInd/>
              <w:snapToGrid/>
              <w:rPr>
                <w:rFonts w:hint="eastAsia" w:asciiTheme="minorEastAsia" w:hAnsiTheme="minorEastAsia" w:eastAsiaTheme="minorEastAsia" w:cstheme="minorEastAsia"/>
              </w:rPr>
            </w:pPr>
          </w:p>
        </w:tc>
        <w:tc>
          <w:tcPr>
            <w:tcW w:w="759" w:type="pct"/>
            <w:gridSpan w:val="2"/>
            <w:vAlign w:val="center"/>
          </w:tcPr>
          <w:p w14:paraId="28B5B7F0">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决算数(万元)</w:t>
            </w:r>
          </w:p>
        </w:tc>
        <w:tc>
          <w:tcPr>
            <w:tcW w:w="1219" w:type="pct"/>
            <w:gridSpan w:val="2"/>
            <w:vAlign w:val="center"/>
          </w:tcPr>
          <w:p w14:paraId="5E5E48CE">
            <w:pPr>
              <w:pStyle w:val="40"/>
              <w:adjustRightInd/>
              <w:snapToGrid/>
              <w:rPr>
                <w:rFonts w:hint="eastAsia" w:asciiTheme="minorEastAsia" w:hAnsiTheme="minorEastAsia" w:eastAsiaTheme="minorEastAsia" w:cstheme="minorEastAsia"/>
              </w:rPr>
            </w:pPr>
          </w:p>
        </w:tc>
      </w:tr>
      <w:tr w14:paraId="2B430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549" w:type="pct"/>
            <w:vAlign w:val="center"/>
          </w:tcPr>
          <w:p w14:paraId="6264A012">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总体目标</w:t>
            </w:r>
          </w:p>
        </w:tc>
        <w:tc>
          <w:tcPr>
            <w:tcW w:w="4451" w:type="pct"/>
            <w:gridSpan w:val="9"/>
            <w:vAlign w:val="center"/>
          </w:tcPr>
          <w:p w14:paraId="495DB705">
            <w:pPr>
              <w:pStyle w:val="40"/>
              <w:adjustRightInd/>
              <w:snapToGrid/>
              <w:rPr>
                <w:rFonts w:hint="eastAsia" w:asciiTheme="minorEastAsia" w:hAnsiTheme="minorEastAsia" w:eastAsiaTheme="minorEastAsia" w:cstheme="minorEastAsia"/>
              </w:rPr>
            </w:pPr>
          </w:p>
        </w:tc>
      </w:tr>
      <w:tr w14:paraId="4DC27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49" w:type="pct"/>
            <w:vMerge w:val="restart"/>
            <w:tcBorders>
              <w:bottom w:val="nil"/>
            </w:tcBorders>
            <w:vAlign w:val="center"/>
          </w:tcPr>
          <w:p w14:paraId="45123E82">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绩效指标</w:t>
            </w:r>
          </w:p>
        </w:tc>
        <w:tc>
          <w:tcPr>
            <w:tcW w:w="557" w:type="pct"/>
            <w:vAlign w:val="center"/>
          </w:tcPr>
          <w:p w14:paraId="67F4DE49">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一级指标</w:t>
            </w:r>
          </w:p>
        </w:tc>
        <w:tc>
          <w:tcPr>
            <w:tcW w:w="759" w:type="pct"/>
            <w:gridSpan w:val="2"/>
            <w:vAlign w:val="center"/>
          </w:tcPr>
          <w:p w14:paraId="3800874A">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二级指标</w:t>
            </w:r>
          </w:p>
        </w:tc>
        <w:tc>
          <w:tcPr>
            <w:tcW w:w="801" w:type="pct"/>
            <w:vAlign w:val="center"/>
          </w:tcPr>
          <w:p w14:paraId="0752E386">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三级指标</w:t>
            </w:r>
          </w:p>
        </w:tc>
        <w:tc>
          <w:tcPr>
            <w:tcW w:w="594" w:type="pct"/>
            <w:gridSpan w:val="2"/>
            <w:vAlign w:val="center"/>
          </w:tcPr>
          <w:p w14:paraId="11EF43A7">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目标值</w:t>
            </w:r>
          </w:p>
        </w:tc>
        <w:tc>
          <w:tcPr>
            <w:tcW w:w="520" w:type="pct"/>
            <w:vAlign w:val="center"/>
          </w:tcPr>
          <w:p w14:paraId="23032B72">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完成值</w:t>
            </w:r>
          </w:p>
        </w:tc>
        <w:tc>
          <w:tcPr>
            <w:tcW w:w="616" w:type="pct"/>
            <w:vAlign w:val="center"/>
          </w:tcPr>
          <w:p w14:paraId="4BA67CB8">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评定得分</w:t>
            </w:r>
          </w:p>
        </w:tc>
        <w:tc>
          <w:tcPr>
            <w:tcW w:w="603" w:type="pct"/>
            <w:vAlign w:val="center"/>
          </w:tcPr>
          <w:p w14:paraId="4D0B838C">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未完成原因</w:t>
            </w:r>
          </w:p>
        </w:tc>
      </w:tr>
      <w:tr w14:paraId="01BAB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37627B6C">
            <w:pPr>
              <w:pStyle w:val="40"/>
              <w:adjustRightInd/>
              <w:snapToGrid/>
              <w:rPr>
                <w:rFonts w:hint="eastAsia" w:asciiTheme="minorEastAsia" w:hAnsiTheme="minorEastAsia" w:eastAsiaTheme="minorEastAsia" w:cstheme="minorEastAsia"/>
              </w:rPr>
            </w:pPr>
          </w:p>
        </w:tc>
        <w:tc>
          <w:tcPr>
            <w:tcW w:w="557" w:type="pct"/>
            <w:vMerge w:val="restart"/>
            <w:tcBorders>
              <w:bottom w:val="nil"/>
            </w:tcBorders>
            <w:vAlign w:val="center"/>
          </w:tcPr>
          <w:p w14:paraId="5825BC6B">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产出指标</w:t>
            </w:r>
          </w:p>
          <w:p w14:paraId="3ABA3B13">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(50分)</w:t>
            </w:r>
          </w:p>
        </w:tc>
        <w:tc>
          <w:tcPr>
            <w:tcW w:w="759" w:type="pct"/>
            <w:gridSpan w:val="2"/>
            <w:vAlign w:val="center"/>
          </w:tcPr>
          <w:p w14:paraId="15791874">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数量指标</w:t>
            </w:r>
            <w:r>
              <w:rPr>
                <w:rFonts w:hint="eastAsia" w:asciiTheme="minorEastAsia" w:hAnsiTheme="minorEastAsia" w:eastAsiaTheme="minorEastAsia" w:cstheme="minorEastAsia"/>
              </w:rPr>
              <w:t>(20分)</w:t>
            </w:r>
          </w:p>
        </w:tc>
        <w:tc>
          <w:tcPr>
            <w:tcW w:w="801" w:type="pct"/>
            <w:vAlign w:val="center"/>
          </w:tcPr>
          <w:p w14:paraId="61ABD7BB">
            <w:pPr>
              <w:pStyle w:val="40"/>
              <w:adjustRightInd/>
              <w:snapToGrid/>
              <w:rPr>
                <w:rFonts w:hint="eastAsia" w:asciiTheme="minorEastAsia" w:hAnsiTheme="minorEastAsia" w:eastAsiaTheme="minorEastAsia" w:cstheme="minorEastAsia"/>
              </w:rPr>
            </w:pPr>
          </w:p>
        </w:tc>
        <w:tc>
          <w:tcPr>
            <w:tcW w:w="594" w:type="pct"/>
            <w:gridSpan w:val="2"/>
            <w:vAlign w:val="center"/>
          </w:tcPr>
          <w:p w14:paraId="1880069D">
            <w:pPr>
              <w:pStyle w:val="40"/>
              <w:adjustRightInd/>
              <w:snapToGrid/>
              <w:rPr>
                <w:rFonts w:hint="eastAsia" w:asciiTheme="minorEastAsia" w:hAnsiTheme="minorEastAsia" w:eastAsiaTheme="minorEastAsia" w:cstheme="minorEastAsia"/>
              </w:rPr>
            </w:pPr>
          </w:p>
        </w:tc>
        <w:tc>
          <w:tcPr>
            <w:tcW w:w="520" w:type="pct"/>
            <w:vAlign w:val="center"/>
          </w:tcPr>
          <w:p w14:paraId="028A7B2C">
            <w:pPr>
              <w:pStyle w:val="40"/>
              <w:adjustRightInd/>
              <w:snapToGrid/>
              <w:rPr>
                <w:rFonts w:hint="eastAsia" w:asciiTheme="minorEastAsia" w:hAnsiTheme="minorEastAsia" w:eastAsiaTheme="minorEastAsia" w:cstheme="minorEastAsia"/>
              </w:rPr>
            </w:pPr>
          </w:p>
        </w:tc>
        <w:tc>
          <w:tcPr>
            <w:tcW w:w="616" w:type="pct"/>
            <w:vAlign w:val="center"/>
          </w:tcPr>
          <w:p w14:paraId="15A3FB10">
            <w:pPr>
              <w:pStyle w:val="40"/>
              <w:adjustRightInd/>
              <w:snapToGrid/>
              <w:rPr>
                <w:rFonts w:hint="eastAsia" w:asciiTheme="minorEastAsia" w:hAnsiTheme="minorEastAsia" w:eastAsiaTheme="minorEastAsia" w:cstheme="minorEastAsia"/>
              </w:rPr>
            </w:pPr>
          </w:p>
        </w:tc>
        <w:tc>
          <w:tcPr>
            <w:tcW w:w="603" w:type="pct"/>
            <w:vAlign w:val="center"/>
          </w:tcPr>
          <w:p w14:paraId="4EE35182">
            <w:pPr>
              <w:pStyle w:val="40"/>
              <w:adjustRightInd/>
              <w:snapToGrid/>
              <w:rPr>
                <w:rFonts w:hint="eastAsia" w:asciiTheme="minorEastAsia" w:hAnsiTheme="minorEastAsia" w:eastAsiaTheme="minorEastAsia" w:cstheme="minorEastAsia"/>
              </w:rPr>
            </w:pPr>
          </w:p>
        </w:tc>
      </w:tr>
      <w:tr w14:paraId="35EF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549" w:type="pct"/>
            <w:vMerge w:val="continue"/>
            <w:tcBorders>
              <w:top w:val="nil"/>
              <w:bottom w:val="nil"/>
            </w:tcBorders>
            <w:vAlign w:val="center"/>
          </w:tcPr>
          <w:p w14:paraId="732449D2">
            <w:pPr>
              <w:pStyle w:val="40"/>
              <w:adjustRightInd/>
              <w:snapToGrid/>
              <w:rPr>
                <w:rFonts w:hint="eastAsia" w:asciiTheme="minorEastAsia" w:hAnsiTheme="minorEastAsia" w:eastAsiaTheme="minorEastAsia" w:cstheme="minorEastAsia"/>
              </w:rPr>
            </w:pPr>
          </w:p>
        </w:tc>
        <w:tc>
          <w:tcPr>
            <w:tcW w:w="557" w:type="pct"/>
            <w:vMerge w:val="continue"/>
            <w:tcBorders>
              <w:top w:val="nil"/>
              <w:bottom w:val="nil"/>
            </w:tcBorders>
            <w:vAlign w:val="center"/>
          </w:tcPr>
          <w:p w14:paraId="5230FA6C">
            <w:pPr>
              <w:pStyle w:val="40"/>
              <w:adjustRightInd/>
              <w:snapToGrid/>
              <w:rPr>
                <w:rFonts w:hint="eastAsia" w:asciiTheme="minorEastAsia" w:hAnsiTheme="minorEastAsia" w:eastAsiaTheme="minorEastAsia" w:cstheme="minorEastAsia"/>
              </w:rPr>
            </w:pPr>
          </w:p>
        </w:tc>
        <w:tc>
          <w:tcPr>
            <w:tcW w:w="759" w:type="pct"/>
            <w:gridSpan w:val="2"/>
            <w:vAlign w:val="center"/>
          </w:tcPr>
          <w:p w14:paraId="3C03D8D3">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质量指标</w:t>
            </w:r>
            <w:r>
              <w:rPr>
                <w:rFonts w:hint="eastAsia" w:asciiTheme="minorEastAsia" w:hAnsiTheme="minorEastAsia" w:eastAsiaTheme="minorEastAsia" w:cstheme="minorEastAsia"/>
              </w:rPr>
              <w:t>(15分)</w:t>
            </w:r>
          </w:p>
        </w:tc>
        <w:tc>
          <w:tcPr>
            <w:tcW w:w="801" w:type="pct"/>
            <w:vAlign w:val="center"/>
          </w:tcPr>
          <w:p w14:paraId="7AA1FD73">
            <w:pPr>
              <w:pStyle w:val="40"/>
              <w:adjustRightInd/>
              <w:snapToGrid/>
              <w:rPr>
                <w:rFonts w:hint="eastAsia" w:asciiTheme="minorEastAsia" w:hAnsiTheme="minorEastAsia" w:eastAsiaTheme="minorEastAsia" w:cstheme="minorEastAsia"/>
              </w:rPr>
            </w:pPr>
          </w:p>
        </w:tc>
        <w:tc>
          <w:tcPr>
            <w:tcW w:w="594" w:type="pct"/>
            <w:gridSpan w:val="2"/>
            <w:vAlign w:val="center"/>
          </w:tcPr>
          <w:p w14:paraId="33852D13">
            <w:pPr>
              <w:pStyle w:val="40"/>
              <w:adjustRightInd/>
              <w:snapToGrid/>
              <w:rPr>
                <w:rFonts w:hint="eastAsia" w:asciiTheme="minorEastAsia" w:hAnsiTheme="minorEastAsia" w:eastAsiaTheme="minorEastAsia" w:cstheme="minorEastAsia"/>
              </w:rPr>
            </w:pPr>
          </w:p>
        </w:tc>
        <w:tc>
          <w:tcPr>
            <w:tcW w:w="520" w:type="pct"/>
            <w:vAlign w:val="center"/>
          </w:tcPr>
          <w:p w14:paraId="171EF4F7">
            <w:pPr>
              <w:pStyle w:val="40"/>
              <w:adjustRightInd/>
              <w:snapToGrid/>
              <w:rPr>
                <w:rFonts w:hint="eastAsia" w:asciiTheme="minorEastAsia" w:hAnsiTheme="minorEastAsia" w:eastAsiaTheme="minorEastAsia" w:cstheme="minorEastAsia"/>
              </w:rPr>
            </w:pPr>
          </w:p>
        </w:tc>
        <w:tc>
          <w:tcPr>
            <w:tcW w:w="616" w:type="pct"/>
            <w:vAlign w:val="center"/>
          </w:tcPr>
          <w:p w14:paraId="19A87103">
            <w:pPr>
              <w:pStyle w:val="40"/>
              <w:adjustRightInd/>
              <w:snapToGrid/>
              <w:rPr>
                <w:rFonts w:hint="eastAsia" w:asciiTheme="minorEastAsia" w:hAnsiTheme="minorEastAsia" w:eastAsiaTheme="minorEastAsia" w:cstheme="minorEastAsia"/>
              </w:rPr>
            </w:pPr>
          </w:p>
        </w:tc>
        <w:tc>
          <w:tcPr>
            <w:tcW w:w="603" w:type="pct"/>
            <w:vAlign w:val="center"/>
          </w:tcPr>
          <w:p w14:paraId="6E044C4A">
            <w:pPr>
              <w:pStyle w:val="40"/>
              <w:adjustRightInd/>
              <w:snapToGrid/>
              <w:rPr>
                <w:rFonts w:hint="eastAsia" w:asciiTheme="minorEastAsia" w:hAnsiTheme="minorEastAsia" w:eastAsiaTheme="minorEastAsia" w:cstheme="minorEastAsia"/>
              </w:rPr>
            </w:pPr>
          </w:p>
        </w:tc>
      </w:tr>
      <w:tr w14:paraId="45CC5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462696A4">
            <w:pPr>
              <w:pStyle w:val="40"/>
              <w:adjustRightInd/>
              <w:snapToGrid/>
              <w:rPr>
                <w:rFonts w:hint="eastAsia" w:asciiTheme="minorEastAsia" w:hAnsiTheme="minorEastAsia" w:eastAsiaTheme="minorEastAsia" w:cstheme="minorEastAsia"/>
              </w:rPr>
            </w:pPr>
          </w:p>
        </w:tc>
        <w:tc>
          <w:tcPr>
            <w:tcW w:w="557" w:type="pct"/>
            <w:vMerge w:val="continue"/>
            <w:tcBorders>
              <w:top w:val="nil"/>
              <w:bottom w:val="nil"/>
            </w:tcBorders>
            <w:vAlign w:val="center"/>
          </w:tcPr>
          <w:p w14:paraId="516DE858">
            <w:pPr>
              <w:pStyle w:val="40"/>
              <w:adjustRightInd/>
              <w:snapToGrid/>
              <w:rPr>
                <w:rFonts w:hint="eastAsia" w:asciiTheme="minorEastAsia" w:hAnsiTheme="minorEastAsia" w:eastAsiaTheme="minorEastAsia" w:cstheme="minorEastAsia"/>
              </w:rPr>
            </w:pPr>
          </w:p>
        </w:tc>
        <w:tc>
          <w:tcPr>
            <w:tcW w:w="759" w:type="pct"/>
            <w:gridSpan w:val="2"/>
            <w:vAlign w:val="center"/>
          </w:tcPr>
          <w:p w14:paraId="00775ED9">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时效指标</w:t>
            </w:r>
            <w:r>
              <w:rPr>
                <w:rFonts w:hint="eastAsia" w:asciiTheme="minorEastAsia" w:hAnsiTheme="minorEastAsia" w:eastAsiaTheme="minorEastAsia" w:cstheme="minorEastAsia"/>
                <w:spacing w:val="8"/>
              </w:rPr>
              <w:t>(10分)</w:t>
            </w:r>
          </w:p>
        </w:tc>
        <w:tc>
          <w:tcPr>
            <w:tcW w:w="801" w:type="pct"/>
            <w:vAlign w:val="center"/>
          </w:tcPr>
          <w:p w14:paraId="7E7E6D5D">
            <w:pPr>
              <w:pStyle w:val="40"/>
              <w:adjustRightInd/>
              <w:snapToGrid/>
              <w:rPr>
                <w:rFonts w:hint="eastAsia" w:asciiTheme="minorEastAsia" w:hAnsiTheme="minorEastAsia" w:eastAsiaTheme="minorEastAsia" w:cstheme="minorEastAsia"/>
              </w:rPr>
            </w:pPr>
          </w:p>
        </w:tc>
        <w:tc>
          <w:tcPr>
            <w:tcW w:w="594" w:type="pct"/>
            <w:gridSpan w:val="2"/>
            <w:vAlign w:val="center"/>
          </w:tcPr>
          <w:p w14:paraId="53369460">
            <w:pPr>
              <w:pStyle w:val="40"/>
              <w:adjustRightInd/>
              <w:snapToGrid/>
              <w:rPr>
                <w:rFonts w:hint="eastAsia" w:asciiTheme="minorEastAsia" w:hAnsiTheme="minorEastAsia" w:eastAsiaTheme="minorEastAsia" w:cstheme="minorEastAsia"/>
              </w:rPr>
            </w:pPr>
          </w:p>
        </w:tc>
        <w:tc>
          <w:tcPr>
            <w:tcW w:w="520" w:type="pct"/>
            <w:vAlign w:val="center"/>
          </w:tcPr>
          <w:p w14:paraId="6FE71B89">
            <w:pPr>
              <w:pStyle w:val="40"/>
              <w:adjustRightInd/>
              <w:snapToGrid/>
              <w:rPr>
                <w:rFonts w:hint="eastAsia" w:asciiTheme="minorEastAsia" w:hAnsiTheme="minorEastAsia" w:eastAsiaTheme="minorEastAsia" w:cstheme="minorEastAsia"/>
              </w:rPr>
            </w:pPr>
          </w:p>
        </w:tc>
        <w:tc>
          <w:tcPr>
            <w:tcW w:w="616" w:type="pct"/>
            <w:vAlign w:val="center"/>
          </w:tcPr>
          <w:p w14:paraId="10184FDB">
            <w:pPr>
              <w:pStyle w:val="40"/>
              <w:adjustRightInd/>
              <w:snapToGrid/>
              <w:rPr>
                <w:rFonts w:hint="eastAsia" w:asciiTheme="minorEastAsia" w:hAnsiTheme="minorEastAsia" w:eastAsiaTheme="minorEastAsia" w:cstheme="minorEastAsia"/>
              </w:rPr>
            </w:pPr>
          </w:p>
        </w:tc>
        <w:tc>
          <w:tcPr>
            <w:tcW w:w="603" w:type="pct"/>
            <w:vAlign w:val="center"/>
          </w:tcPr>
          <w:p w14:paraId="0FBC4C6B">
            <w:pPr>
              <w:pStyle w:val="40"/>
              <w:adjustRightInd/>
              <w:snapToGrid/>
              <w:rPr>
                <w:rFonts w:hint="eastAsia" w:asciiTheme="minorEastAsia" w:hAnsiTheme="minorEastAsia" w:eastAsiaTheme="minorEastAsia" w:cstheme="minorEastAsia"/>
              </w:rPr>
            </w:pPr>
          </w:p>
        </w:tc>
      </w:tr>
      <w:tr w14:paraId="5839B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549" w:type="pct"/>
            <w:vMerge w:val="continue"/>
            <w:tcBorders>
              <w:top w:val="nil"/>
              <w:bottom w:val="nil"/>
            </w:tcBorders>
            <w:vAlign w:val="center"/>
          </w:tcPr>
          <w:p w14:paraId="4C82B333">
            <w:pPr>
              <w:pStyle w:val="40"/>
              <w:adjustRightInd/>
              <w:snapToGrid/>
              <w:rPr>
                <w:rFonts w:hint="eastAsia" w:asciiTheme="minorEastAsia" w:hAnsiTheme="minorEastAsia" w:eastAsiaTheme="minorEastAsia" w:cstheme="minorEastAsia"/>
              </w:rPr>
            </w:pPr>
          </w:p>
        </w:tc>
        <w:tc>
          <w:tcPr>
            <w:tcW w:w="557" w:type="pct"/>
            <w:vMerge w:val="continue"/>
            <w:tcBorders>
              <w:top w:val="nil"/>
            </w:tcBorders>
            <w:vAlign w:val="center"/>
          </w:tcPr>
          <w:p w14:paraId="4D2192EE">
            <w:pPr>
              <w:pStyle w:val="40"/>
              <w:adjustRightInd/>
              <w:snapToGrid/>
              <w:rPr>
                <w:rFonts w:hint="eastAsia" w:asciiTheme="minorEastAsia" w:hAnsiTheme="minorEastAsia" w:eastAsiaTheme="minorEastAsia" w:cstheme="minorEastAsia"/>
              </w:rPr>
            </w:pPr>
          </w:p>
        </w:tc>
        <w:tc>
          <w:tcPr>
            <w:tcW w:w="759" w:type="pct"/>
            <w:gridSpan w:val="2"/>
            <w:vAlign w:val="center"/>
          </w:tcPr>
          <w:p w14:paraId="1C0E816A">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成本指标</w:t>
            </w:r>
            <w:r>
              <w:rPr>
                <w:rFonts w:hint="eastAsia" w:asciiTheme="minorEastAsia" w:hAnsiTheme="minorEastAsia" w:eastAsiaTheme="minorEastAsia" w:cstheme="minorEastAsia"/>
                <w:spacing w:val="11"/>
              </w:rPr>
              <w:t>(5分)</w:t>
            </w:r>
          </w:p>
        </w:tc>
        <w:tc>
          <w:tcPr>
            <w:tcW w:w="801" w:type="pct"/>
            <w:vAlign w:val="center"/>
          </w:tcPr>
          <w:p w14:paraId="738787E3">
            <w:pPr>
              <w:pStyle w:val="40"/>
              <w:adjustRightInd/>
              <w:snapToGrid/>
              <w:rPr>
                <w:rFonts w:hint="eastAsia" w:asciiTheme="minorEastAsia" w:hAnsiTheme="minorEastAsia" w:eastAsiaTheme="minorEastAsia" w:cstheme="minorEastAsia"/>
              </w:rPr>
            </w:pPr>
          </w:p>
        </w:tc>
        <w:tc>
          <w:tcPr>
            <w:tcW w:w="594" w:type="pct"/>
            <w:gridSpan w:val="2"/>
            <w:vAlign w:val="center"/>
          </w:tcPr>
          <w:p w14:paraId="3174FB23">
            <w:pPr>
              <w:pStyle w:val="40"/>
              <w:adjustRightInd/>
              <w:snapToGrid/>
              <w:rPr>
                <w:rFonts w:hint="eastAsia" w:asciiTheme="minorEastAsia" w:hAnsiTheme="minorEastAsia" w:eastAsiaTheme="minorEastAsia" w:cstheme="minorEastAsia"/>
              </w:rPr>
            </w:pPr>
          </w:p>
        </w:tc>
        <w:tc>
          <w:tcPr>
            <w:tcW w:w="520" w:type="pct"/>
            <w:vAlign w:val="center"/>
          </w:tcPr>
          <w:p w14:paraId="6FD3484D">
            <w:pPr>
              <w:pStyle w:val="40"/>
              <w:adjustRightInd/>
              <w:snapToGrid/>
              <w:rPr>
                <w:rFonts w:hint="eastAsia" w:asciiTheme="minorEastAsia" w:hAnsiTheme="minorEastAsia" w:eastAsiaTheme="minorEastAsia" w:cstheme="minorEastAsia"/>
              </w:rPr>
            </w:pPr>
          </w:p>
        </w:tc>
        <w:tc>
          <w:tcPr>
            <w:tcW w:w="616" w:type="pct"/>
            <w:vAlign w:val="center"/>
          </w:tcPr>
          <w:p w14:paraId="1789A2F8">
            <w:pPr>
              <w:pStyle w:val="40"/>
              <w:adjustRightInd/>
              <w:snapToGrid/>
              <w:rPr>
                <w:rFonts w:hint="eastAsia" w:asciiTheme="minorEastAsia" w:hAnsiTheme="minorEastAsia" w:eastAsiaTheme="minorEastAsia" w:cstheme="minorEastAsia"/>
              </w:rPr>
            </w:pPr>
          </w:p>
        </w:tc>
        <w:tc>
          <w:tcPr>
            <w:tcW w:w="603" w:type="pct"/>
            <w:vAlign w:val="center"/>
          </w:tcPr>
          <w:p w14:paraId="163DB447">
            <w:pPr>
              <w:pStyle w:val="40"/>
              <w:adjustRightInd/>
              <w:snapToGrid/>
              <w:rPr>
                <w:rFonts w:hint="eastAsia" w:asciiTheme="minorEastAsia" w:hAnsiTheme="minorEastAsia" w:eastAsiaTheme="minorEastAsia" w:cstheme="minorEastAsia"/>
              </w:rPr>
            </w:pPr>
          </w:p>
        </w:tc>
      </w:tr>
      <w:tr w14:paraId="0D6A6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38A44551">
            <w:pPr>
              <w:pStyle w:val="40"/>
              <w:adjustRightInd/>
              <w:snapToGrid/>
              <w:rPr>
                <w:rFonts w:hint="eastAsia" w:asciiTheme="minorEastAsia" w:hAnsiTheme="minorEastAsia" w:eastAsiaTheme="minorEastAsia" w:cstheme="minorEastAsia"/>
              </w:rPr>
            </w:pPr>
          </w:p>
        </w:tc>
        <w:tc>
          <w:tcPr>
            <w:tcW w:w="557" w:type="pct"/>
            <w:vMerge w:val="restart"/>
            <w:tcBorders>
              <w:bottom w:val="nil"/>
            </w:tcBorders>
            <w:vAlign w:val="center"/>
          </w:tcPr>
          <w:p w14:paraId="11041888">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效益指标</w:t>
            </w:r>
          </w:p>
          <w:p w14:paraId="652DE6A8">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(30分)</w:t>
            </w:r>
          </w:p>
        </w:tc>
        <w:tc>
          <w:tcPr>
            <w:tcW w:w="759" w:type="pct"/>
            <w:gridSpan w:val="2"/>
            <w:vAlign w:val="center"/>
          </w:tcPr>
          <w:p w14:paraId="2CF69F49">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经济效益指标</w:t>
            </w:r>
          </w:p>
          <w:p w14:paraId="0C498EB6">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w:t>
            </w:r>
            <w:r>
              <w:rPr>
                <w:rFonts w:hint="eastAsia" w:asciiTheme="minorEastAsia" w:hAnsiTheme="minorEastAsia" w:eastAsiaTheme="minorEastAsia" w:cstheme="minorEastAsia"/>
              </w:rPr>
              <w:t>10分)</w:t>
            </w:r>
          </w:p>
        </w:tc>
        <w:tc>
          <w:tcPr>
            <w:tcW w:w="801" w:type="pct"/>
            <w:vAlign w:val="center"/>
          </w:tcPr>
          <w:p w14:paraId="7CF491C3">
            <w:pPr>
              <w:pStyle w:val="40"/>
              <w:adjustRightInd/>
              <w:snapToGrid/>
              <w:rPr>
                <w:rFonts w:hint="eastAsia" w:asciiTheme="minorEastAsia" w:hAnsiTheme="minorEastAsia" w:eastAsiaTheme="minorEastAsia" w:cstheme="minorEastAsia"/>
              </w:rPr>
            </w:pPr>
          </w:p>
        </w:tc>
        <w:tc>
          <w:tcPr>
            <w:tcW w:w="594" w:type="pct"/>
            <w:gridSpan w:val="2"/>
            <w:vAlign w:val="center"/>
          </w:tcPr>
          <w:p w14:paraId="4D88E824">
            <w:pPr>
              <w:pStyle w:val="40"/>
              <w:adjustRightInd/>
              <w:snapToGrid/>
              <w:rPr>
                <w:rFonts w:hint="eastAsia" w:asciiTheme="minorEastAsia" w:hAnsiTheme="minorEastAsia" w:eastAsiaTheme="minorEastAsia" w:cstheme="minorEastAsia"/>
              </w:rPr>
            </w:pPr>
          </w:p>
        </w:tc>
        <w:tc>
          <w:tcPr>
            <w:tcW w:w="520" w:type="pct"/>
            <w:vAlign w:val="center"/>
          </w:tcPr>
          <w:p w14:paraId="183E8220">
            <w:pPr>
              <w:pStyle w:val="40"/>
              <w:adjustRightInd/>
              <w:snapToGrid/>
              <w:rPr>
                <w:rFonts w:hint="eastAsia" w:asciiTheme="minorEastAsia" w:hAnsiTheme="minorEastAsia" w:eastAsiaTheme="minorEastAsia" w:cstheme="minorEastAsia"/>
              </w:rPr>
            </w:pPr>
          </w:p>
        </w:tc>
        <w:tc>
          <w:tcPr>
            <w:tcW w:w="616" w:type="pct"/>
            <w:vAlign w:val="center"/>
          </w:tcPr>
          <w:p w14:paraId="3112BF52">
            <w:pPr>
              <w:pStyle w:val="40"/>
              <w:adjustRightInd/>
              <w:snapToGrid/>
              <w:rPr>
                <w:rFonts w:hint="eastAsia" w:asciiTheme="minorEastAsia" w:hAnsiTheme="minorEastAsia" w:eastAsiaTheme="minorEastAsia" w:cstheme="minorEastAsia"/>
              </w:rPr>
            </w:pPr>
          </w:p>
        </w:tc>
        <w:tc>
          <w:tcPr>
            <w:tcW w:w="603" w:type="pct"/>
            <w:vAlign w:val="center"/>
          </w:tcPr>
          <w:p w14:paraId="37428162">
            <w:pPr>
              <w:pStyle w:val="40"/>
              <w:adjustRightInd/>
              <w:snapToGrid/>
              <w:rPr>
                <w:rFonts w:hint="eastAsia" w:asciiTheme="minorEastAsia" w:hAnsiTheme="minorEastAsia" w:eastAsiaTheme="minorEastAsia" w:cstheme="minorEastAsia"/>
              </w:rPr>
            </w:pPr>
          </w:p>
        </w:tc>
      </w:tr>
      <w:tr w14:paraId="6B244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9" w:hRule="atLeast"/>
        </w:trPr>
        <w:tc>
          <w:tcPr>
            <w:tcW w:w="549" w:type="pct"/>
            <w:vMerge w:val="continue"/>
            <w:tcBorders>
              <w:top w:val="nil"/>
              <w:bottom w:val="nil"/>
            </w:tcBorders>
            <w:vAlign w:val="center"/>
          </w:tcPr>
          <w:p w14:paraId="465329F0">
            <w:pPr>
              <w:pStyle w:val="40"/>
              <w:adjustRightInd/>
              <w:snapToGrid/>
              <w:rPr>
                <w:rFonts w:hint="eastAsia" w:asciiTheme="minorEastAsia" w:hAnsiTheme="minorEastAsia" w:eastAsiaTheme="minorEastAsia" w:cstheme="minorEastAsia"/>
              </w:rPr>
            </w:pPr>
          </w:p>
        </w:tc>
        <w:tc>
          <w:tcPr>
            <w:tcW w:w="557" w:type="pct"/>
            <w:vMerge w:val="continue"/>
            <w:tcBorders>
              <w:top w:val="nil"/>
              <w:bottom w:val="nil"/>
            </w:tcBorders>
            <w:vAlign w:val="center"/>
          </w:tcPr>
          <w:p w14:paraId="7F7CB68C">
            <w:pPr>
              <w:pStyle w:val="40"/>
              <w:adjustRightInd/>
              <w:snapToGrid/>
              <w:rPr>
                <w:rFonts w:hint="eastAsia" w:asciiTheme="minorEastAsia" w:hAnsiTheme="minorEastAsia" w:eastAsiaTheme="minorEastAsia" w:cstheme="minorEastAsia"/>
              </w:rPr>
            </w:pPr>
          </w:p>
        </w:tc>
        <w:tc>
          <w:tcPr>
            <w:tcW w:w="759" w:type="pct"/>
            <w:gridSpan w:val="2"/>
            <w:vAlign w:val="center"/>
          </w:tcPr>
          <w:p w14:paraId="6E741B4F">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社会效益指标</w:t>
            </w:r>
          </w:p>
          <w:p w14:paraId="774888AD">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(5分)</w:t>
            </w:r>
          </w:p>
        </w:tc>
        <w:tc>
          <w:tcPr>
            <w:tcW w:w="801" w:type="pct"/>
            <w:vAlign w:val="center"/>
          </w:tcPr>
          <w:p w14:paraId="34B0531A">
            <w:pPr>
              <w:pStyle w:val="40"/>
              <w:adjustRightInd/>
              <w:snapToGrid/>
              <w:rPr>
                <w:rFonts w:hint="eastAsia" w:asciiTheme="minorEastAsia" w:hAnsiTheme="minorEastAsia" w:eastAsiaTheme="minorEastAsia" w:cstheme="minorEastAsia"/>
              </w:rPr>
            </w:pPr>
          </w:p>
        </w:tc>
        <w:tc>
          <w:tcPr>
            <w:tcW w:w="594" w:type="pct"/>
            <w:gridSpan w:val="2"/>
            <w:vAlign w:val="center"/>
          </w:tcPr>
          <w:p w14:paraId="6B70E8D4">
            <w:pPr>
              <w:pStyle w:val="40"/>
              <w:adjustRightInd/>
              <w:snapToGrid/>
              <w:rPr>
                <w:rFonts w:hint="eastAsia" w:asciiTheme="minorEastAsia" w:hAnsiTheme="minorEastAsia" w:eastAsiaTheme="minorEastAsia" w:cstheme="minorEastAsia"/>
              </w:rPr>
            </w:pPr>
          </w:p>
        </w:tc>
        <w:tc>
          <w:tcPr>
            <w:tcW w:w="520" w:type="pct"/>
            <w:vAlign w:val="center"/>
          </w:tcPr>
          <w:p w14:paraId="65A10BCB">
            <w:pPr>
              <w:pStyle w:val="40"/>
              <w:adjustRightInd/>
              <w:snapToGrid/>
              <w:rPr>
                <w:rFonts w:hint="eastAsia" w:asciiTheme="minorEastAsia" w:hAnsiTheme="minorEastAsia" w:eastAsiaTheme="minorEastAsia" w:cstheme="minorEastAsia"/>
              </w:rPr>
            </w:pPr>
          </w:p>
        </w:tc>
        <w:tc>
          <w:tcPr>
            <w:tcW w:w="616" w:type="pct"/>
            <w:vAlign w:val="center"/>
          </w:tcPr>
          <w:p w14:paraId="6E4E5178">
            <w:pPr>
              <w:pStyle w:val="40"/>
              <w:adjustRightInd/>
              <w:snapToGrid/>
              <w:rPr>
                <w:rFonts w:hint="eastAsia" w:asciiTheme="minorEastAsia" w:hAnsiTheme="minorEastAsia" w:eastAsiaTheme="minorEastAsia" w:cstheme="minorEastAsia"/>
              </w:rPr>
            </w:pPr>
          </w:p>
        </w:tc>
        <w:tc>
          <w:tcPr>
            <w:tcW w:w="603" w:type="pct"/>
            <w:vAlign w:val="center"/>
          </w:tcPr>
          <w:p w14:paraId="4D9869EB">
            <w:pPr>
              <w:pStyle w:val="40"/>
              <w:adjustRightInd/>
              <w:snapToGrid/>
              <w:rPr>
                <w:rFonts w:hint="eastAsia" w:asciiTheme="minorEastAsia" w:hAnsiTheme="minorEastAsia" w:eastAsiaTheme="minorEastAsia" w:cstheme="minorEastAsia"/>
              </w:rPr>
            </w:pPr>
          </w:p>
        </w:tc>
      </w:tr>
      <w:tr w14:paraId="15B05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6A376525">
            <w:pPr>
              <w:pStyle w:val="40"/>
              <w:adjustRightInd/>
              <w:snapToGrid/>
              <w:rPr>
                <w:rFonts w:hint="eastAsia" w:asciiTheme="minorEastAsia" w:hAnsiTheme="minorEastAsia" w:eastAsiaTheme="minorEastAsia" w:cstheme="minorEastAsia"/>
              </w:rPr>
            </w:pPr>
          </w:p>
        </w:tc>
        <w:tc>
          <w:tcPr>
            <w:tcW w:w="557" w:type="pct"/>
            <w:vMerge w:val="continue"/>
            <w:tcBorders>
              <w:top w:val="nil"/>
              <w:bottom w:val="nil"/>
            </w:tcBorders>
            <w:vAlign w:val="center"/>
          </w:tcPr>
          <w:p w14:paraId="6A302E8E">
            <w:pPr>
              <w:pStyle w:val="40"/>
              <w:adjustRightInd/>
              <w:snapToGrid/>
              <w:rPr>
                <w:rFonts w:hint="eastAsia" w:asciiTheme="minorEastAsia" w:hAnsiTheme="minorEastAsia" w:eastAsiaTheme="minorEastAsia" w:cstheme="minorEastAsia"/>
              </w:rPr>
            </w:pPr>
          </w:p>
        </w:tc>
        <w:tc>
          <w:tcPr>
            <w:tcW w:w="759" w:type="pct"/>
            <w:gridSpan w:val="2"/>
            <w:vAlign w:val="center"/>
          </w:tcPr>
          <w:p w14:paraId="5576EFED">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生态效益指标</w:t>
            </w:r>
          </w:p>
          <w:p w14:paraId="4EDF37FB">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(10分)</w:t>
            </w:r>
          </w:p>
        </w:tc>
        <w:tc>
          <w:tcPr>
            <w:tcW w:w="801" w:type="pct"/>
            <w:vAlign w:val="center"/>
          </w:tcPr>
          <w:p w14:paraId="64736CB3">
            <w:pPr>
              <w:pStyle w:val="40"/>
              <w:adjustRightInd/>
              <w:snapToGrid/>
              <w:rPr>
                <w:rFonts w:hint="eastAsia" w:asciiTheme="minorEastAsia" w:hAnsiTheme="minorEastAsia" w:eastAsiaTheme="minorEastAsia" w:cstheme="minorEastAsia"/>
              </w:rPr>
            </w:pPr>
          </w:p>
        </w:tc>
        <w:tc>
          <w:tcPr>
            <w:tcW w:w="594" w:type="pct"/>
            <w:gridSpan w:val="2"/>
            <w:vAlign w:val="center"/>
          </w:tcPr>
          <w:p w14:paraId="3B1E0B09">
            <w:pPr>
              <w:pStyle w:val="40"/>
              <w:adjustRightInd/>
              <w:snapToGrid/>
              <w:rPr>
                <w:rFonts w:hint="eastAsia" w:asciiTheme="minorEastAsia" w:hAnsiTheme="minorEastAsia" w:eastAsiaTheme="minorEastAsia" w:cstheme="minorEastAsia"/>
              </w:rPr>
            </w:pPr>
          </w:p>
        </w:tc>
        <w:tc>
          <w:tcPr>
            <w:tcW w:w="520" w:type="pct"/>
            <w:vAlign w:val="center"/>
          </w:tcPr>
          <w:p w14:paraId="0A9A235A">
            <w:pPr>
              <w:pStyle w:val="40"/>
              <w:adjustRightInd/>
              <w:snapToGrid/>
              <w:rPr>
                <w:rFonts w:hint="eastAsia" w:asciiTheme="minorEastAsia" w:hAnsiTheme="minorEastAsia" w:eastAsiaTheme="minorEastAsia" w:cstheme="minorEastAsia"/>
              </w:rPr>
            </w:pPr>
          </w:p>
        </w:tc>
        <w:tc>
          <w:tcPr>
            <w:tcW w:w="616" w:type="pct"/>
            <w:vAlign w:val="center"/>
          </w:tcPr>
          <w:p w14:paraId="564AE752">
            <w:pPr>
              <w:pStyle w:val="40"/>
              <w:adjustRightInd/>
              <w:snapToGrid/>
              <w:rPr>
                <w:rFonts w:hint="eastAsia" w:asciiTheme="minorEastAsia" w:hAnsiTheme="minorEastAsia" w:eastAsiaTheme="minorEastAsia" w:cstheme="minorEastAsia"/>
              </w:rPr>
            </w:pPr>
          </w:p>
        </w:tc>
        <w:tc>
          <w:tcPr>
            <w:tcW w:w="603" w:type="pct"/>
            <w:vAlign w:val="center"/>
          </w:tcPr>
          <w:p w14:paraId="12991467">
            <w:pPr>
              <w:pStyle w:val="40"/>
              <w:adjustRightInd/>
              <w:snapToGrid/>
              <w:rPr>
                <w:rFonts w:hint="eastAsia" w:asciiTheme="minorEastAsia" w:hAnsiTheme="minorEastAsia" w:eastAsiaTheme="minorEastAsia" w:cstheme="minorEastAsia"/>
              </w:rPr>
            </w:pPr>
          </w:p>
        </w:tc>
      </w:tr>
      <w:tr w14:paraId="5756E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549" w:type="pct"/>
            <w:vMerge w:val="continue"/>
            <w:tcBorders>
              <w:top w:val="nil"/>
              <w:bottom w:val="nil"/>
            </w:tcBorders>
            <w:vAlign w:val="center"/>
          </w:tcPr>
          <w:p w14:paraId="2A1ABFDE">
            <w:pPr>
              <w:pStyle w:val="40"/>
              <w:adjustRightInd/>
              <w:snapToGrid/>
              <w:rPr>
                <w:rFonts w:hint="eastAsia" w:asciiTheme="minorEastAsia" w:hAnsiTheme="minorEastAsia" w:eastAsiaTheme="minorEastAsia" w:cstheme="minorEastAsia"/>
              </w:rPr>
            </w:pPr>
          </w:p>
        </w:tc>
        <w:tc>
          <w:tcPr>
            <w:tcW w:w="557" w:type="pct"/>
            <w:vMerge w:val="continue"/>
            <w:tcBorders>
              <w:top w:val="nil"/>
            </w:tcBorders>
            <w:vAlign w:val="center"/>
          </w:tcPr>
          <w:p w14:paraId="5F3F6C5B">
            <w:pPr>
              <w:pStyle w:val="40"/>
              <w:adjustRightInd/>
              <w:snapToGrid/>
              <w:rPr>
                <w:rFonts w:hint="eastAsia" w:asciiTheme="minorEastAsia" w:hAnsiTheme="minorEastAsia" w:eastAsiaTheme="minorEastAsia" w:cstheme="minorEastAsia"/>
              </w:rPr>
            </w:pPr>
          </w:p>
        </w:tc>
        <w:tc>
          <w:tcPr>
            <w:tcW w:w="759" w:type="pct"/>
            <w:gridSpan w:val="2"/>
            <w:vAlign w:val="center"/>
          </w:tcPr>
          <w:p w14:paraId="1F2CCE8E">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rPr>
              <w:t>可持续影响指</w:t>
            </w:r>
            <w:r>
              <w:rPr>
                <w:rFonts w:hint="eastAsia" w:asciiTheme="minorEastAsia" w:hAnsiTheme="minorEastAsia" w:eastAsiaTheme="minorEastAsia" w:cstheme="minorEastAsia"/>
                <w:spacing w:val="7"/>
              </w:rPr>
              <w:t>标(5分)</w:t>
            </w:r>
          </w:p>
        </w:tc>
        <w:tc>
          <w:tcPr>
            <w:tcW w:w="801" w:type="pct"/>
            <w:vAlign w:val="center"/>
          </w:tcPr>
          <w:p w14:paraId="14FCDBDB">
            <w:pPr>
              <w:pStyle w:val="40"/>
              <w:adjustRightInd/>
              <w:snapToGrid/>
              <w:rPr>
                <w:rFonts w:hint="eastAsia" w:asciiTheme="minorEastAsia" w:hAnsiTheme="minorEastAsia" w:eastAsiaTheme="minorEastAsia" w:cstheme="minorEastAsia"/>
              </w:rPr>
            </w:pPr>
          </w:p>
        </w:tc>
        <w:tc>
          <w:tcPr>
            <w:tcW w:w="594" w:type="pct"/>
            <w:gridSpan w:val="2"/>
            <w:vAlign w:val="center"/>
          </w:tcPr>
          <w:p w14:paraId="438B11DD">
            <w:pPr>
              <w:pStyle w:val="40"/>
              <w:adjustRightInd/>
              <w:snapToGrid/>
              <w:rPr>
                <w:rFonts w:hint="eastAsia" w:asciiTheme="minorEastAsia" w:hAnsiTheme="minorEastAsia" w:eastAsiaTheme="minorEastAsia" w:cstheme="minorEastAsia"/>
              </w:rPr>
            </w:pPr>
          </w:p>
        </w:tc>
        <w:tc>
          <w:tcPr>
            <w:tcW w:w="520" w:type="pct"/>
            <w:vAlign w:val="center"/>
          </w:tcPr>
          <w:p w14:paraId="493912B1">
            <w:pPr>
              <w:pStyle w:val="40"/>
              <w:adjustRightInd/>
              <w:snapToGrid/>
              <w:rPr>
                <w:rFonts w:hint="eastAsia" w:asciiTheme="minorEastAsia" w:hAnsiTheme="minorEastAsia" w:eastAsiaTheme="minorEastAsia" w:cstheme="minorEastAsia"/>
              </w:rPr>
            </w:pPr>
          </w:p>
        </w:tc>
        <w:tc>
          <w:tcPr>
            <w:tcW w:w="616" w:type="pct"/>
            <w:vAlign w:val="center"/>
          </w:tcPr>
          <w:p w14:paraId="2D8EEE1D">
            <w:pPr>
              <w:pStyle w:val="40"/>
              <w:adjustRightInd/>
              <w:snapToGrid/>
              <w:rPr>
                <w:rFonts w:hint="eastAsia" w:asciiTheme="minorEastAsia" w:hAnsiTheme="minorEastAsia" w:eastAsiaTheme="minorEastAsia" w:cstheme="minorEastAsia"/>
              </w:rPr>
            </w:pPr>
          </w:p>
        </w:tc>
        <w:tc>
          <w:tcPr>
            <w:tcW w:w="603" w:type="pct"/>
            <w:vAlign w:val="center"/>
          </w:tcPr>
          <w:p w14:paraId="5F5191E5">
            <w:pPr>
              <w:pStyle w:val="40"/>
              <w:adjustRightInd/>
              <w:snapToGrid/>
              <w:rPr>
                <w:rFonts w:hint="eastAsia" w:asciiTheme="minorEastAsia" w:hAnsiTheme="minorEastAsia" w:eastAsiaTheme="minorEastAsia" w:cstheme="minorEastAsia"/>
              </w:rPr>
            </w:pPr>
          </w:p>
        </w:tc>
      </w:tr>
      <w:tr w14:paraId="20CB0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49" w:type="pct"/>
            <w:vMerge w:val="continue"/>
            <w:tcBorders>
              <w:top w:val="nil"/>
            </w:tcBorders>
            <w:vAlign w:val="center"/>
          </w:tcPr>
          <w:p w14:paraId="3B5C890D">
            <w:pPr>
              <w:pStyle w:val="40"/>
              <w:adjustRightInd/>
              <w:snapToGrid/>
              <w:rPr>
                <w:rFonts w:hint="eastAsia" w:asciiTheme="minorEastAsia" w:hAnsiTheme="minorEastAsia" w:eastAsiaTheme="minorEastAsia" w:cstheme="minorEastAsia"/>
              </w:rPr>
            </w:pPr>
          </w:p>
        </w:tc>
        <w:tc>
          <w:tcPr>
            <w:tcW w:w="557" w:type="pct"/>
            <w:vAlign w:val="center"/>
          </w:tcPr>
          <w:p w14:paraId="680288A5">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满意度指</w:t>
            </w:r>
            <w:r>
              <w:rPr>
                <w:rFonts w:hint="eastAsia" w:asciiTheme="minorEastAsia" w:hAnsiTheme="minorEastAsia" w:eastAsiaTheme="minorEastAsia" w:cstheme="minorEastAsia"/>
              </w:rPr>
              <w:t>标(20分)</w:t>
            </w:r>
          </w:p>
        </w:tc>
        <w:tc>
          <w:tcPr>
            <w:tcW w:w="759" w:type="pct"/>
            <w:gridSpan w:val="2"/>
            <w:vAlign w:val="center"/>
          </w:tcPr>
          <w:p w14:paraId="44410260">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服务对象满意</w:t>
            </w:r>
            <w:r>
              <w:rPr>
                <w:rFonts w:hint="eastAsia" w:asciiTheme="minorEastAsia" w:hAnsiTheme="minorEastAsia" w:eastAsiaTheme="minorEastAsia" w:cstheme="minorEastAsia"/>
              </w:rPr>
              <w:t>度指标(20分)</w:t>
            </w:r>
          </w:p>
        </w:tc>
        <w:tc>
          <w:tcPr>
            <w:tcW w:w="801" w:type="pct"/>
            <w:vAlign w:val="center"/>
          </w:tcPr>
          <w:p w14:paraId="0D04EDF3">
            <w:pPr>
              <w:pStyle w:val="40"/>
              <w:adjustRightInd/>
              <w:snapToGrid/>
              <w:rPr>
                <w:rFonts w:hint="eastAsia" w:asciiTheme="minorEastAsia" w:hAnsiTheme="minorEastAsia" w:eastAsiaTheme="minorEastAsia" w:cstheme="minorEastAsia"/>
              </w:rPr>
            </w:pPr>
          </w:p>
        </w:tc>
        <w:tc>
          <w:tcPr>
            <w:tcW w:w="594" w:type="pct"/>
            <w:gridSpan w:val="2"/>
            <w:vAlign w:val="center"/>
          </w:tcPr>
          <w:p w14:paraId="11294B49">
            <w:pPr>
              <w:pStyle w:val="40"/>
              <w:adjustRightInd/>
              <w:snapToGrid/>
              <w:rPr>
                <w:rFonts w:hint="eastAsia" w:asciiTheme="minorEastAsia" w:hAnsiTheme="minorEastAsia" w:eastAsiaTheme="minorEastAsia" w:cstheme="minorEastAsia"/>
              </w:rPr>
            </w:pPr>
          </w:p>
        </w:tc>
        <w:tc>
          <w:tcPr>
            <w:tcW w:w="520" w:type="pct"/>
            <w:vAlign w:val="center"/>
          </w:tcPr>
          <w:p w14:paraId="7839F859">
            <w:pPr>
              <w:pStyle w:val="40"/>
              <w:adjustRightInd/>
              <w:snapToGrid/>
              <w:rPr>
                <w:rFonts w:hint="eastAsia" w:asciiTheme="minorEastAsia" w:hAnsiTheme="minorEastAsia" w:eastAsiaTheme="minorEastAsia" w:cstheme="minorEastAsia"/>
              </w:rPr>
            </w:pPr>
          </w:p>
        </w:tc>
        <w:tc>
          <w:tcPr>
            <w:tcW w:w="616" w:type="pct"/>
            <w:vAlign w:val="center"/>
          </w:tcPr>
          <w:p w14:paraId="62F95D73">
            <w:pPr>
              <w:pStyle w:val="40"/>
              <w:adjustRightInd/>
              <w:snapToGrid/>
              <w:rPr>
                <w:rFonts w:hint="eastAsia" w:asciiTheme="minorEastAsia" w:hAnsiTheme="minorEastAsia" w:eastAsiaTheme="minorEastAsia" w:cstheme="minorEastAsia"/>
              </w:rPr>
            </w:pPr>
          </w:p>
        </w:tc>
        <w:tc>
          <w:tcPr>
            <w:tcW w:w="603" w:type="pct"/>
            <w:vAlign w:val="center"/>
          </w:tcPr>
          <w:p w14:paraId="1382ED01">
            <w:pPr>
              <w:pStyle w:val="40"/>
              <w:adjustRightInd/>
              <w:snapToGrid/>
              <w:rPr>
                <w:rFonts w:hint="eastAsia" w:asciiTheme="minorEastAsia" w:hAnsiTheme="minorEastAsia" w:eastAsiaTheme="minorEastAsia" w:cstheme="minorEastAsia"/>
              </w:rPr>
            </w:pPr>
          </w:p>
        </w:tc>
      </w:tr>
      <w:tr w14:paraId="48214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3781" w:type="pct"/>
            <w:gridSpan w:val="8"/>
          </w:tcPr>
          <w:p w14:paraId="28A167F0">
            <w:pPr>
              <w:pStyle w:val="40"/>
              <w:adjustRightInd/>
              <w:snapToGrid/>
              <w:rPr>
                <w:rFonts w:hint="eastAsia" w:asciiTheme="minorEastAsia" w:hAnsiTheme="minorEastAsia" w:eastAsiaTheme="minorEastAsia" w:cstheme="minorEastAsia"/>
              </w:rPr>
            </w:pPr>
          </w:p>
          <w:p w14:paraId="531D2B9E">
            <w:pPr>
              <w:pStyle w:val="40"/>
              <w:adjustRightInd/>
              <w:snapToGrid/>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5"/>
              </w:rPr>
              <w:t>合</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pacing w:val="-5"/>
              </w:rPr>
              <w:t>计</w:t>
            </w:r>
          </w:p>
        </w:tc>
        <w:tc>
          <w:tcPr>
            <w:tcW w:w="616" w:type="pct"/>
          </w:tcPr>
          <w:p w14:paraId="211F268A">
            <w:pPr>
              <w:pStyle w:val="40"/>
              <w:adjustRightInd/>
              <w:snapToGrid/>
              <w:rPr>
                <w:rFonts w:hint="eastAsia" w:asciiTheme="minorEastAsia" w:hAnsiTheme="minorEastAsia" w:eastAsiaTheme="minorEastAsia" w:cstheme="minorEastAsia"/>
              </w:rPr>
            </w:pPr>
          </w:p>
        </w:tc>
        <w:tc>
          <w:tcPr>
            <w:tcW w:w="603" w:type="pct"/>
          </w:tcPr>
          <w:p w14:paraId="43164351">
            <w:pPr>
              <w:pStyle w:val="40"/>
              <w:adjustRightInd/>
              <w:snapToGrid/>
              <w:rPr>
                <w:rFonts w:hint="eastAsia" w:asciiTheme="minorEastAsia" w:hAnsiTheme="minorEastAsia" w:eastAsiaTheme="minorEastAsia" w:cstheme="minorEastAsia"/>
              </w:rPr>
            </w:pPr>
          </w:p>
        </w:tc>
      </w:tr>
    </w:tbl>
    <w:p w14:paraId="3F20E39A">
      <w:pPr>
        <w:pStyle w:val="42"/>
        <w:adjustRightInd/>
        <w:snapToGrid/>
        <w:jc w:val="center"/>
        <w:rPr>
          <w:rFonts w:hint="eastAsia" w:asciiTheme="minorEastAsia" w:hAnsiTheme="minorEastAsia" w:eastAsiaTheme="minorEastAsia" w:cstheme="minorEastAsia"/>
        </w:rPr>
      </w:pPr>
    </w:p>
    <w:p w14:paraId="6BC86EF9">
      <w:pPr>
        <w:pStyle w:val="60"/>
        <w:ind w:firstLine="420"/>
        <w:sectPr>
          <w:pgSz w:w="11906" w:h="16838"/>
          <w:pgMar w:top="567" w:right="1134" w:bottom="1134" w:left="1418" w:header="1418" w:footer="1134" w:gutter="0"/>
          <w:cols w:space="425" w:num="1"/>
          <w:docGrid w:type="lines" w:linePitch="312" w:charSpace="0"/>
        </w:sectPr>
      </w:pPr>
    </w:p>
    <w:p w14:paraId="0356331B">
      <w:pPr>
        <w:pStyle w:val="79"/>
      </w:pPr>
      <w:bookmarkStart w:id="231" w:name="_Toc218763145"/>
      <w:bookmarkStart w:id="232" w:name="_Toc218763816"/>
      <w:bookmarkStart w:id="233" w:name="_Toc3098"/>
      <w:bookmarkStart w:id="234" w:name="_Toc218963351"/>
      <w:r>
        <w:t>参</w:t>
      </w:r>
      <w:r>
        <w:rPr>
          <w:rFonts w:hint="eastAsia"/>
        </w:rPr>
        <w:t xml:space="preserve"> </w:t>
      </w:r>
      <w:r>
        <w:t>考</w:t>
      </w:r>
      <w:r>
        <w:rPr>
          <w:rFonts w:hint="eastAsia"/>
        </w:rPr>
        <w:t xml:space="preserve"> </w:t>
      </w:r>
      <w:r>
        <w:t>文</w:t>
      </w:r>
      <w:r>
        <w:rPr>
          <w:rFonts w:hint="eastAsia"/>
        </w:rPr>
        <w:t xml:space="preserve"> </w:t>
      </w:r>
      <w:r>
        <w:t>献</w:t>
      </w:r>
      <w:bookmarkEnd w:id="231"/>
      <w:bookmarkEnd w:id="232"/>
      <w:bookmarkEnd w:id="233"/>
      <w:bookmarkEnd w:id="234"/>
    </w:p>
    <w:p w14:paraId="1CF354F9">
      <w:pPr>
        <w:adjustRightInd/>
        <w:snapToGrid/>
        <w:rPr>
          <w:rFonts w:eastAsiaTheme="minorEastAsia"/>
        </w:rPr>
      </w:pPr>
      <w:bookmarkStart w:id="235" w:name="OLE_LINK44"/>
      <w:r>
        <w:rPr>
          <w:rFonts w:hint="eastAsia" w:asciiTheme="minorEastAsia" w:hAnsiTheme="minorEastAsia" w:eastAsiaTheme="minorEastAsia"/>
        </w:rPr>
        <w:t>[</w:t>
      </w:r>
      <w:r>
        <w:rPr>
          <w:rFonts w:hint="eastAsia"/>
        </w:rPr>
        <w:t>1</w:t>
      </w:r>
      <w:r>
        <w:rPr>
          <w:rFonts w:hint="eastAsia" w:asciiTheme="minorEastAsia" w:hAnsiTheme="minorEastAsia" w:eastAsiaTheme="minorEastAsia"/>
        </w:rPr>
        <w:t>]</w:t>
      </w:r>
      <w:r>
        <w:rPr>
          <w:rFonts w:hint="eastAsia"/>
        </w:rPr>
        <w:t>《关于印发矿产资源权益金制度改革方案的通知》</w:t>
      </w:r>
      <w:r>
        <w:rPr>
          <w:rFonts w:hint="eastAsia" w:asciiTheme="minorEastAsia" w:hAnsiTheme="minorEastAsia" w:eastAsiaTheme="minorEastAsia"/>
        </w:rPr>
        <w:t>(</w:t>
      </w:r>
      <w:r>
        <w:rPr>
          <w:rFonts w:hint="eastAsia"/>
        </w:rPr>
        <w:t>国发</w:t>
      </w:r>
      <w:r>
        <w:rPr>
          <w:rFonts w:hint="eastAsia" w:asciiTheme="minorEastAsia" w:hAnsiTheme="minorEastAsia" w:eastAsiaTheme="minorEastAsia"/>
        </w:rPr>
        <w:t>(</w:t>
      </w:r>
      <w:r>
        <w:rPr>
          <w:rFonts w:hint="eastAsia"/>
        </w:rPr>
        <w:t>2017</w:t>
      </w:r>
      <w:r>
        <w:rPr>
          <w:rFonts w:hint="eastAsia" w:asciiTheme="minorEastAsia" w:hAnsiTheme="minorEastAsia" w:eastAsiaTheme="minorEastAsia"/>
        </w:rPr>
        <w:t>)</w:t>
      </w:r>
      <w:r>
        <w:rPr>
          <w:rFonts w:hint="eastAsia"/>
        </w:rPr>
        <w:t>29号</w:t>
      </w:r>
      <w:r>
        <w:rPr>
          <w:rFonts w:hint="eastAsia" w:asciiTheme="minorEastAsia" w:hAnsiTheme="minorEastAsia" w:eastAsiaTheme="minorEastAsia"/>
        </w:rPr>
        <w:t>).</w:t>
      </w:r>
    </w:p>
    <w:p w14:paraId="3E0F96D8">
      <w:pPr>
        <w:adjustRightInd/>
        <w:snapToGrid/>
        <w:rPr>
          <w:rFonts w:eastAsiaTheme="minorEastAsia"/>
        </w:rPr>
      </w:pPr>
      <w:r>
        <w:rPr>
          <w:rFonts w:hint="eastAsia" w:asciiTheme="minorEastAsia" w:hAnsiTheme="minorEastAsia" w:eastAsiaTheme="minorEastAsia"/>
        </w:rPr>
        <w:t>[</w:t>
      </w:r>
      <w:r>
        <w:rPr>
          <w:rFonts w:hint="eastAsia"/>
        </w:rPr>
        <w:t>2</w:t>
      </w:r>
      <w:r>
        <w:rPr>
          <w:rFonts w:hint="eastAsia" w:asciiTheme="minorEastAsia" w:hAnsiTheme="minorEastAsia" w:eastAsiaTheme="minorEastAsia"/>
        </w:rPr>
        <w:t>]</w:t>
      </w:r>
      <w:r>
        <w:rPr>
          <w:rFonts w:hint="eastAsia"/>
        </w:rPr>
        <w:t>《土地复垦条例》</w:t>
      </w:r>
      <w:r>
        <w:rPr>
          <w:rFonts w:hint="eastAsia" w:asciiTheme="minorEastAsia" w:hAnsiTheme="minorEastAsia" w:eastAsiaTheme="minorEastAsia"/>
        </w:rPr>
        <w:t>(</w:t>
      </w:r>
      <w:r>
        <w:rPr>
          <w:rFonts w:hint="eastAsia"/>
        </w:rPr>
        <w:t>国务院令第592号发布</w:t>
      </w:r>
      <w:r>
        <w:rPr>
          <w:rFonts w:hint="eastAsia" w:asciiTheme="minorEastAsia" w:hAnsiTheme="minorEastAsia" w:eastAsiaTheme="minorEastAsia"/>
        </w:rPr>
        <w:t>).</w:t>
      </w:r>
    </w:p>
    <w:p w14:paraId="771AB3C2">
      <w:pPr>
        <w:adjustRightInd/>
        <w:snapToGrid/>
        <w:rPr>
          <w:rFonts w:eastAsiaTheme="minorEastAsia"/>
        </w:rPr>
      </w:pPr>
      <w:r>
        <w:rPr>
          <w:rFonts w:hint="eastAsia" w:asciiTheme="minorEastAsia" w:hAnsiTheme="minorEastAsia" w:eastAsiaTheme="minorEastAsia"/>
        </w:rPr>
        <w:t>[</w:t>
      </w:r>
      <w:r>
        <w:rPr>
          <w:rFonts w:hint="eastAsia"/>
        </w:rPr>
        <w:t>3</w:t>
      </w:r>
      <w:r>
        <w:rPr>
          <w:rFonts w:hint="eastAsia" w:asciiTheme="minorEastAsia" w:hAnsiTheme="minorEastAsia" w:eastAsiaTheme="minorEastAsia"/>
        </w:rPr>
        <w:t>]</w:t>
      </w:r>
      <w:r>
        <w:rPr>
          <w:rFonts w:hint="eastAsia"/>
        </w:rPr>
        <w:t>《矿山地质环境保护规定》</w:t>
      </w:r>
      <w:r>
        <w:rPr>
          <w:rFonts w:hint="eastAsia" w:asciiTheme="minorEastAsia" w:hAnsiTheme="minorEastAsia" w:eastAsiaTheme="minorEastAsia"/>
        </w:rPr>
        <w:t>(</w:t>
      </w:r>
      <w:r>
        <w:rPr>
          <w:rFonts w:hint="eastAsia"/>
        </w:rPr>
        <w:t>自然资源部令(2019年)第5号</w:t>
      </w:r>
      <w:r>
        <w:rPr>
          <w:rFonts w:hint="eastAsia" w:asciiTheme="minorEastAsia" w:hAnsiTheme="minorEastAsia" w:eastAsiaTheme="minorEastAsia"/>
        </w:rPr>
        <w:t>)</w:t>
      </w:r>
      <w:r>
        <w:rPr>
          <w:rFonts w:hint="eastAsia" w:eastAsiaTheme="minorEastAsia"/>
        </w:rPr>
        <w:t>.</w:t>
      </w:r>
    </w:p>
    <w:p w14:paraId="566F0AC4">
      <w:pPr>
        <w:adjustRightInd/>
        <w:snapToGrid/>
        <w:rPr>
          <w:rFonts w:eastAsiaTheme="minorEastAsia"/>
        </w:rPr>
      </w:pPr>
      <w:r>
        <w:rPr>
          <w:rFonts w:hint="eastAsia" w:asciiTheme="minorEastAsia" w:hAnsiTheme="minorEastAsia" w:eastAsiaTheme="minorEastAsia"/>
        </w:rPr>
        <w:t>[</w:t>
      </w:r>
      <w:r>
        <w:t>4</w:t>
      </w:r>
      <w:r>
        <w:rPr>
          <w:rFonts w:hint="eastAsia" w:asciiTheme="minorEastAsia" w:hAnsiTheme="minorEastAsia" w:eastAsiaTheme="minorEastAsia"/>
        </w:rPr>
        <w:t>]</w:t>
      </w:r>
      <w:r>
        <w:rPr>
          <w:rFonts w:hint="eastAsia"/>
        </w:rPr>
        <w:t>《地质环境监测管理办法》</w:t>
      </w:r>
      <w:r>
        <w:rPr>
          <w:rFonts w:hint="eastAsia" w:asciiTheme="minorEastAsia" w:hAnsiTheme="minorEastAsia" w:eastAsiaTheme="minorEastAsia"/>
        </w:rPr>
        <w:t>(</w:t>
      </w:r>
      <w:r>
        <w:rPr>
          <w:rFonts w:hint="eastAsia"/>
        </w:rPr>
        <w:t>国土资源部令第59号</w:t>
      </w:r>
      <w:r>
        <w:rPr>
          <w:rFonts w:hint="eastAsia" w:asciiTheme="minorEastAsia" w:hAnsiTheme="minorEastAsia" w:eastAsiaTheme="minorEastAsia"/>
        </w:rPr>
        <w:t>).</w:t>
      </w:r>
    </w:p>
    <w:p w14:paraId="7CFCF39D">
      <w:pPr>
        <w:adjustRightInd/>
        <w:snapToGrid/>
        <w:rPr>
          <w:rFonts w:eastAsiaTheme="minorEastAsia"/>
        </w:rPr>
      </w:pPr>
      <w:r>
        <w:rPr>
          <w:rFonts w:hint="eastAsia" w:asciiTheme="minorEastAsia" w:hAnsiTheme="minorEastAsia" w:eastAsiaTheme="minorEastAsia"/>
        </w:rPr>
        <w:t>[</w:t>
      </w:r>
      <w:r>
        <w:t>5</w:t>
      </w:r>
      <w:r>
        <w:rPr>
          <w:rFonts w:hint="eastAsia" w:asciiTheme="minorEastAsia" w:hAnsiTheme="minorEastAsia" w:eastAsiaTheme="minorEastAsia"/>
        </w:rPr>
        <w:t>]</w:t>
      </w:r>
      <w:r>
        <w:rPr>
          <w:rFonts w:hint="eastAsia"/>
        </w:rPr>
        <w:t>《关于加强矿山地质环境恢复和综合治理的指导意见》</w:t>
      </w:r>
      <w:r>
        <w:rPr>
          <w:rFonts w:hint="eastAsia" w:asciiTheme="minorEastAsia" w:hAnsiTheme="minorEastAsia" w:eastAsiaTheme="minorEastAsia"/>
        </w:rPr>
        <w:t>(</w:t>
      </w:r>
      <w:r>
        <w:rPr>
          <w:rFonts w:hint="eastAsia"/>
        </w:rPr>
        <w:t>国土资发</w:t>
      </w:r>
      <w:r>
        <w:rPr>
          <w:rFonts w:hint="eastAsia" w:asciiTheme="minorEastAsia" w:hAnsiTheme="minorEastAsia" w:eastAsiaTheme="minorEastAsia"/>
        </w:rPr>
        <w:t>(</w:t>
      </w:r>
      <w:r>
        <w:rPr>
          <w:rFonts w:hint="eastAsia"/>
        </w:rPr>
        <w:t>2016</w:t>
      </w:r>
      <w:r>
        <w:rPr>
          <w:rFonts w:hint="eastAsia" w:asciiTheme="minorEastAsia" w:hAnsiTheme="minorEastAsia" w:eastAsiaTheme="minorEastAsia"/>
        </w:rPr>
        <w:t>)</w:t>
      </w:r>
      <w:r>
        <w:rPr>
          <w:rFonts w:hint="eastAsia"/>
        </w:rPr>
        <w:t>63号</w:t>
      </w:r>
      <w:r>
        <w:rPr>
          <w:rFonts w:hint="eastAsia" w:asciiTheme="minorEastAsia" w:hAnsiTheme="minorEastAsia" w:eastAsiaTheme="minorEastAsia"/>
        </w:rPr>
        <w:t>).</w:t>
      </w:r>
    </w:p>
    <w:p w14:paraId="0F1ADC41">
      <w:pPr>
        <w:adjustRightInd/>
        <w:snapToGrid/>
      </w:pPr>
      <w:r>
        <w:rPr>
          <w:rFonts w:hint="eastAsia" w:asciiTheme="minorEastAsia" w:hAnsiTheme="minorEastAsia" w:eastAsiaTheme="minorEastAsia"/>
        </w:rPr>
        <w:t>[</w:t>
      </w:r>
      <w:r>
        <w:t>6</w:t>
      </w:r>
      <w:r>
        <w:rPr>
          <w:rFonts w:hint="eastAsia" w:asciiTheme="minorEastAsia" w:hAnsiTheme="minorEastAsia" w:eastAsiaTheme="minorEastAsia"/>
        </w:rPr>
        <w:t>]</w:t>
      </w:r>
      <w:r>
        <w:rPr>
          <w:rFonts w:hint="eastAsia"/>
        </w:rPr>
        <w:t>《土地复垦条例实施办法》</w:t>
      </w:r>
      <w:r>
        <w:rPr>
          <w:rFonts w:hint="eastAsia" w:asciiTheme="minorEastAsia" w:hAnsiTheme="minorEastAsia" w:eastAsiaTheme="minorEastAsia"/>
        </w:rPr>
        <w:t>(</w:t>
      </w:r>
      <w:r>
        <w:rPr>
          <w:rFonts w:hint="eastAsia"/>
        </w:rPr>
        <w:t>2019年修正版</w:t>
      </w:r>
      <w:r>
        <w:rPr>
          <w:rFonts w:hint="eastAsia" w:asciiTheme="minorEastAsia" w:hAnsiTheme="minorEastAsia" w:eastAsiaTheme="minorEastAsia"/>
        </w:rPr>
        <w:t>).</w:t>
      </w:r>
      <w:r>
        <w:t xml:space="preserve"> </w:t>
      </w:r>
    </w:p>
    <w:p w14:paraId="148053CD">
      <w:pPr>
        <w:adjustRightInd/>
        <w:snapToGrid/>
      </w:pPr>
      <w:r>
        <w:rPr>
          <w:rFonts w:hint="eastAsia" w:asciiTheme="minorEastAsia" w:hAnsiTheme="minorEastAsia" w:eastAsiaTheme="minorEastAsia"/>
        </w:rPr>
        <w:t>[</w:t>
      </w:r>
      <w:r>
        <w:rPr>
          <w:rFonts w:hint="eastAsia"/>
        </w:rPr>
        <w:t>7</w:t>
      </w:r>
      <w:r>
        <w:rPr>
          <w:rFonts w:hint="eastAsia" w:asciiTheme="minorEastAsia" w:hAnsiTheme="minorEastAsia" w:eastAsiaTheme="minorEastAsia"/>
        </w:rPr>
        <w:t>]</w:t>
      </w:r>
      <w:r>
        <w:rPr>
          <w:rFonts w:hint="eastAsia"/>
        </w:rPr>
        <w:t>DB41/T 1836 矿山地质环境恢复治理工程施工质量验收规范.</w:t>
      </w:r>
    </w:p>
    <w:p w14:paraId="1A1B9D11">
      <w:pPr>
        <w:adjustRightInd/>
        <w:snapToGrid/>
      </w:pPr>
      <w:r>
        <w:rPr>
          <w:rFonts w:hint="eastAsia" w:asciiTheme="minorEastAsia" w:hAnsiTheme="minorEastAsia" w:eastAsiaTheme="minorEastAsia"/>
        </w:rPr>
        <w:t>[</w:t>
      </w:r>
      <w:r>
        <w:rPr>
          <w:rFonts w:hint="eastAsia"/>
        </w:rPr>
        <w:t>8</w:t>
      </w:r>
      <w:r>
        <w:rPr>
          <w:rFonts w:hint="eastAsia" w:asciiTheme="minorEastAsia" w:hAnsiTheme="minorEastAsia" w:eastAsiaTheme="minorEastAsia"/>
        </w:rPr>
        <w:t>]</w:t>
      </w:r>
      <w:r>
        <w:rPr>
          <w:rFonts w:hint="eastAsia"/>
        </w:rPr>
        <w:t>DB43/T 2299 矿山生态保护修复工程质量验收规范.</w:t>
      </w:r>
    </w:p>
    <w:p w14:paraId="3065547E">
      <w:pPr>
        <w:adjustRightInd/>
        <w:snapToGrid/>
      </w:pPr>
      <w:r>
        <w:rPr>
          <w:rFonts w:hint="eastAsia" w:asciiTheme="minorEastAsia" w:hAnsiTheme="minorEastAsia" w:eastAsiaTheme="minorEastAsia"/>
        </w:rPr>
        <w:t>[</w:t>
      </w:r>
      <w:r>
        <w:rPr>
          <w:rFonts w:hint="eastAsia"/>
        </w:rPr>
        <w:t>9</w:t>
      </w:r>
      <w:r>
        <w:rPr>
          <w:rFonts w:hint="eastAsia" w:asciiTheme="minorEastAsia" w:hAnsiTheme="minorEastAsia" w:eastAsiaTheme="minorEastAsia"/>
        </w:rPr>
        <w:t>]</w:t>
      </w:r>
      <w:r>
        <w:rPr>
          <w:rFonts w:hint="eastAsia"/>
        </w:rPr>
        <w:t>DB63/T 2072 矿山地质环境恢复治理工程验收指南.</w:t>
      </w:r>
    </w:p>
    <w:p w14:paraId="3A672BE8">
      <w:pPr>
        <w:adjustRightInd/>
        <w:snapToGrid/>
      </w:pPr>
      <w:r>
        <w:rPr>
          <w:rFonts w:hint="eastAsia"/>
        </w:rPr>
        <w:t>[10]</w:t>
      </w:r>
      <w:r>
        <w:t>DB34/T 4756.3 矿山生态修复规程 第3部分：工程验收</w:t>
      </w:r>
      <w:r>
        <w:rPr>
          <w:rFonts w:hint="eastAsia"/>
        </w:rPr>
        <w:t>.</w:t>
      </w:r>
    </w:p>
    <w:p w14:paraId="230C3DB9">
      <w:pPr>
        <w:adjustRightInd/>
        <w:snapToGrid/>
      </w:pPr>
      <w:r>
        <w:rPr>
          <w:rFonts w:hint="eastAsia"/>
        </w:rPr>
        <w:t>[11]</w:t>
      </w:r>
      <w:r>
        <w:t>DB43/T 2889  矿山生态保护修复验收规范</w:t>
      </w:r>
      <w:r>
        <w:rPr>
          <w:rFonts w:hint="eastAsia"/>
        </w:rPr>
        <w:t>.</w:t>
      </w:r>
    </w:p>
    <w:p w14:paraId="27A89EE7">
      <w:pPr>
        <w:adjustRightInd/>
        <w:snapToGrid/>
      </w:pPr>
      <w:r>
        <w:rPr>
          <w:rFonts w:hint="eastAsia"/>
        </w:rPr>
        <w:t>[12]</w:t>
      </w:r>
      <w:r>
        <w:t>DB13/T xxxx  露天生产矿山生态修复效果评价规范（网上征求意见稿）</w:t>
      </w:r>
      <w:r>
        <w:rPr>
          <w:rFonts w:hint="eastAsia"/>
        </w:rPr>
        <w:t>.</w:t>
      </w:r>
    </w:p>
    <w:p w14:paraId="0AE4BC58"/>
    <w:bookmarkEnd w:id="235"/>
    <w:p w14:paraId="041A26D5">
      <w:pPr>
        <w:pStyle w:val="44"/>
        <w:ind w:firstLine="0" w:firstLineChars="0"/>
      </w:pPr>
    </w:p>
    <w:p w14:paraId="7A5068F5"/>
    <w:sectPr>
      <w:pgSz w:w="11906" w:h="16838"/>
      <w:pgMar w:top="567" w:right="1134" w:bottom="1134" w:left="1418" w:header="1418" w:footer="1134"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1067D">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755011"/>
    </w:sdtPr>
    <w:sdtContent>
      <w:p w14:paraId="307D971E">
        <w:pPr>
          <w:pStyle w:val="21"/>
          <w:ind w:firstLine="360"/>
        </w:pPr>
        <w:r>
          <w:rPr>
            <w:lang w:val="zh-CN"/>
          </w:rPr>
          <w:fldChar w:fldCharType="begin"/>
        </w:r>
        <w:r>
          <w:rPr>
            <w:lang w:val="zh-CN"/>
          </w:rPr>
          <w:instrText xml:space="preserve">PAGE   \* MERGEFORMAT</w:instrText>
        </w:r>
        <w:r>
          <w:rPr>
            <w:lang w:val="zh-CN"/>
          </w:rPr>
          <w:fldChar w:fldCharType="separate"/>
        </w:r>
        <w:r>
          <w:rPr>
            <w:lang w:val="zh-CN"/>
          </w:rPr>
          <w:t>26</w:t>
        </w:r>
        <w:r>
          <w:rPr>
            <w:lang w:val="zh-C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32E84">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0358657"/>
    </w:sdtPr>
    <w:sdtContent>
      <w:p w14:paraId="549709C5">
        <w:pPr>
          <w:pStyle w:val="21"/>
          <w:ind w:firstLine="360"/>
          <w:jc w:val="right"/>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728135"/>
    </w:sdtPr>
    <w:sdtContent>
      <w:p w14:paraId="77C4D46D">
        <w:pPr>
          <w:pStyle w:val="21"/>
          <w:ind w:firstLine="360"/>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547637"/>
    </w:sdtPr>
    <w:sdtContent>
      <w:p w14:paraId="483C271B">
        <w:pPr>
          <w:pStyle w:val="21"/>
          <w:ind w:firstLine="360"/>
          <w:jc w:val="right"/>
        </w:pPr>
        <w:r>
          <w:rPr>
            <w:lang w:val="zh-CN"/>
          </w:rPr>
          <w:fldChar w:fldCharType="begin"/>
        </w:r>
        <w:r>
          <w:rPr>
            <w:lang w:val="zh-CN"/>
          </w:rPr>
          <w:instrText xml:space="preserve">PAGE   \* MERGEFORMAT</w:instrText>
        </w:r>
        <w:r>
          <w:rPr>
            <w:lang w:val="zh-CN"/>
          </w:rPr>
          <w:fldChar w:fldCharType="separate"/>
        </w:r>
        <w:r>
          <w:rPr>
            <w:lang w:val="zh-CN"/>
          </w:rPr>
          <w:t>III</w:t>
        </w:r>
        <w:r>
          <w:rPr>
            <w:lang w:val="zh-CN"/>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8378986"/>
    </w:sdtPr>
    <w:sdtContent>
      <w:p w14:paraId="2C2F97C3">
        <w:pPr>
          <w:pStyle w:val="21"/>
          <w:ind w:firstLine="360"/>
          <w:jc w:val="right"/>
        </w:pPr>
        <w:r>
          <w:rPr>
            <w:lang w:val="zh-CN"/>
          </w:rPr>
          <w:fldChar w:fldCharType="begin"/>
        </w:r>
        <w:r>
          <w:rPr>
            <w:lang w:val="zh-CN"/>
          </w:rPr>
          <w:instrText xml:space="preserve">PAGE   \* MERGEFORMAT</w:instrText>
        </w:r>
        <w:r>
          <w:rPr>
            <w:lang w:val="zh-CN"/>
          </w:rPr>
          <w:fldChar w:fldCharType="separate"/>
        </w:r>
        <w:r>
          <w:rPr>
            <w:lang w:val="zh-CN"/>
          </w:rPr>
          <w:t>27</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F9AE7">
    <w:pPr>
      <w:ind w:left="42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50E04">
    <w:pPr>
      <w:ind w:firstLine="0" w:firstLineChars="0"/>
    </w:pPr>
    <w:r>
      <w:t>T/</w:t>
    </w:r>
    <w:r>
      <w:rPr>
        <w:rFonts w:hint="eastAsia"/>
      </w:rPr>
      <w:t>CAGHPER 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E1BC9">
    <w:pPr>
      <w:pStyle w:val="2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7BC6D">
    <w:pPr>
      <w:ind w:firstLine="0" w:firstLineChars="0"/>
      <w:jc w:val="right"/>
    </w:pPr>
    <w:r>
      <w:t>T/</w:t>
    </w:r>
    <w:r>
      <w:rPr>
        <w:rFonts w:hint="eastAsia"/>
      </w:rPr>
      <w:t>CAGHPER 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97F6">
    <w:pPr>
      <w:ind w:firstLine="0" w:firstLineChars="0"/>
      <w:jc w:val="right"/>
    </w:pPr>
    <w:r>
      <w:t>T/</w:t>
    </w:r>
    <w:r>
      <w:rPr>
        <w:rFonts w:hint="eastAsia"/>
      </w:rPr>
      <w:t>CAGHPER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FC936A"/>
    <w:multiLevelType w:val="multilevel"/>
    <w:tmpl w:val="56FC936A"/>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5"/>
        </w:tabs>
        <w:ind w:left="575" w:hanging="575"/>
      </w:p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1"/>
        </w:tabs>
        <w:ind w:left="1151" w:hanging="1151"/>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3"/>
        </w:tabs>
        <w:ind w:left="1583" w:hanging="1583"/>
      </w:pPr>
    </w:lvl>
  </w:abstractNum>
  <w:abstractNum w:abstractNumId="1">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6F2E13B1"/>
    <w:multiLevelType w:val="multilevel"/>
    <w:tmpl w:val="6F2E13B1"/>
    <w:lvl w:ilvl="0" w:tentative="0">
      <w:start w:val="1"/>
      <w:numFmt w:val="lowerLetter"/>
      <w:pStyle w:val="74"/>
      <w:lvlText w:val="%1)"/>
      <w:lvlJc w:val="left"/>
      <w:pPr>
        <w:ind w:left="941" w:hanging="420"/>
      </w:pPr>
    </w:lvl>
    <w:lvl w:ilvl="1" w:tentative="0">
      <w:start w:val="1"/>
      <w:numFmt w:val="lowerLetter"/>
      <w:lvlText w:val="%2)"/>
      <w:lvlJc w:val="left"/>
      <w:pPr>
        <w:ind w:left="1361" w:hanging="420"/>
      </w:pPr>
    </w:lvl>
    <w:lvl w:ilvl="2" w:tentative="0">
      <w:start w:val="1"/>
      <w:numFmt w:val="lowerRoman"/>
      <w:lvlText w:val="%3."/>
      <w:lvlJc w:val="right"/>
      <w:pPr>
        <w:ind w:left="1781" w:hanging="420"/>
      </w:pPr>
    </w:lvl>
    <w:lvl w:ilvl="3" w:tentative="0">
      <w:start w:val="1"/>
      <w:numFmt w:val="decimal"/>
      <w:lvlText w:val="%4."/>
      <w:lvlJc w:val="left"/>
      <w:pPr>
        <w:ind w:left="2201" w:hanging="420"/>
      </w:pPr>
    </w:lvl>
    <w:lvl w:ilvl="4" w:tentative="0">
      <w:start w:val="1"/>
      <w:numFmt w:val="lowerLetter"/>
      <w:lvlText w:val="%5)"/>
      <w:lvlJc w:val="left"/>
      <w:pPr>
        <w:ind w:left="2621" w:hanging="420"/>
      </w:pPr>
    </w:lvl>
    <w:lvl w:ilvl="5" w:tentative="0">
      <w:start w:val="1"/>
      <w:numFmt w:val="lowerRoman"/>
      <w:lvlText w:val="%6."/>
      <w:lvlJc w:val="right"/>
      <w:pPr>
        <w:ind w:left="3041" w:hanging="420"/>
      </w:pPr>
    </w:lvl>
    <w:lvl w:ilvl="6" w:tentative="0">
      <w:start w:val="1"/>
      <w:numFmt w:val="decimal"/>
      <w:lvlText w:val="%7."/>
      <w:lvlJc w:val="left"/>
      <w:pPr>
        <w:ind w:left="3461" w:hanging="420"/>
      </w:pPr>
    </w:lvl>
    <w:lvl w:ilvl="7" w:tentative="0">
      <w:start w:val="1"/>
      <w:numFmt w:val="lowerLetter"/>
      <w:lvlText w:val="%8)"/>
      <w:lvlJc w:val="left"/>
      <w:pPr>
        <w:ind w:left="3881" w:hanging="420"/>
      </w:pPr>
    </w:lvl>
    <w:lvl w:ilvl="8" w:tentative="0">
      <w:start w:val="1"/>
      <w:numFmt w:val="lowerRoman"/>
      <w:lvlText w:val="%9."/>
      <w:lvlJc w:val="right"/>
      <w:pPr>
        <w:ind w:left="4301"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8AF"/>
    <w:rsid w:val="00000FAF"/>
    <w:rsid w:val="00001D6C"/>
    <w:rsid w:val="0000210C"/>
    <w:rsid w:val="00002E0C"/>
    <w:rsid w:val="00010351"/>
    <w:rsid w:val="0001081F"/>
    <w:rsid w:val="00010A51"/>
    <w:rsid w:val="00013F4C"/>
    <w:rsid w:val="00014124"/>
    <w:rsid w:val="00015294"/>
    <w:rsid w:val="00017ED0"/>
    <w:rsid w:val="00017F32"/>
    <w:rsid w:val="00020E2F"/>
    <w:rsid w:val="000225B0"/>
    <w:rsid w:val="00022990"/>
    <w:rsid w:val="0002381A"/>
    <w:rsid w:val="00024F17"/>
    <w:rsid w:val="00025009"/>
    <w:rsid w:val="00027329"/>
    <w:rsid w:val="00027840"/>
    <w:rsid w:val="000278BD"/>
    <w:rsid w:val="00030C06"/>
    <w:rsid w:val="00032C32"/>
    <w:rsid w:val="00033FF0"/>
    <w:rsid w:val="00034C18"/>
    <w:rsid w:val="00037612"/>
    <w:rsid w:val="0004086C"/>
    <w:rsid w:val="00041174"/>
    <w:rsid w:val="00043E3A"/>
    <w:rsid w:val="00044ADB"/>
    <w:rsid w:val="00044C4A"/>
    <w:rsid w:val="00044CD5"/>
    <w:rsid w:val="00046AC5"/>
    <w:rsid w:val="00050894"/>
    <w:rsid w:val="00051B6F"/>
    <w:rsid w:val="0005231E"/>
    <w:rsid w:val="00052EEE"/>
    <w:rsid w:val="000532C0"/>
    <w:rsid w:val="0005364C"/>
    <w:rsid w:val="00054159"/>
    <w:rsid w:val="000563E3"/>
    <w:rsid w:val="000577A0"/>
    <w:rsid w:val="0006080A"/>
    <w:rsid w:val="0006164E"/>
    <w:rsid w:val="00066646"/>
    <w:rsid w:val="00066A51"/>
    <w:rsid w:val="00066E5C"/>
    <w:rsid w:val="00071C2B"/>
    <w:rsid w:val="00071C4F"/>
    <w:rsid w:val="00071E17"/>
    <w:rsid w:val="00072A42"/>
    <w:rsid w:val="00074539"/>
    <w:rsid w:val="0007674A"/>
    <w:rsid w:val="000778A2"/>
    <w:rsid w:val="000778AB"/>
    <w:rsid w:val="000822F8"/>
    <w:rsid w:val="000830FA"/>
    <w:rsid w:val="00085499"/>
    <w:rsid w:val="00090515"/>
    <w:rsid w:val="0009291B"/>
    <w:rsid w:val="000930F0"/>
    <w:rsid w:val="00093424"/>
    <w:rsid w:val="000967A1"/>
    <w:rsid w:val="000968F9"/>
    <w:rsid w:val="00097412"/>
    <w:rsid w:val="000A1263"/>
    <w:rsid w:val="000A24F4"/>
    <w:rsid w:val="000A52A0"/>
    <w:rsid w:val="000A57AD"/>
    <w:rsid w:val="000A5D38"/>
    <w:rsid w:val="000A6902"/>
    <w:rsid w:val="000B0E74"/>
    <w:rsid w:val="000B34B5"/>
    <w:rsid w:val="000B5C44"/>
    <w:rsid w:val="000B6A9D"/>
    <w:rsid w:val="000B6C0B"/>
    <w:rsid w:val="000B750D"/>
    <w:rsid w:val="000C4202"/>
    <w:rsid w:val="000C420B"/>
    <w:rsid w:val="000C4A1D"/>
    <w:rsid w:val="000C5393"/>
    <w:rsid w:val="000C6A14"/>
    <w:rsid w:val="000C6ED5"/>
    <w:rsid w:val="000C7ECE"/>
    <w:rsid w:val="000D0867"/>
    <w:rsid w:val="000D3B71"/>
    <w:rsid w:val="000D503C"/>
    <w:rsid w:val="000D524D"/>
    <w:rsid w:val="000E1944"/>
    <w:rsid w:val="000E33D6"/>
    <w:rsid w:val="000E53E7"/>
    <w:rsid w:val="000E5446"/>
    <w:rsid w:val="000E74F3"/>
    <w:rsid w:val="000F0AA6"/>
    <w:rsid w:val="000F0EEA"/>
    <w:rsid w:val="000F17F6"/>
    <w:rsid w:val="000F3B10"/>
    <w:rsid w:val="000F3E38"/>
    <w:rsid w:val="000F6F90"/>
    <w:rsid w:val="000F76F6"/>
    <w:rsid w:val="000F77B6"/>
    <w:rsid w:val="00102B78"/>
    <w:rsid w:val="00105A14"/>
    <w:rsid w:val="001070E5"/>
    <w:rsid w:val="001072B6"/>
    <w:rsid w:val="00112202"/>
    <w:rsid w:val="0011493F"/>
    <w:rsid w:val="00115A79"/>
    <w:rsid w:val="00117667"/>
    <w:rsid w:val="00120DA0"/>
    <w:rsid w:val="00120EE8"/>
    <w:rsid w:val="00121F70"/>
    <w:rsid w:val="0012210D"/>
    <w:rsid w:val="00124266"/>
    <w:rsid w:val="00124284"/>
    <w:rsid w:val="0012460C"/>
    <w:rsid w:val="001254A6"/>
    <w:rsid w:val="00127566"/>
    <w:rsid w:val="00130FA3"/>
    <w:rsid w:val="001364D2"/>
    <w:rsid w:val="00136DAB"/>
    <w:rsid w:val="00140B16"/>
    <w:rsid w:val="00141BAD"/>
    <w:rsid w:val="0014428F"/>
    <w:rsid w:val="00146C59"/>
    <w:rsid w:val="0015019B"/>
    <w:rsid w:val="00150E6A"/>
    <w:rsid w:val="00150F45"/>
    <w:rsid w:val="001520F8"/>
    <w:rsid w:val="001542B2"/>
    <w:rsid w:val="001558FC"/>
    <w:rsid w:val="00157350"/>
    <w:rsid w:val="00163A67"/>
    <w:rsid w:val="0016424B"/>
    <w:rsid w:val="0016428D"/>
    <w:rsid w:val="00165077"/>
    <w:rsid w:val="00165E43"/>
    <w:rsid w:val="00166655"/>
    <w:rsid w:val="001669D4"/>
    <w:rsid w:val="00167764"/>
    <w:rsid w:val="00167F13"/>
    <w:rsid w:val="001700F9"/>
    <w:rsid w:val="0017056C"/>
    <w:rsid w:val="00171E39"/>
    <w:rsid w:val="001730F6"/>
    <w:rsid w:val="001758B2"/>
    <w:rsid w:val="00175AB5"/>
    <w:rsid w:val="001804D4"/>
    <w:rsid w:val="001815CA"/>
    <w:rsid w:val="001823D5"/>
    <w:rsid w:val="00183412"/>
    <w:rsid w:val="00183922"/>
    <w:rsid w:val="00184E04"/>
    <w:rsid w:val="0018557E"/>
    <w:rsid w:val="00187A3D"/>
    <w:rsid w:val="001906C9"/>
    <w:rsid w:val="00191987"/>
    <w:rsid w:val="001925B4"/>
    <w:rsid w:val="001937BC"/>
    <w:rsid w:val="00195BD7"/>
    <w:rsid w:val="001A45B3"/>
    <w:rsid w:val="001A6599"/>
    <w:rsid w:val="001A7D17"/>
    <w:rsid w:val="001B0763"/>
    <w:rsid w:val="001B2709"/>
    <w:rsid w:val="001B328C"/>
    <w:rsid w:val="001B58C6"/>
    <w:rsid w:val="001B5D3F"/>
    <w:rsid w:val="001B5F73"/>
    <w:rsid w:val="001B6BF8"/>
    <w:rsid w:val="001B6CDF"/>
    <w:rsid w:val="001B73BF"/>
    <w:rsid w:val="001B7667"/>
    <w:rsid w:val="001C0367"/>
    <w:rsid w:val="001C0466"/>
    <w:rsid w:val="001C5D57"/>
    <w:rsid w:val="001C6406"/>
    <w:rsid w:val="001C7465"/>
    <w:rsid w:val="001D178C"/>
    <w:rsid w:val="001D3946"/>
    <w:rsid w:val="001D4D85"/>
    <w:rsid w:val="001D5C4D"/>
    <w:rsid w:val="001D5E66"/>
    <w:rsid w:val="001D6D31"/>
    <w:rsid w:val="001D74B1"/>
    <w:rsid w:val="001E2105"/>
    <w:rsid w:val="001E4D3F"/>
    <w:rsid w:val="001E50D6"/>
    <w:rsid w:val="001E5647"/>
    <w:rsid w:val="001E56B7"/>
    <w:rsid w:val="001E64CD"/>
    <w:rsid w:val="001E7D19"/>
    <w:rsid w:val="001F0980"/>
    <w:rsid w:val="001F21E5"/>
    <w:rsid w:val="001F22EC"/>
    <w:rsid w:val="001F2DC8"/>
    <w:rsid w:val="001F7615"/>
    <w:rsid w:val="00200133"/>
    <w:rsid w:val="0020102C"/>
    <w:rsid w:val="00201A6E"/>
    <w:rsid w:val="002038E3"/>
    <w:rsid w:val="002044F0"/>
    <w:rsid w:val="00204E24"/>
    <w:rsid w:val="00205AAB"/>
    <w:rsid w:val="00205F8A"/>
    <w:rsid w:val="00207048"/>
    <w:rsid w:val="00207A8B"/>
    <w:rsid w:val="002117CB"/>
    <w:rsid w:val="00211A00"/>
    <w:rsid w:val="00211C36"/>
    <w:rsid w:val="00216528"/>
    <w:rsid w:val="0021797F"/>
    <w:rsid w:val="00221BBE"/>
    <w:rsid w:val="00222B54"/>
    <w:rsid w:val="00223339"/>
    <w:rsid w:val="0022467A"/>
    <w:rsid w:val="00227A44"/>
    <w:rsid w:val="00233EE2"/>
    <w:rsid w:val="00234441"/>
    <w:rsid w:val="00234C1D"/>
    <w:rsid w:val="002350A4"/>
    <w:rsid w:val="00237628"/>
    <w:rsid w:val="00240DA8"/>
    <w:rsid w:val="002412A6"/>
    <w:rsid w:val="002415D8"/>
    <w:rsid w:val="00242169"/>
    <w:rsid w:val="0024323F"/>
    <w:rsid w:val="002469D7"/>
    <w:rsid w:val="002546FB"/>
    <w:rsid w:val="00254851"/>
    <w:rsid w:val="00254B4C"/>
    <w:rsid w:val="002557F0"/>
    <w:rsid w:val="002564E6"/>
    <w:rsid w:val="00260DFD"/>
    <w:rsid w:val="00261213"/>
    <w:rsid w:val="00262862"/>
    <w:rsid w:val="00262E0F"/>
    <w:rsid w:val="00262E6D"/>
    <w:rsid w:val="0026392F"/>
    <w:rsid w:val="00265DD7"/>
    <w:rsid w:val="00266992"/>
    <w:rsid w:val="00267A83"/>
    <w:rsid w:val="00267D16"/>
    <w:rsid w:val="0027019F"/>
    <w:rsid w:val="00273D7C"/>
    <w:rsid w:val="002744EA"/>
    <w:rsid w:val="00274700"/>
    <w:rsid w:val="0027739A"/>
    <w:rsid w:val="002775E3"/>
    <w:rsid w:val="002777B8"/>
    <w:rsid w:val="00277FFE"/>
    <w:rsid w:val="0028093B"/>
    <w:rsid w:val="00280B40"/>
    <w:rsid w:val="00281A42"/>
    <w:rsid w:val="00283551"/>
    <w:rsid w:val="00284299"/>
    <w:rsid w:val="00285DCD"/>
    <w:rsid w:val="0028710A"/>
    <w:rsid w:val="00287BC5"/>
    <w:rsid w:val="00291E4A"/>
    <w:rsid w:val="00292BA7"/>
    <w:rsid w:val="0029309E"/>
    <w:rsid w:val="00294111"/>
    <w:rsid w:val="00294FD1"/>
    <w:rsid w:val="002A032D"/>
    <w:rsid w:val="002A0750"/>
    <w:rsid w:val="002A0D79"/>
    <w:rsid w:val="002A34CE"/>
    <w:rsid w:val="002A34CF"/>
    <w:rsid w:val="002A444A"/>
    <w:rsid w:val="002A5AF5"/>
    <w:rsid w:val="002A672E"/>
    <w:rsid w:val="002A7604"/>
    <w:rsid w:val="002B0D40"/>
    <w:rsid w:val="002B0E62"/>
    <w:rsid w:val="002B2EEB"/>
    <w:rsid w:val="002B5CAF"/>
    <w:rsid w:val="002B63ED"/>
    <w:rsid w:val="002B64C5"/>
    <w:rsid w:val="002B72A9"/>
    <w:rsid w:val="002C0000"/>
    <w:rsid w:val="002C05DC"/>
    <w:rsid w:val="002C2E34"/>
    <w:rsid w:val="002C2E41"/>
    <w:rsid w:val="002C4A51"/>
    <w:rsid w:val="002D0937"/>
    <w:rsid w:val="002D2E20"/>
    <w:rsid w:val="002D6E5E"/>
    <w:rsid w:val="002E20ED"/>
    <w:rsid w:val="002E3EC7"/>
    <w:rsid w:val="002E5032"/>
    <w:rsid w:val="002E583B"/>
    <w:rsid w:val="002E7088"/>
    <w:rsid w:val="002E7631"/>
    <w:rsid w:val="002E7AD2"/>
    <w:rsid w:val="002F3B85"/>
    <w:rsid w:val="002F6251"/>
    <w:rsid w:val="002F67E3"/>
    <w:rsid w:val="002F7EEF"/>
    <w:rsid w:val="003031E6"/>
    <w:rsid w:val="0030780F"/>
    <w:rsid w:val="00311029"/>
    <w:rsid w:val="003117B5"/>
    <w:rsid w:val="00313766"/>
    <w:rsid w:val="0031460F"/>
    <w:rsid w:val="00317C43"/>
    <w:rsid w:val="00317F43"/>
    <w:rsid w:val="003200A6"/>
    <w:rsid w:val="0032305A"/>
    <w:rsid w:val="003232F6"/>
    <w:rsid w:val="00323848"/>
    <w:rsid w:val="00326102"/>
    <w:rsid w:val="00326131"/>
    <w:rsid w:val="003269A3"/>
    <w:rsid w:val="00327BD9"/>
    <w:rsid w:val="00327FE4"/>
    <w:rsid w:val="0033076B"/>
    <w:rsid w:val="003310D4"/>
    <w:rsid w:val="0033172E"/>
    <w:rsid w:val="0033339C"/>
    <w:rsid w:val="00334371"/>
    <w:rsid w:val="00335AC9"/>
    <w:rsid w:val="0033698B"/>
    <w:rsid w:val="0034276A"/>
    <w:rsid w:val="00342FDE"/>
    <w:rsid w:val="00347743"/>
    <w:rsid w:val="00351320"/>
    <w:rsid w:val="003514FC"/>
    <w:rsid w:val="00353A1F"/>
    <w:rsid w:val="00353B8F"/>
    <w:rsid w:val="00354024"/>
    <w:rsid w:val="00355B15"/>
    <w:rsid w:val="00356303"/>
    <w:rsid w:val="00357ACB"/>
    <w:rsid w:val="00357BAF"/>
    <w:rsid w:val="00363BCE"/>
    <w:rsid w:val="0036500B"/>
    <w:rsid w:val="00365EBB"/>
    <w:rsid w:val="00366E16"/>
    <w:rsid w:val="00367E8C"/>
    <w:rsid w:val="00373FEA"/>
    <w:rsid w:val="00375F19"/>
    <w:rsid w:val="003766D2"/>
    <w:rsid w:val="0037720F"/>
    <w:rsid w:val="003778B7"/>
    <w:rsid w:val="003811F7"/>
    <w:rsid w:val="00381524"/>
    <w:rsid w:val="003847E4"/>
    <w:rsid w:val="00386D76"/>
    <w:rsid w:val="00394E05"/>
    <w:rsid w:val="00395457"/>
    <w:rsid w:val="003973C4"/>
    <w:rsid w:val="003A08CE"/>
    <w:rsid w:val="003A111B"/>
    <w:rsid w:val="003A1B50"/>
    <w:rsid w:val="003A37D7"/>
    <w:rsid w:val="003A3A24"/>
    <w:rsid w:val="003A6E1C"/>
    <w:rsid w:val="003A7774"/>
    <w:rsid w:val="003A7BC1"/>
    <w:rsid w:val="003A7C76"/>
    <w:rsid w:val="003B408D"/>
    <w:rsid w:val="003B5373"/>
    <w:rsid w:val="003B6948"/>
    <w:rsid w:val="003B704A"/>
    <w:rsid w:val="003C221C"/>
    <w:rsid w:val="003C27B4"/>
    <w:rsid w:val="003C32DA"/>
    <w:rsid w:val="003C3A8B"/>
    <w:rsid w:val="003C4CD1"/>
    <w:rsid w:val="003C4EB0"/>
    <w:rsid w:val="003C5F41"/>
    <w:rsid w:val="003D0742"/>
    <w:rsid w:val="003D097F"/>
    <w:rsid w:val="003D171C"/>
    <w:rsid w:val="003D3145"/>
    <w:rsid w:val="003D3BB9"/>
    <w:rsid w:val="003D4203"/>
    <w:rsid w:val="003D47FB"/>
    <w:rsid w:val="003D605A"/>
    <w:rsid w:val="003D65DA"/>
    <w:rsid w:val="003D6A0C"/>
    <w:rsid w:val="003D77D2"/>
    <w:rsid w:val="003D7B40"/>
    <w:rsid w:val="003E1D21"/>
    <w:rsid w:val="003E4FE6"/>
    <w:rsid w:val="003E5035"/>
    <w:rsid w:val="003E5EED"/>
    <w:rsid w:val="003F1845"/>
    <w:rsid w:val="003F211F"/>
    <w:rsid w:val="003F27AD"/>
    <w:rsid w:val="003F380B"/>
    <w:rsid w:val="003F44CE"/>
    <w:rsid w:val="003F57B2"/>
    <w:rsid w:val="00400606"/>
    <w:rsid w:val="004023EB"/>
    <w:rsid w:val="00404753"/>
    <w:rsid w:val="004057AE"/>
    <w:rsid w:val="004070CC"/>
    <w:rsid w:val="00411130"/>
    <w:rsid w:val="0041211E"/>
    <w:rsid w:val="004122CB"/>
    <w:rsid w:val="00412599"/>
    <w:rsid w:val="004143DD"/>
    <w:rsid w:val="00415454"/>
    <w:rsid w:val="004173BB"/>
    <w:rsid w:val="00422BE9"/>
    <w:rsid w:val="00422EDA"/>
    <w:rsid w:val="004238C9"/>
    <w:rsid w:val="00424AC7"/>
    <w:rsid w:val="00426486"/>
    <w:rsid w:val="00426A5A"/>
    <w:rsid w:val="0043123C"/>
    <w:rsid w:val="00432142"/>
    <w:rsid w:val="0043238B"/>
    <w:rsid w:val="00433066"/>
    <w:rsid w:val="00433F22"/>
    <w:rsid w:val="0043462D"/>
    <w:rsid w:val="00434A25"/>
    <w:rsid w:val="00435DA9"/>
    <w:rsid w:val="00435E32"/>
    <w:rsid w:val="004370D4"/>
    <w:rsid w:val="004379C2"/>
    <w:rsid w:val="00437E4C"/>
    <w:rsid w:val="00437FBA"/>
    <w:rsid w:val="00440177"/>
    <w:rsid w:val="00440A8E"/>
    <w:rsid w:val="00441F0D"/>
    <w:rsid w:val="004425F3"/>
    <w:rsid w:val="0044323F"/>
    <w:rsid w:val="004437E3"/>
    <w:rsid w:val="004439F2"/>
    <w:rsid w:val="00446CA4"/>
    <w:rsid w:val="00447A75"/>
    <w:rsid w:val="00447D79"/>
    <w:rsid w:val="004525EB"/>
    <w:rsid w:val="00453658"/>
    <w:rsid w:val="00453EAB"/>
    <w:rsid w:val="004559EC"/>
    <w:rsid w:val="00462651"/>
    <w:rsid w:val="00463133"/>
    <w:rsid w:val="00465C4F"/>
    <w:rsid w:val="00466018"/>
    <w:rsid w:val="00466F77"/>
    <w:rsid w:val="00467FA5"/>
    <w:rsid w:val="00470637"/>
    <w:rsid w:val="004731DE"/>
    <w:rsid w:val="004745E4"/>
    <w:rsid w:val="00475265"/>
    <w:rsid w:val="004776CA"/>
    <w:rsid w:val="00477746"/>
    <w:rsid w:val="00480269"/>
    <w:rsid w:val="0048383F"/>
    <w:rsid w:val="00483A58"/>
    <w:rsid w:val="00484906"/>
    <w:rsid w:val="0048572E"/>
    <w:rsid w:val="004926BB"/>
    <w:rsid w:val="004926D8"/>
    <w:rsid w:val="00495960"/>
    <w:rsid w:val="00496156"/>
    <w:rsid w:val="0049743B"/>
    <w:rsid w:val="00497C37"/>
    <w:rsid w:val="004A0907"/>
    <w:rsid w:val="004A10D6"/>
    <w:rsid w:val="004A1A1A"/>
    <w:rsid w:val="004A2B73"/>
    <w:rsid w:val="004A340B"/>
    <w:rsid w:val="004A410C"/>
    <w:rsid w:val="004A6212"/>
    <w:rsid w:val="004A7182"/>
    <w:rsid w:val="004B1142"/>
    <w:rsid w:val="004B18B3"/>
    <w:rsid w:val="004B1EF8"/>
    <w:rsid w:val="004B21FE"/>
    <w:rsid w:val="004B3C34"/>
    <w:rsid w:val="004B4D71"/>
    <w:rsid w:val="004B7B52"/>
    <w:rsid w:val="004C0661"/>
    <w:rsid w:val="004C21D9"/>
    <w:rsid w:val="004D0DB4"/>
    <w:rsid w:val="004D327E"/>
    <w:rsid w:val="004D4541"/>
    <w:rsid w:val="004D548A"/>
    <w:rsid w:val="004D65C7"/>
    <w:rsid w:val="004D773E"/>
    <w:rsid w:val="004D77E8"/>
    <w:rsid w:val="004E030A"/>
    <w:rsid w:val="004E09B7"/>
    <w:rsid w:val="004E20B9"/>
    <w:rsid w:val="004E264E"/>
    <w:rsid w:val="004E275C"/>
    <w:rsid w:val="004E2812"/>
    <w:rsid w:val="004E32C4"/>
    <w:rsid w:val="004E3557"/>
    <w:rsid w:val="004E3D1A"/>
    <w:rsid w:val="004E404F"/>
    <w:rsid w:val="004E5D7B"/>
    <w:rsid w:val="004F0C39"/>
    <w:rsid w:val="004F12F5"/>
    <w:rsid w:val="004F1882"/>
    <w:rsid w:val="004F3700"/>
    <w:rsid w:val="004F5772"/>
    <w:rsid w:val="004F688C"/>
    <w:rsid w:val="00501230"/>
    <w:rsid w:val="00504B4D"/>
    <w:rsid w:val="005053FB"/>
    <w:rsid w:val="00506409"/>
    <w:rsid w:val="00506DA0"/>
    <w:rsid w:val="005110BD"/>
    <w:rsid w:val="005117AE"/>
    <w:rsid w:val="00513B1A"/>
    <w:rsid w:val="00513FB9"/>
    <w:rsid w:val="00514AC5"/>
    <w:rsid w:val="00514CE2"/>
    <w:rsid w:val="00517B16"/>
    <w:rsid w:val="00520A49"/>
    <w:rsid w:val="00520FA3"/>
    <w:rsid w:val="0052222F"/>
    <w:rsid w:val="0052248F"/>
    <w:rsid w:val="00523700"/>
    <w:rsid w:val="005251D6"/>
    <w:rsid w:val="00526923"/>
    <w:rsid w:val="00530AAE"/>
    <w:rsid w:val="00531BCD"/>
    <w:rsid w:val="005327C6"/>
    <w:rsid w:val="00533209"/>
    <w:rsid w:val="0053343B"/>
    <w:rsid w:val="00533AE0"/>
    <w:rsid w:val="00533FC8"/>
    <w:rsid w:val="00535047"/>
    <w:rsid w:val="00541F4A"/>
    <w:rsid w:val="005437F1"/>
    <w:rsid w:val="005439C7"/>
    <w:rsid w:val="0054477E"/>
    <w:rsid w:val="005449F1"/>
    <w:rsid w:val="00546555"/>
    <w:rsid w:val="00546C8C"/>
    <w:rsid w:val="00550FF6"/>
    <w:rsid w:val="00551549"/>
    <w:rsid w:val="00553136"/>
    <w:rsid w:val="00553B09"/>
    <w:rsid w:val="005546F6"/>
    <w:rsid w:val="00554F49"/>
    <w:rsid w:val="00563869"/>
    <w:rsid w:val="00564268"/>
    <w:rsid w:val="00567D7C"/>
    <w:rsid w:val="005707B1"/>
    <w:rsid w:val="005717F3"/>
    <w:rsid w:val="0057307F"/>
    <w:rsid w:val="00575648"/>
    <w:rsid w:val="005759BE"/>
    <w:rsid w:val="00575DC6"/>
    <w:rsid w:val="00575DE8"/>
    <w:rsid w:val="00576205"/>
    <w:rsid w:val="00576F57"/>
    <w:rsid w:val="00580897"/>
    <w:rsid w:val="0058128E"/>
    <w:rsid w:val="005817D0"/>
    <w:rsid w:val="00581F3E"/>
    <w:rsid w:val="005851DE"/>
    <w:rsid w:val="005865A7"/>
    <w:rsid w:val="00590204"/>
    <w:rsid w:val="005916BE"/>
    <w:rsid w:val="00591DB7"/>
    <w:rsid w:val="005946DD"/>
    <w:rsid w:val="00597F72"/>
    <w:rsid w:val="005A00CA"/>
    <w:rsid w:val="005A051A"/>
    <w:rsid w:val="005A2A39"/>
    <w:rsid w:val="005A2CBA"/>
    <w:rsid w:val="005A5508"/>
    <w:rsid w:val="005A5B23"/>
    <w:rsid w:val="005B1AFC"/>
    <w:rsid w:val="005B2076"/>
    <w:rsid w:val="005B3946"/>
    <w:rsid w:val="005B39C8"/>
    <w:rsid w:val="005B4F68"/>
    <w:rsid w:val="005B5302"/>
    <w:rsid w:val="005C08AF"/>
    <w:rsid w:val="005C113E"/>
    <w:rsid w:val="005C4187"/>
    <w:rsid w:val="005C4E1A"/>
    <w:rsid w:val="005C6DDD"/>
    <w:rsid w:val="005C77CE"/>
    <w:rsid w:val="005D0CD8"/>
    <w:rsid w:val="005D3D48"/>
    <w:rsid w:val="005D4958"/>
    <w:rsid w:val="005D4991"/>
    <w:rsid w:val="005D71F5"/>
    <w:rsid w:val="005D79B3"/>
    <w:rsid w:val="005E163E"/>
    <w:rsid w:val="005E173B"/>
    <w:rsid w:val="005E317D"/>
    <w:rsid w:val="005E7150"/>
    <w:rsid w:val="005F0B41"/>
    <w:rsid w:val="005F2A53"/>
    <w:rsid w:val="005F62A2"/>
    <w:rsid w:val="005F71B6"/>
    <w:rsid w:val="006018E1"/>
    <w:rsid w:val="006020A4"/>
    <w:rsid w:val="00602E56"/>
    <w:rsid w:val="00604BBA"/>
    <w:rsid w:val="00606164"/>
    <w:rsid w:val="006070FC"/>
    <w:rsid w:val="00607797"/>
    <w:rsid w:val="006077A4"/>
    <w:rsid w:val="00612085"/>
    <w:rsid w:val="00612546"/>
    <w:rsid w:val="006157AD"/>
    <w:rsid w:val="00622334"/>
    <w:rsid w:val="00623FE0"/>
    <w:rsid w:val="00625768"/>
    <w:rsid w:val="0062770B"/>
    <w:rsid w:val="00630083"/>
    <w:rsid w:val="006303C1"/>
    <w:rsid w:val="00631830"/>
    <w:rsid w:val="00632D9F"/>
    <w:rsid w:val="006358D0"/>
    <w:rsid w:val="00635EF0"/>
    <w:rsid w:val="00636075"/>
    <w:rsid w:val="00641147"/>
    <w:rsid w:val="00641784"/>
    <w:rsid w:val="00642865"/>
    <w:rsid w:val="00644162"/>
    <w:rsid w:val="00645E14"/>
    <w:rsid w:val="006478CC"/>
    <w:rsid w:val="00650E41"/>
    <w:rsid w:val="00653E55"/>
    <w:rsid w:val="0065513C"/>
    <w:rsid w:val="00655C0F"/>
    <w:rsid w:val="0065756E"/>
    <w:rsid w:val="006575B1"/>
    <w:rsid w:val="0066135A"/>
    <w:rsid w:val="00662778"/>
    <w:rsid w:val="00664465"/>
    <w:rsid w:val="0066499F"/>
    <w:rsid w:val="006652C7"/>
    <w:rsid w:val="00665452"/>
    <w:rsid w:val="006660D7"/>
    <w:rsid w:val="006665DC"/>
    <w:rsid w:val="00672F4B"/>
    <w:rsid w:val="00673601"/>
    <w:rsid w:val="00674AD6"/>
    <w:rsid w:val="00675CB5"/>
    <w:rsid w:val="00676236"/>
    <w:rsid w:val="00680946"/>
    <w:rsid w:val="006815A9"/>
    <w:rsid w:val="00686F94"/>
    <w:rsid w:val="006914CA"/>
    <w:rsid w:val="00694B5A"/>
    <w:rsid w:val="00695A31"/>
    <w:rsid w:val="00695B07"/>
    <w:rsid w:val="00696DC8"/>
    <w:rsid w:val="006A0872"/>
    <w:rsid w:val="006A1277"/>
    <w:rsid w:val="006A1D63"/>
    <w:rsid w:val="006A1F01"/>
    <w:rsid w:val="006A3223"/>
    <w:rsid w:val="006A59EF"/>
    <w:rsid w:val="006A75BD"/>
    <w:rsid w:val="006B0231"/>
    <w:rsid w:val="006B3786"/>
    <w:rsid w:val="006C0DB4"/>
    <w:rsid w:val="006C2190"/>
    <w:rsid w:val="006C29AF"/>
    <w:rsid w:val="006C44D5"/>
    <w:rsid w:val="006C4913"/>
    <w:rsid w:val="006C68F5"/>
    <w:rsid w:val="006C6B61"/>
    <w:rsid w:val="006C7E9F"/>
    <w:rsid w:val="006D0A58"/>
    <w:rsid w:val="006D1C31"/>
    <w:rsid w:val="006D39E0"/>
    <w:rsid w:val="006D5115"/>
    <w:rsid w:val="006D7F04"/>
    <w:rsid w:val="006E1DC6"/>
    <w:rsid w:val="006E37B5"/>
    <w:rsid w:val="006F08A1"/>
    <w:rsid w:val="006F126C"/>
    <w:rsid w:val="006F1D25"/>
    <w:rsid w:val="006F38D6"/>
    <w:rsid w:val="006F4C03"/>
    <w:rsid w:val="006F7011"/>
    <w:rsid w:val="0070069F"/>
    <w:rsid w:val="00700D4F"/>
    <w:rsid w:val="0070114B"/>
    <w:rsid w:val="00701AA3"/>
    <w:rsid w:val="007020F8"/>
    <w:rsid w:val="007022E7"/>
    <w:rsid w:val="00705A22"/>
    <w:rsid w:val="0070619F"/>
    <w:rsid w:val="00706949"/>
    <w:rsid w:val="00706A94"/>
    <w:rsid w:val="007117C2"/>
    <w:rsid w:val="00713BC4"/>
    <w:rsid w:val="0071421E"/>
    <w:rsid w:val="00715FBC"/>
    <w:rsid w:val="00720A46"/>
    <w:rsid w:val="00722FBD"/>
    <w:rsid w:val="00724849"/>
    <w:rsid w:val="00724A6E"/>
    <w:rsid w:val="00725F89"/>
    <w:rsid w:val="00726226"/>
    <w:rsid w:val="0072791A"/>
    <w:rsid w:val="007307D5"/>
    <w:rsid w:val="00730972"/>
    <w:rsid w:val="007329D7"/>
    <w:rsid w:val="00732C22"/>
    <w:rsid w:val="0074042E"/>
    <w:rsid w:val="00741323"/>
    <w:rsid w:val="00742DBB"/>
    <w:rsid w:val="00743442"/>
    <w:rsid w:val="007453FD"/>
    <w:rsid w:val="00746419"/>
    <w:rsid w:val="007469D3"/>
    <w:rsid w:val="007522AA"/>
    <w:rsid w:val="00753364"/>
    <w:rsid w:val="00753AA8"/>
    <w:rsid w:val="00756035"/>
    <w:rsid w:val="007568EC"/>
    <w:rsid w:val="00761FA0"/>
    <w:rsid w:val="00762A0B"/>
    <w:rsid w:val="00762C91"/>
    <w:rsid w:val="00764A2D"/>
    <w:rsid w:val="007654EE"/>
    <w:rsid w:val="00766F52"/>
    <w:rsid w:val="00767563"/>
    <w:rsid w:val="007713F6"/>
    <w:rsid w:val="0077408A"/>
    <w:rsid w:val="007745EE"/>
    <w:rsid w:val="0077507F"/>
    <w:rsid w:val="00776DF2"/>
    <w:rsid w:val="007805A0"/>
    <w:rsid w:val="00783474"/>
    <w:rsid w:val="007905C5"/>
    <w:rsid w:val="00790AA7"/>
    <w:rsid w:val="007920C0"/>
    <w:rsid w:val="00792626"/>
    <w:rsid w:val="007932E0"/>
    <w:rsid w:val="007936B9"/>
    <w:rsid w:val="007A3968"/>
    <w:rsid w:val="007A3D12"/>
    <w:rsid w:val="007A4AA3"/>
    <w:rsid w:val="007A4CF0"/>
    <w:rsid w:val="007A5214"/>
    <w:rsid w:val="007A5417"/>
    <w:rsid w:val="007A585E"/>
    <w:rsid w:val="007A6232"/>
    <w:rsid w:val="007A6C6A"/>
    <w:rsid w:val="007A766E"/>
    <w:rsid w:val="007A7C3D"/>
    <w:rsid w:val="007B0007"/>
    <w:rsid w:val="007B46A2"/>
    <w:rsid w:val="007B4AA9"/>
    <w:rsid w:val="007B4F9D"/>
    <w:rsid w:val="007B58CD"/>
    <w:rsid w:val="007B63B9"/>
    <w:rsid w:val="007B63D2"/>
    <w:rsid w:val="007B74B3"/>
    <w:rsid w:val="007B7A53"/>
    <w:rsid w:val="007C1F99"/>
    <w:rsid w:val="007C23E2"/>
    <w:rsid w:val="007C3479"/>
    <w:rsid w:val="007C6F85"/>
    <w:rsid w:val="007C7621"/>
    <w:rsid w:val="007D059C"/>
    <w:rsid w:val="007D23A6"/>
    <w:rsid w:val="007D3D48"/>
    <w:rsid w:val="007D43C6"/>
    <w:rsid w:val="007D4B45"/>
    <w:rsid w:val="007E052C"/>
    <w:rsid w:val="007E07AA"/>
    <w:rsid w:val="007E17F3"/>
    <w:rsid w:val="007E1824"/>
    <w:rsid w:val="007E29F9"/>
    <w:rsid w:val="007E2E9B"/>
    <w:rsid w:val="007E52E7"/>
    <w:rsid w:val="007E5548"/>
    <w:rsid w:val="007E6866"/>
    <w:rsid w:val="007E72EE"/>
    <w:rsid w:val="007E7BC5"/>
    <w:rsid w:val="007F112A"/>
    <w:rsid w:val="007F121F"/>
    <w:rsid w:val="007F23FA"/>
    <w:rsid w:val="007F3773"/>
    <w:rsid w:val="007F44BD"/>
    <w:rsid w:val="007F4A85"/>
    <w:rsid w:val="007F538D"/>
    <w:rsid w:val="007F5FA3"/>
    <w:rsid w:val="0080293A"/>
    <w:rsid w:val="00802A6D"/>
    <w:rsid w:val="00804772"/>
    <w:rsid w:val="008056BF"/>
    <w:rsid w:val="008056C6"/>
    <w:rsid w:val="0080765C"/>
    <w:rsid w:val="00811ACF"/>
    <w:rsid w:val="00812506"/>
    <w:rsid w:val="00812FF1"/>
    <w:rsid w:val="008135DF"/>
    <w:rsid w:val="00814272"/>
    <w:rsid w:val="008144C5"/>
    <w:rsid w:val="00815103"/>
    <w:rsid w:val="00815D9B"/>
    <w:rsid w:val="00816004"/>
    <w:rsid w:val="00816AFE"/>
    <w:rsid w:val="008179A9"/>
    <w:rsid w:val="00821ADB"/>
    <w:rsid w:val="00822314"/>
    <w:rsid w:val="008264BC"/>
    <w:rsid w:val="008264E3"/>
    <w:rsid w:val="0082690D"/>
    <w:rsid w:val="008273EC"/>
    <w:rsid w:val="00830A2E"/>
    <w:rsid w:val="00834709"/>
    <w:rsid w:val="008355C8"/>
    <w:rsid w:val="00836AF3"/>
    <w:rsid w:val="00836B17"/>
    <w:rsid w:val="008373C1"/>
    <w:rsid w:val="00837E94"/>
    <w:rsid w:val="00840265"/>
    <w:rsid w:val="008414AB"/>
    <w:rsid w:val="00841814"/>
    <w:rsid w:val="0084436E"/>
    <w:rsid w:val="00844ADF"/>
    <w:rsid w:val="00845281"/>
    <w:rsid w:val="008456AA"/>
    <w:rsid w:val="00845B33"/>
    <w:rsid w:val="008463E5"/>
    <w:rsid w:val="00846CE9"/>
    <w:rsid w:val="00854109"/>
    <w:rsid w:val="008564FE"/>
    <w:rsid w:val="008566B2"/>
    <w:rsid w:val="00863296"/>
    <w:rsid w:val="00863EE1"/>
    <w:rsid w:val="00867B7A"/>
    <w:rsid w:val="008702C7"/>
    <w:rsid w:val="00871628"/>
    <w:rsid w:val="00872FC6"/>
    <w:rsid w:val="008752E4"/>
    <w:rsid w:val="00875872"/>
    <w:rsid w:val="00876394"/>
    <w:rsid w:val="00880A44"/>
    <w:rsid w:val="00880C06"/>
    <w:rsid w:val="00881575"/>
    <w:rsid w:val="008825E2"/>
    <w:rsid w:val="008862A2"/>
    <w:rsid w:val="00886517"/>
    <w:rsid w:val="00886D09"/>
    <w:rsid w:val="00887230"/>
    <w:rsid w:val="008874A7"/>
    <w:rsid w:val="00887549"/>
    <w:rsid w:val="008878DF"/>
    <w:rsid w:val="00887B35"/>
    <w:rsid w:val="00887E70"/>
    <w:rsid w:val="00893476"/>
    <w:rsid w:val="008935F6"/>
    <w:rsid w:val="00893DEC"/>
    <w:rsid w:val="00894100"/>
    <w:rsid w:val="008978FA"/>
    <w:rsid w:val="008A05A2"/>
    <w:rsid w:val="008A14B5"/>
    <w:rsid w:val="008A23CE"/>
    <w:rsid w:val="008A4558"/>
    <w:rsid w:val="008A5171"/>
    <w:rsid w:val="008A51EB"/>
    <w:rsid w:val="008A56B9"/>
    <w:rsid w:val="008A62E0"/>
    <w:rsid w:val="008A73E7"/>
    <w:rsid w:val="008B2371"/>
    <w:rsid w:val="008B23BA"/>
    <w:rsid w:val="008B2D2D"/>
    <w:rsid w:val="008B2DE9"/>
    <w:rsid w:val="008B2E6F"/>
    <w:rsid w:val="008B44E5"/>
    <w:rsid w:val="008B56E4"/>
    <w:rsid w:val="008B6036"/>
    <w:rsid w:val="008B73C2"/>
    <w:rsid w:val="008C04CD"/>
    <w:rsid w:val="008C096D"/>
    <w:rsid w:val="008C120A"/>
    <w:rsid w:val="008C14B3"/>
    <w:rsid w:val="008C1B15"/>
    <w:rsid w:val="008C2FC1"/>
    <w:rsid w:val="008C3D2B"/>
    <w:rsid w:val="008C4188"/>
    <w:rsid w:val="008C462F"/>
    <w:rsid w:val="008C6FF1"/>
    <w:rsid w:val="008C7E87"/>
    <w:rsid w:val="008C7FB6"/>
    <w:rsid w:val="008D02FB"/>
    <w:rsid w:val="008D155E"/>
    <w:rsid w:val="008D3358"/>
    <w:rsid w:val="008D452F"/>
    <w:rsid w:val="008D6297"/>
    <w:rsid w:val="008E19EB"/>
    <w:rsid w:val="008E2356"/>
    <w:rsid w:val="008E47D4"/>
    <w:rsid w:val="008E7562"/>
    <w:rsid w:val="008F0896"/>
    <w:rsid w:val="008F15DB"/>
    <w:rsid w:val="008F21E8"/>
    <w:rsid w:val="008F3073"/>
    <w:rsid w:val="008F30DA"/>
    <w:rsid w:val="008F3FB8"/>
    <w:rsid w:val="008F409E"/>
    <w:rsid w:val="008F4373"/>
    <w:rsid w:val="008F4498"/>
    <w:rsid w:val="008F4DC4"/>
    <w:rsid w:val="008F6A5F"/>
    <w:rsid w:val="00902550"/>
    <w:rsid w:val="0090353F"/>
    <w:rsid w:val="00904654"/>
    <w:rsid w:val="009046B1"/>
    <w:rsid w:val="009123CD"/>
    <w:rsid w:val="00914C92"/>
    <w:rsid w:val="009153F1"/>
    <w:rsid w:val="00915A67"/>
    <w:rsid w:val="00916591"/>
    <w:rsid w:val="009171F2"/>
    <w:rsid w:val="00921497"/>
    <w:rsid w:val="00921A71"/>
    <w:rsid w:val="00921D36"/>
    <w:rsid w:val="00923852"/>
    <w:rsid w:val="00923FD5"/>
    <w:rsid w:val="009253D0"/>
    <w:rsid w:val="00925C1D"/>
    <w:rsid w:val="00931860"/>
    <w:rsid w:val="00934AE9"/>
    <w:rsid w:val="00936AAC"/>
    <w:rsid w:val="00940F75"/>
    <w:rsid w:val="0094113C"/>
    <w:rsid w:val="0094154B"/>
    <w:rsid w:val="009416BB"/>
    <w:rsid w:val="009430E2"/>
    <w:rsid w:val="00943A85"/>
    <w:rsid w:val="009455F0"/>
    <w:rsid w:val="0094625B"/>
    <w:rsid w:val="00947F24"/>
    <w:rsid w:val="00950138"/>
    <w:rsid w:val="00950FA9"/>
    <w:rsid w:val="00954395"/>
    <w:rsid w:val="009544B1"/>
    <w:rsid w:val="009550EE"/>
    <w:rsid w:val="00957924"/>
    <w:rsid w:val="00961200"/>
    <w:rsid w:val="0096151F"/>
    <w:rsid w:val="00963280"/>
    <w:rsid w:val="00963B45"/>
    <w:rsid w:val="009654B4"/>
    <w:rsid w:val="009658AF"/>
    <w:rsid w:val="00965B63"/>
    <w:rsid w:val="009674CF"/>
    <w:rsid w:val="00967B32"/>
    <w:rsid w:val="009720C7"/>
    <w:rsid w:val="00972239"/>
    <w:rsid w:val="009728DF"/>
    <w:rsid w:val="00972BBE"/>
    <w:rsid w:val="009741D6"/>
    <w:rsid w:val="00974D0A"/>
    <w:rsid w:val="009757AD"/>
    <w:rsid w:val="009801DC"/>
    <w:rsid w:val="00980F10"/>
    <w:rsid w:val="00983658"/>
    <w:rsid w:val="00984129"/>
    <w:rsid w:val="009875C0"/>
    <w:rsid w:val="00987D1D"/>
    <w:rsid w:val="0099115A"/>
    <w:rsid w:val="009933A0"/>
    <w:rsid w:val="00993CAD"/>
    <w:rsid w:val="0099588F"/>
    <w:rsid w:val="009963AA"/>
    <w:rsid w:val="0099672D"/>
    <w:rsid w:val="00996F3B"/>
    <w:rsid w:val="009A1109"/>
    <w:rsid w:val="009A158A"/>
    <w:rsid w:val="009A34A0"/>
    <w:rsid w:val="009A440C"/>
    <w:rsid w:val="009A51BA"/>
    <w:rsid w:val="009A627A"/>
    <w:rsid w:val="009B1D68"/>
    <w:rsid w:val="009B3557"/>
    <w:rsid w:val="009B4CD4"/>
    <w:rsid w:val="009B7851"/>
    <w:rsid w:val="009C020C"/>
    <w:rsid w:val="009C0284"/>
    <w:rsid w:val="009C38FD"/>
    <w:rsid w:val="009C3B49"/>
    <w:rsid w:val="009C6440"/>
    <w:rsid w:val="009D3604"/>
    <w:rsid w:val="009D5773"/>
    <w:rsid w:val="009E0344"/>
    <w:rsid w:val="009E04B4"/>
    <w:rsid w:val="009E14C2"/>
    <w:rsid w:val="009E2ABE"/>
    <w:rsid w:val="009E2C83"/>
    <w:rsid w:val="009E43B6"/>
    <w:rsid w:val="009E4BC4"/>
    <w:rsid w:val="009E61D8"/>
    <w:rsid w:val="009E72A0"/>
    <w:rsid w:val="009E7B6C"/>
    <w:rsid w:val="009F135B"/>
    <w:rsid w:val="009F1437"/>
    <w:rsid w:val="009F2132"/>
    <w:rsid w:val="009F2A55"/>
    <w:rsid w:val="009F366D"/>
    <w:rsid w:val="009F3DA7"/>
    <w:rsid w:val="009F4F83"/>
    <w:rsid w:val="009F5BD9"/>
    <w:rsid w:val="009F6F81"/>
    <w:rsid w:val="009F7C24"/>
    <w:rsid w:val="00A0379D"/>
    <w:rsid w:val="00A03FEF"/>
    <w:rsid w:val="00A04176"/>
    <w:rsid w:val="00A04CA6"/>
    <w:rsid w:val="00A06445"/>
    <w:rsid w:val="00A1108A"/>
    <w:rsid w:val="00A13452"/>
    <w:rsid w:val="00A1546A"/>
    <w:rsid w:val="00A15BB9"/>
    <w:rsid w:val="00A16989"/>
    <w:rsid w:val="00A201AB"/>
    <w:rsid w:val="00A218C0"/>
    <w:rsid w:val="00A23405"/>
    <w:rsid w:val="00A242A3"/>
    <w:rsid w:val="00A25F5B"/>
    <w:rsid w:val="00A26A6C"/>
    <w:rsid w:val="00A26EBC"/>
    <w:rsid w:val="00A27E77"/>
    <w:rsid w:val="00A27F43"/>
    <w:rsid w:val="00A300ED"/>
    <w:rsid w:val="00A305CF"/>
    <w:rsid w:val="00A306A6"/>
    <w:rsid w:val="00A31C4C"/>
    <w:rsid w:val="00A32C8B"/>
    <w:rsid w:val="00A33D68"/>
    <w:rsid w:val="00A3490A"/>
    <w:rsid w:val="00A35E5D"/>
    <w:rsid w:val="00A364F9"/>
    <w:rsid w:val="00A37C7C"/>
    <w:rsid w:val="00A40B52"/>
    <w:rsid w:val="00A44978"/>
    <w:rsid w:val="00A44AA6"/>
    <w:rsid w:val="00A46814"/>
    <w:rsid w:val="00A46C73"/>
    <w:rsid w:val="00A50263"/>
    <w:rsid w:val="00A507C3"/>
    <w:rsid w:val="00A53658"/>
    <w:rsid w:val="00A56AD3"/>
    <w:rsid w:val="00A57B40"/>
    <w:rsid w:val="00A60EC7"/>
    <w:rsid w:val="00A61319"/>
    <w:rsid w:val="00A61CDD"/>
    <w:rsid w:val="00A62095"/>
    <w:rsid w:val="00A64A9F"/>
    <w:rsid w:val="00A65AE0"/>
    <w:rsid w:val="00A65E2B"/>
    <w:rsid w:val="00A674AF"/>
    <w:rsid w:val="00A7180F"/>
    <w:rsid w:val="00A7219D"/>
    <w:rsid w:val="00A7335D"/>
    <w:rsid w:val="00A748CB"/>
    <w:rsid w:val="00A74C88"/>
    <w:rsid w:val="00A75B94"/>
    <w:rsid w:val="00A7675F"/>
    <w:rsid w:val="00A77681"/>
    <w:rsid w:val="00A812E1"/>
    <w:rsid w:val="00A864BF"/>
    <w:rsid w:val="00A865A6"/>
    <w:rsid w:val="00A86C00"/>
    <w:rsid w:val="00A870FD"/>
    <w:rsid w:val="00A874BA"/>
    <w:rsid w:val="00A87A30"/>
    <w:rsid w:val="00A90896"/>
    <w:rsid w:val="00A9518A"/>
    <w:rsid w:val="00A97364"/>
    <w:rsid w:val="00A977E9"/>
    <w:rsid w:val="00AA34D8"/>
    <w:rsid w:val="00AA4D55"/>
    <w:rsid w:val="00AA5218"/>
    <w:rsid w:val="00AA5AA2"/>
    <w:rsid w:val="00AB35C0"/>
    <w:rsid w:val="00AB42C1"/>
    <w:rsid w:val="00AB53AD"/>
    <w:rsid w:val="00AB5DE9"/>
    <w:rsid w:val="00AB6D62"/>
    <w:rsid w:val="00AB77CC"/>
    <w:rsid w:val="00AB7B5D"/>
    <w:rsid w:val="00AC19FF"/>
    <w:rsid w:val="00AC2343"/>
    <w:rsid w:val="00AC25F4"/>
    <w:rsid w:val="00AC32EA"/>
    <w:rsid w:val="00AC46F5"/>
    <w:rsid w:val="00AC5064"/>
    <w:rsid w:val="00AD1D9C"/>
    <w:rsid w:val="00AD201C"/>
    <w:rsid w:val="00AD2391"/>
    <w:rsid w:val="00AD2460"/>
    <w:rsid w:val="00AD2A5F"/>
    <w:rsid w:val="00AD6325"/>
    <w:rsid w:val="00AD6A07"/>
    <w:rsid w:val="00AE0383"/>
    <w:rsid w:val="00AE268F"/>
    <w:rsid w:val="00AE2F99"/>
    <w:rsid w:val="00AE4C2A"/>
    <w:rsid w:val="00AE59B9"/>
    <w:rsid w:val="00AE7AF0"/>
    <w:rsid w:val="00AF0341"/>
    <w:rsid w:val="00AF0788"/>
    <w:rsid w:val="00AF1825"/>
    <w:rsid w:val="00AF3F6B"/>
    <w:rsid w:val="00AF4B14"/>
    <w:rsid w:val="00AF4DC4"/>
    <w:rsid w:val="00AF4F62"/>
    <w:rsid w:val="00AF4FC6"/>
    <w:rsid w:val="00AF5665"/>
    <w:rsid w:val="00B0048C"/>
    <w:rsid w:val="00B0229E"/>
    <w:rsid w:val="00B0297A"/>
    <w:rsid w:val="00B0450E"/>
    <w:rsid w:val="00B06990"/>
    <w:rsid w:val="00B07283"/>
    <w:rsid w:val="00B07DB5"/>
    <w:rsid w:val="00B1025C"/>
    <w:rsid w:val="00B1070A"/>
    <w:rsid w:val="00B10B5E"/>
    <w:rsid w:val="00B10D51"/>
    <w:rsid w:val="00B118AA"/>
    <w:rsid w:val="00B11C43"/>
    <w:rsid w:val="00B12E9B"/>
    <w:rsid w:val="00B14173"/>
    <w:rsid w:val="00B145EA"/>
    <w:rsid w:val="00B14E43"/>
    <w:rsid w:val="00B16CF0"/>
    <w:rsid w:val="00B17432"/>
    <w:rsid w:val="00B1745F"/>
    <w:rsid w:val="00B1792D"/>
    <w:rsid w:val="00B24EF4"/>
    <w:rsid w:val="00B2778D"/>
    <w:rsid w:val="00B31E4A"/>
    <w:rsid w:val="00B3287A"/>
    <w:rsid w:val="00B34676"/>
    <w:rsid w:val="00B35F03"/>
    <w:rsid w:val="00B3641B"/>
    <w:rsid w:val="00B408FE"/>
    <w:rsid w:val="00B43AD5"/>
    <w:rsid w:val="00B43EBE"/>
    <w:rsid w:val="00B45BDC"/>
    <w:rsid w:val="00B45F86"/>
    <w:rsid w:val="00B46247"/>
    <w:rsid w:val="00B47772"/>
    <w:rsid w:val="00B502D4"/>
    <w:rsid w:val="00B51408"/>
    <w:rsid w:val="00B52064"/>
    <w:rsid w:val="00B527B3"/>
    <w:rsid w:val="00B52F0E"/>
    <w:rsid w:val="00B54F5A"/>
    <w:rsid w:val="00B55622"/>
    <w:rsid w:val="00B55636"/>
    <w:rsid w:val="00B57161"/>
    <w:rsid w:val="00B6086C"/>
    <w:rsid w:val="00B611EA"/>
    <w:rsid w:val="00B6203F"/>
    <w:rsid w:val="00B631B1"/>
    <w:rsid w:val="00B64D6C"/>
    <w:rsid w:val="00B6646E"/>
    <w:rsid w:val="00B672E8"/>
    <w:rsid w:val="00B7096A"/>
    <w:rsid w:val="00B7189F"/>
    <w:rsid w:val="00B722FE"/>
    <w:rsid w:val="00B73BE3"/>
    <w:rsid w:val="00B74814"/>
    <w:rsid w:val="00B800D4"/>
    <w:rsid w:val="00B82970"/>
    <w:rsid w:val="00B8299A"/>
    <w:rsid w:val="00B83047"/>
    <w:rsid w:val="00B8415C"/>
    <w:rsid w:val="00B8465F"/>
    <w:rsid w:val="00B90051"/>
    <w:rsid w:val="00B90273"/>
    <w:rsid w:val="00B90756"/>
    <w:rsid w:val="00B90D22"/>
    <w:rsid w:val="00B914E7"/>
    <w:rsid w:val="00B9151B"/>
    <w:rsid w:val="00B93979"/>
    <w:rsid w:val="00B94670"/>
    <w:rsid w:val="00B946BC"/>
    <w:rsid w:val="00B948FD"/>
    <w:rsid w:val="00B97418"/>
    <w:rsid w:val="00BA008D"/>
    <w:rsid w:val="00BA0777"/>
    <w:rsid w:val="00BA12C7"/>
    <w:rsid w:val="00BA1D39"/>
    <w:rsid w:val="00BA25D5"/>
    <w:rsid w:val="00BA2948"/>
    <w:rsid w:val="00BA3D93"/>
    <w:rsid w:val="00BA4A1B"/>
    <w:rsid w:val="00BA62D4"/>
    <w:rsid w:val="00BA76F9"/>
    <w:rsid w:val="00BB15A0"/>
    <w:rsid w:val="00BB3810"/>
    <w:rsid w:val="00BB3B72"/>
    <w:rsid w:val="00BB51FB"/>
    <w:rsid w:val="00BB5E68"/>
    <w:rsid w:val="00BB705D"/>
    <w:rsid w:val="00BC0F14"/>
    <w:rsid w:val="00BC354B"/>
    <w:rsid w:val="00BC456F"/>
    <w:rsid w:val="00BC47DF"/>
    <w:rsid w:val="00BD1512"/>
    <w:rsid w:val="00BD1DB9"/>
    <w:rsid w:val="00BD308A"/>
    <w:rsid w:val="00BD3E49"/>
    <w:rsid w:val="00BD4575"/>
    <w:rsid w:val="00BD7A62"/>
    <w:rsid w:val="00BD7AC8"/>
    <w:rsid w:val="00BE0C4C"/>
    <w:rsid w:val="00BE0E97"/>
    <w:rsid w:val="00BE247B"/>
    <w:rsid w:val="00BE3AC1"/>
    <w:rsid w:val="00BE3D65"/>
    <w:rsid w:val="00BE3DE1"/>
    <w:rsid w:val="00BE52D4"/>
    <w:rsid w:val="00BE6777"/>
    <w:rsid w:val="00BE76F9"/>
    <w:rsid w:val="00BF028D"/>
    <w:rsid w:val="00BF099C"/>
    <w:rsid w:val="00BF117A"/>
    <w:rsid w:val="00BF1418"/>
    <w:rsid w:val="00BF29A5"/>
    <w:rsid w:val="00BF326F"/>
    <w:rsid w:val="00BF5145"/>
    <w:rsid w:val="00BF58A6"/>
    <w:rsid w:val="00C00359"/>
    <w:rsid w:val="00C004CA"/>
    <w:rsid w:val="00C00D8B"/>
    <w:rsid w:val="00C0228A"/>
    <w:rsid w:val="00C07C76"/>
    <w:rsid w:val="00C10DA6"/>
    <w:rsid w:val="00C13DE6"/>
    <w:rsid w:val="00C16C52"/>
    <w:rsid w:val="00C203CF"/>
    <w:rsid w:val="00C2123C"/>
    <w:rsid w:val="00C2188F"/>
    <w:rsid w:val="00C21DE2"/>
    <w:rsid w:val="00C22927"/>
    <w:rsid w:val="00C22936"/>
    <w:rsid w:val="00C230EB"/>
    <w:rsid w:val="00C233D0"/>
    <w:rsid w:val="00C2426E"/>
    <w:rsid w:val="00C248B4"/>
    <w:rsid w:val="00C2550D"/>
    <w:rsid w:val="00C25821"/>
    <w:rsid w:val="00C30096"/>
    <w:rsid w:val="00C314CA"/>
    <w:rsid w:val="00C31BBB"/>
    <w:rsid w:val="00C324A2"/>
    <w:rsid w:val="00C336A3"/>
    <w:rsid w:val="00C353A5"/>
    <w:rsid w:val="00C35B0A"/>
    <w:rsid w:val="00C35D39"/>
    <w:rsid w:val="00C36F10"/>
    <w:rsid w:val="00C4086E"/>
    <w:rsid w:val="00C43015"/>
    <w:rsid w:val="00C44C3E"/>
    <w:rsid w:val="00C44ED1"/>
    <w:rsid w:val="00C45231"/>
    <w:rsid w:val="00C51526"/>
    <w:rsid w:val="00C523A2"/>
    <w:rsid w:val="00C54018"/>
    <w:rsid w:val="00C54A5F"/>
    <w:rsid w:val="00C55519"/>
    <w:rsid w:val="00C555C3"/>
    <w:rsid w:val="00C56710"/>
    <w:rsid w:val="00C615ED"/>
    <w:rsid w:val="00C620C6"/>
    <w:rsid w:val="00C63026"/>
    <w:rsid w:val="00C63AA2"/>
    <w:rsid w:val="00C649CB"/>
    <w:rsid w:val="00C65AC3"/>
    <w:rsid w:val="00C66008"/>
    <w:rsid w:val="00C66934"/>
    <w:rsid w:val="00C66A01"/>
    <w:rsid w:val="00C7231C"/>
    <w:rsid w:val="00C74B72"/>
    <w:rsid w:val="00C7598C"/>
    <w:rsid w:val="00C75FD0"/>
    <w:rsid w:val="00C80E63"/>
    <w:rsid w:val="00C83107"/>
    <w:rsid w:val="00C833E0"/>
    <w:rsid w:val="00C8627A"/>
    <w:rsid w:val="00C9137C"/>
    <w:rsid w:val="00C922D0"/>
    <w:rsid w:val="00C9771C"/>
    <w:rsid w:val="00CA0BE2"/>
    <w:rsid w:val="00CA1071"/>
    <w:rsid w:val="00CA150E"/>
    <w:rsid w:val="00CA163A"/>
    <w:rsid w:val="00CA2B4E"/>
    <w:rsid w:val="00CA368F"/>
    <w:rsid w:val="00CA4BB7"/>
    <w:rsid w:val="00CA5B6F"/>
    <w:rsid w:val="00CA5E9F"/>
    <w:rsid w:val="00CA6D2E"/>
    <w:rsid w:val="00CB062A"/>
    <w:rsid w:val="00CB16A1"/>
    <w:rsid w:val="00CB21EB"/>
    <w:rsid w:val="00CB4113"/>
    <w:rsid w:val="00CB7F1D"/>
    <w:rsid w:val="00CC12C6"/>
    <w:rsid w:val="00CC17ED"/>
    <w:rsid w:val="00CC1DB9"/>
    <w:rsid w:val="00CC444A"/>
    <w:rsid w:val="00CC5149"/>
    <w:rsid w:val="00CC727C"/>
    <w:rsid w:val="00CC7A8C"/>
    <w:rsid w:val="00CD01F8"/>
    <w:rsid w:val="00CD13A6"/>
    <w:rsid w:val="00CD3912"/>
    <w:rsid w:val="00CD3D60"/>
    <w:rsid w:val="00CD4EE2"/>
    <w:rsid w:val="00CD554C"/>
    <w:rsid w:val="00CD5B99"/>
    <w:rsid w:val="00CD6AF9"/>
    <w:rsid w:val="00CE3EFF"/>
    <w:rsid w:val="00CE45CC"/>
    <w:rsid w:val="00CE4A33"/>
    <w:rsid w:val="00CE4A3A"/>
    <w:rsid w:val="00CE59CB"/>
    <w:rsid w:val="00CE6940"/>
    <w:rsid w:val="00CE6D38"/>
    <w:rsid w:val="00CF1F28"/>
    <w:rsid w:val="00CF21FD"/>
    <w:rsid w:val="00CF2BA5"/>
    <w:rsid w:val="00CF42E8"/>
    <w:rsid w:val="00CF4A8A"/>
    <w:rsid w:val="00CF51C6"/>
    <w:rsid w:val="00CF6410"/>
    <w:rsid w:val="00CF7249"/>
    <w:rsid w:val="00CF729B"/>
    <w:rsid w:val="00D018EC"/>
    <w:rsid w:val="00D02E6B"/>
    <w:rsid w:val="00D04720"/>
    <w:rsid w:val="00D04F9D"/>
    <w:rsid w:val="00D11240"/>
    <w:rsid w:val="00D11CA5"/>
    <w:rsid w:val="00D1648D"/>
    <w:rsid w:val="00D20F39"/>
    <w:rsid w:val="00D216FD"/>
    <w:rsid w:val="00D2226F"/>
    <w:rsid w:val="00D26D47"/>
    <w:rsid w:val="00D30C8E"/>
    <w:rsid w:val="00D30CEA"/>
    <w:rsid w:val="00D3211F"/>
    <w:rsid w:val="00D32B6A"/>
    <w:rsid w:val="00D33758"/>
    <w:rsid w:val="00D34088"/>
    <w:rsid w:val="00D35C25"/>
    <w:rsid w:val="00D40A11"/>
    <w:rsid w:val="00D43911"/>
    <w:rsid w:val="00D45A62"/>
    <w:rsid w:val="00D46372"/>
    <w:rsid w:val="00D47DD0"/>
    <w:rsid w:val="00D51795"/>
    <w:rsid w:val="00D603FC"/>
    <w:rsid w:val="00D61A4F"/>
    <w:rsid w:val="00D66847"/>
    <w:rsid w:val="00D66E60"/>
    <w:rsid w:val="00D673E2"/>
    <w:rsid w:val="00D7379D"/>
    <w:rsid w:val="00D74E6A"/>
    <w:rsid w:val="00D750F0"/>
    <w:rsid w:val="00D757CE"/>
    <w:rsid w:val="00D75BC6"/>
    <w:rsid w:val="00D75DF9"/>
    <w:rsid w:val="00D776D3"/>
    <w:rsid w:val="00D81DE0"/>
    <w:rsid w:val="00D81EDC"/>
    <w:rsid w:val="00D83BAA"/>
    <w:rsid w:val="00D84454"/>
    <w:rsid w:val="00D847BA"/>
    <w:rsid w:val="00D84C67"/>
    <w:rsid w:val="00D90390"/>
    <w:rsid w:val="00D9533B"/>
    <w:rsid w:val="00DA0294"/>
    <w:rsid w:val="00DA584A"/>
    <w:rsid w:val="00DA66F7"/>
    <w:rsid w:val="00DB0067"/>
    <w:rsid w:val="00DB2269"/>
    <w:rsid w:val="00DB63DB"/>
    <w:rsid w:val="00DB64EA"/>
    <w:rsid w:val="00DB68EC"/>
    <w:rsid w:val="00DC0097"/>
    <w:rsid w:val="00DC0CE7"/>
    <w:rsid w:val="00DC0F69"/>
    <w:rsid w:val="00DC1691"/>
    <w:rsid w:val="00DC18A8"/>
    <w:rsid w:val="00DC282F"/>
    <w:rsid w:val="00DC35BB"/>
    <w:rsid w:val="00DC4355"/>
    <w:rsid w:val="00DC4C15"/>
    <w:rsid w:val="00DC5419"/>
    <w:rsid w:val="00DD0227"/>
    <w:rsid w:val="00DD0998"/>
    <w:rsid w:val="00DD0BBD"/>
    <w:rsid w:val="00DD304D"/>
    <w:rsid w:val="00DD3CA9"/>
    <w:rsid w:val="00DD74E8"/>
    <w:rsid w:val="00DD78F0"/>
    <w:rsid w:val="00DD7FB1"/>
    <w:rsid w:val="00DE02AC"/>
    <w:rsid w:val="00DE0A6F"/>
    <w:rsid w:val="00DE1668"/>
    <w:rsid w:val="00DE27AC"/>
    <w:rsid w:val="00DE2E67"/>
    <w:rsid w:val="00DE4CA2"/>
    <w:rsid w:val="00DE562F"/>
    <w:rsid w:val="00DF6249"/>
    <w:rsid w:val="00DF76F3"/>
    <w:rsid w:val="00E00CA9"/>
    <w:rsid w:val="00E0186C"/>
    <w:rsid w:val="00E0224E"/>
    <w:rsid w:val="00E045EB"/>
    <w:rsid w:val="00E10614"/>
    <w:rsid w:val="00E10677"/>
    <w:rsid w:val="00E11EF1"/>
    <w:rsid w:val="00E1418E"/>
    <w:rsid w:val="00E1591B"/>
    <w:rsid w:val="00E16F97"/>
    <w:rsid w:val="00E16FAC"/>
    <w:rsid w:val="00E21F48"/>
    <w:rsid w:val="00E238DF"/>
    <w:rsid w:val="00E2644C"/>
    <w:rsid w:val="00E27BE4"/>
    <w:rsid w:val="00E30244"/>
    <w:rsid w:val="00E30989"/>
    <w:rsid w:val="00E353FB"/>
    <w:rsid w:val="00E3660B"/>
    <w:rsid w:val="00E37242"/>
    <w:rsid w:val="00E37301"/>
    <w:rsid w:val="00E4113F"/>
    <w:rsid w:val="00E418A3"/>
    <w:rsid w:val="00E43223"/>
    <w:rsid w:val="00E46CF4"/>
    <w:rsid w:val="00E47225"/>
    <w:rsid w:val="00E47704"/>
    <w:rsid w:val="00E479D0"/>
    <w:rsid w:val="00E511A7"/>
    <w:rsid w:val="00E52743"/>
    <w:rsid w:val="00E53EFF"/>
    <w:rsid w:val="00E54419"/>
    <w:rsid w:val="00E5469C"/>
    <w:rsid w:val="00E54ADE"/>
    <w:rsid w:val="00E5596F"/>
    <w:rsid w:val="00E55BBA"/>
    <w:rsid w:val="00E5730A"/>
    <w:rsid w:val="00E576FC"/>
    <w:rsid w:val="00E616FF"/>
    <w:rsid w:val="00E63516"/>
    <w:rsid w:val="00E6366D"/>
    <w:rsid w:val="00E63A7C"/>
    <w:rsid w:val="00E644B5"/>
    <w:rsid w:val="00E6691F"/>
    <w:rsid w:val="00E67AF7"/>
    <w:rsid w:val="00E723FC"/>
    <w:rsid w:val="00E7275E"/>
    <w:rsid w:val="00E72F78"/>
    <w:rsid w:val="00E73F71"/>
    <w:rsid w:val="00E7705F"/>
    <w:rsid w:val="00E80B50"/>
    <w:rsid w:val="00E8128F"/>
    <w:rsid w:val="00E82A30"/>
    <w:rsid w:val="00E83141"/>
    <w:rsid w:val="00E83E22"/>
    <w:rsid w:val="00E83FB3"/>
    <w:rsid w:val="00E85D3D"/>
    <w:rsid w:val="00E85D6F"/>
    <w:rsid w:val="00E91C78"/>
    <w:rsid w:val="00E91F43"/>
    <w:rsid w:val="00E946D3"/>
    <w:rsid w:val="00E94D1F"/>
    <w:rsid w:val="00E94EC4"/>
    <w:rsid w:val="00E94FFC"/>
    <w:rsid w:val="00E953A0"/>
    <w:rsid w:val="00E97D73"/>
    <w:rsid w:val="00EA0D52"/>
    <w:rsid w:val="00EA10FD"/>
    <w:rsid w:val="00EA15F4"/>
    <w:rsid w:val="00EA2A51"/>
    <w:rsid w:val="00EA7C80"/>
    <w:rsid w:val="00EB27BF"/>
    <w:rsid w:val="00EB2F88"/>
    <w:rsid w:val="00EB354D"/>
    <w:rsid w:val="00EB5F10"/>
    <w:rsid w:val="00EB6A9B"/>
    <w:rsid w:val="00EB7D57"/>
    <w:rsid w:val="00EC0EE7"/>
    <w:rsid w:val="00EC1D18"/>
    <w:rsid w:val="00EC2283"/>
    <w:rsid w:val="00EC30C6"/>
    <w:rsid w:val="00EC3596"/>
    <w:rsid w:val="00EC6006"/>
    <w:rsid w:val="00EC6D2A"/>
    <w:rsid w:val="00ED2DF8"/>
    <w:rsid w:val="00ED51A3"/>
    <w:rsid w:val="00ED67A6"/>
    <w:rsid w:val="00ED7DC1"/>
    <w:rsid w:val="00EE0C4F"/>
    <w:rsid w:val="00EE2698"/>
    <w:rsid w:val="00EE3201"/>
    <w:rsid w:val="00EE75FD"/>
    <w:rsid w:val="00EE7C94"/>
    <w:rsid w:val="00EF06C7"/>
    <w:rsid w:val="00EF286E"/>
    <w:rsid w:val="00EF5A4C"/>
    <w:rsid w:val="00EF6392"/>
    <w:rsid w:val="00EF6DE2"/>
    <w:rsid w:val="00F01105"/>
    <w:rsid w:val="00F0176D"/>
    <w:rsid w:val="00F01C8A"/>
    <w:rsid w:val="00F02CA0"/>
    <w:rsid w:val="00F0564C"/>
    <w:rsid w:val="00F05FA1"/>
    <w:rsid w:val="00F06547"/>
    <w:rsid w:val="00F1063B"/>
    <w:rsid w:val="00F122C9"/>
    <w:rsid w:val="00F124EF"/>
    <w:rsid w:val="00F12B9E"/>
    <w:rsid w:val="00F130A2"/>
    <w:rsid w:val="00F16A1C"/>
    <w:rsid w:val="00F16B81"/>
    <w:rsid w:val="00F16D48"/>
    <w:rsid w:val="00F17395"/>
    <w:rsid w:val="00F20991"/>
    <w:rsid w:val="00F216D6"/>
    <w:rsid w:val="00F23755"/>
    <w:rsid w:val="00F2667C"/>
    <w:rsid w:val="00F30C07"/>
    <w:rsid w:val="00F321E1"/>
    <w:rsid w:val="00F33378"/>
    <w:rsid w:val="00F340EC"/>
    <w:rsid w:val="00F34315"/>
    <w:rsid w:val="00F352D6"/>
    <w:rsid w:val="00F357D6"/>
    <w:rsid w:val="00F42DB3"/>
    <w:rsid w:val="00F43CA2"/>
    <w:rsid w:val="00F43D9F"/>
    <w:rsid w:val="00F43DB7"/>
    <w:rsid w:val="00F454D4"/>
    <w:rsid w:val="00F54937"/>
    <w:rsid w:val="00F5622B"/>
    <w:rsid w:val="00F60092"/>
    <w:rsid w:val="00F61AA7"/>
    <w:rsid w:val="00F62D2D"/>
    <w:rsid w:val="00F63A00"/>
    <w:rsid w:val="00F66386"/>
    <w:rsid w:val="00F673A9"/>
    <w:rsid w:val="00F676B1"/>
    <w:rsid w:val="00F705EE"/>
    <w:rsid w:val="00F70FD5"/>
    <w:rsid w:val="00F71100"/>
    <w:rsid w:val="00F72643"/>
    <w:rsid w:val="00F747D4"/>
    <w:rsid w:val="00F75132"/>
    <w:rsid w:val="00F776C3"/>
    <w:rsid w:val="00F80907"/>
    <w:rsid w:val="00F816C8"/>
    <w:rsid w:val="00F820B2"/>
    <w:rsid w:val="00F8330A"/>
    <w:rsid w:val="00F86FA9"/>
    <w:rsid w:val="00F87717"/>
    <w:rsid w:val="00F93397"/>
    <w:rsid w:val="00F97618"/>
    <w:rsid w:val="00FA08F9"/>
    <w:rsid w:val="00FA0960"/>
    <w:rsid w:val="00FA0C8B"/>
    <w:rsid w:val="00FA0E9A"/>
    <w:rsid w:val="00FA2D2B"/>
    <w:rsid w:val="00FA2F46"/>
    <w:rsid w:val="00FA2FB4"/>
    <w:rsid w:val="00FA610A"/>
    <w:rsid w:val="00FB410D"/>
    <w:rsid w:val="00FB52F0"/>
    <w:rsid w:val="00FC26E4"/>
    <w:rsid w:val="00FC2C77"/>
    <w:rsid w:val="00FC3C7F"/>
    <w:rsid w:val="00FC4C01"/>
    <w:rsid w:val="00FC5434"/>
    <w:rsid w:val="00FC6AE0"/>
    <w:rsid w:val="00FC6B24"/>
    <w:rsid w:val="00FC6EED"/>
    <w:rsid w:val="00FD0867"/>
    <w:rsid w:val="00FD17D0"/>
    <w:rsid w:val="00FD21B0"/>
    <w:rsid w:val="00FD3781"/>
    <w:rsid w:val="00FD3B3B"/>
    <w:rsid w:val="00FD4156"/>
    <w:rsid w:val="00FD5685"/>
    <w:rsid w:val="00FD5699"/>
    <w:rsid w:val="00FD58F3"/>
    <w:rsid w:val="00FD5AF4"/>
    <w:rsid w:val="00FD65D5"/>
    <w:rsid w:val="00FD7050"/>
    <w:rsid w:val="00FE2283"/>
    <w:rsid w:val="00FE3BD4"/>
    <w:rsid w:val="00FE46AC"/>
    <w:rsid w:val="00FE4903"/>
    <w:rsid w:val="00FE604B"/>
    <w:rsid w:val="00FE6584"/>
    <w:rsid w:val="00FE7E32"/>
    <w:rsid w:val="00FF2518"/>
    <w:rsid w:val="00FF369B"/>
    <w:rsid w:val="00FF5DF8"/>
    <w:rsid w:val="00FF7848"/>
    <w:rsid w:val="01BD17FD"/>
    <w:rsid w:val="023B6BC5"/>
    <w:rsid w:val="023C0EAB"/>
    <w:rsid w:val="02924A37"/>
    <w:rsid w:val="031511C4"/>
    <w:rsid w:val="035717DD"/>
    <w:rsid w:val="03577A2F"/>
    <w:rsid w:val="036E31B7"/>
    <w:rsid w:val="03C50E3C"/>
    <w:rsid w:val="03E2554B"/>
    <w:rsid w:val="04131BA8"/>
    <w:rsid w:val="043A35D9"/>
    <w:rsid w:val="04E62E18"/>
    <w:rsid w:val="052265D2"/>
    <w:rsid w:val="05526700"/>
    <w:rsid w:val="056F2E0E"/>
    <w:rsid w:val="05F257ED"/>
    <w:rsid w:val="060A6FDB"/>
    <w:rsid w:val="06896151"/>
    <w:rsid w:val="06F16BC5"/>
    <w:rsid w:val="070E48A8"/>
    <w:rsid w:val="070E6657"/>
    <w:rsid w:val="075D47A1"/>
    <w:rsid w:val="07697D31"/>
    <w:rsid w:val="07B824ED"/>
    <w:rsid w:val="07D57174"/>
    <w:rsid w:val="07E5385B"/>
    <w:rsid w:val="08053EFD"/>
    <w:rsid w:val="084542FA"/>
    <w:rsid w:val="08A07782"/>
    <w:rsid w:val="096B7D90"/>
    <w:rsid w:val="09750C0F"/>
    <w:rsid w:val="097529BD"/>
    <w:rsid w:val="098D5F59"/>
    <w:rsid w:val="09C35E1E"/>
    <w:rsid w:val="0AB66DA2"/>
    <w:rsid w:val="0AC91212"/>
    <w:rsid w:val="0B1B7594"/>
    <w:rsid w:val="0B505490"/>
    <w:rsid w:val="0B5D7BAD"/>
    <w:rsid w:val="0BF56037"/>
    <w:rsid w:val="0C052F39"/>
    <w:rsid w:val="0C4C20FB"/>
    <w:rsid w:val="0CC04897"/>
    <w:rsid w:val="0CCC323C"/>
    <w:rsid w:val="0CF87B8D"/>
    <w:rsid w:val="0D0429D6"/>
    <w:rsid w:val="0D984ECC"/>
    <w:rsid w:val="0DDF6F9F"/>
    <w:rsid w:val="0DEF71E2"/>
    <w:rsid w:val="0E0802A4"/>
    <w:rsid w:val="0E664FCA"/>
    <w:rsid w:val="0EBC146C"/>
    <w:rsid w:val="0EC71F0D"/>
    <w:rsid w:val="0ED14B39"/>
    <w:rsid w:val="0EF44384"/>
    <w:rsid w:val="0F386966"/>
    <w:rsid w:val="0F8676D2"/>
    <w:rsid w:val="0FCE3C56"/>
    <w:rsid w:val="104906FF"/>
    <w:rsid w:val="107C0AD5"/>
    <w:rsid w:val="10CD1330"/>
    <w:rsid w:val="11196324"/>
    <w:rsid w:val="11625F1D"/>
    <w:rsid w:val="117D4B05"/>
    <w:rsid w:val="12BE53D5"/>
    <w:rsid w:val="130152C1"/>
    <w:rsid w:val="13023513"/>
    <w:rsid w:val="131B2827"/>
    <w:rsid w:val="13581385"/>
    <w:rsid w:val="1379754E"/>
    <w:rsid w:val="13AF04A5"/>
    <w:rsid w:val="13C62793"/>
    <w:rsid w:val="140C2170"/>
    <w:rsid w:val="147541B9"/>
    <w:rsid w:val="14795A57"/>
    <w:rsid w:val="14830684"/>
    <w:rsid w:val="14BC5944"/>
    <w:rsid w:val="14E8498B"/>
    <w:rsid w:val="153951E6"/>
    <w:rsid w:val="154C316C"/>
    <w:rsid w:val="157224A6"/>
    <w:rsid w:val="15B42ABF"/>
    <w:rsid w:val="16216458"/>
    <w:rsid w:val="165322D8"/>
    <w:rsid w:val="16702E8A"/>
    <w:rsid w:val="16861D10"/>
    <w:rsid w:val="16C17241"/>
    <w:rsid w:val="172B6DB1"/>
    <w:rsid w:val="177469AA"/>
    <w:rsid w:val="179C380B"/>
    <w:rsid w:val="17A67D78"/>
    <w:rsid w:val="17AC7EF2"/>
    <w:rsid w:val="185365BF"/>
    <w:rsid w:val="18891FE1"/>
    <w:rsid w:val="18D53478"/>
    <w:rsid w:val="18FA2EDF"/>
    <w:rsid w:val="197B5DCD"/>
    <w:rsid w:val="19832ED4"/>
    <w:rsid w:val="199D3F96"/>
    <w:rsid w:val="199D433D"/>
    <w:rsid w:val="19B412DF"/>
    <w:rsid w:val="19C57049"/>
    <w:rsid w:val="1A3F6DFB"/>
    <w:rsid w:val="1B0246D5"/>
    <w:rsid w:val="1B1C538E"/>
    <w:rsid w:val="1B66485B"/>
    <w:rsid w:val="1BAA299A"/>
    <w:rsid w:val="1BAD248A"/>
    <w:rsid w:val="1BB13D28"/>
    <w:rsid w:val="1BBE4697"/>
    <w:rsid w:val="1BC752FA"/>
    <w:rsid w:val="1BDE0896"/>
    <w:rsid w:val="1BF34341"/>
    <w:rsid w:val="1BFC5EAA"/>
    <w:rsid w:val="1C295FB5"/>
    <w:rsid w:val="1C3109C5"/>
    <w:rsid w:val="1C6C5EA1"/>
    <w:rsid w:val="1C7A236C"/>
    <w:rsid w:val="1C8E406A"/>
    <w:rsid w:val="1CA53161"/>
    <w:rsid w:val="1CBD66FD"/>
    <w:rsid w:val="1CE26164"/>
    <w:rsid w:val="1D2D5631"/>
    <w:rsid w:val="1D556936"/>
    <w:rsid w:val="1D8E540C"/>
    <w:rsid w:val="1D903E12"/>
    <w:rsid w:val="1DA5166B"/>
    <w:rsid w:val="1DCA10D2"/>
    <w:rsid w:val="1DE5415D"/>
    <w:rsid w:val="1DE55F0B"/>
    <w:rsid w:val="1EC024D4"/>
    <w:rsid w:val="1F503046"/>
    <w:rsid w:val="1F7A6B27"/>
    <w:rsid w:val="1FB57B5F"/>
    <w:rsid w:val="1FC3227C"/>
    <w:rsid w:val="1FE43FA1"/>
    <w:rsid w:val="206550E2"/>
    <w:rsid w:val="209459C7"/>
    <w:rsid w:val="20C0056A"/>
    <w:rsid w:val="218E0668"/>
    <w:rsid w:val="219914E7"/>
    <w:rsid w:val="21FE6E6A"/>
    <w:rsid w:val="22056B7C"/>
    <w:rsid w:val="226C09A9"/>
    <w:rsid w:val="22883309"/>
    <w:rsid w:val="228D0920"/>
    <w:rsid w:val="22F95FB5"/>
    <w:rsid w:val="238E2BA1"/>
    <w:rsid w:val="23C87E61"/>
    <w:rsid w:val="23CB5BA3"/>
    <w:rsid w:val="23D5257E"/>
    <w:rsid w:val="240B2444"/>
    <w:rsid w:val="242D4168"/>
    <w:rsid w:val="24B623B0"/>
    <w:rsid w:val="24E74F10"/>
    <w:rsid w:val="24FD3B3B"/>
    <w:rsid w:val="25706A02"/>
    <w:rsid w:val="2581626F"/>
    <w:rsid w:val="25D0124F"/>
    <w:rsid w:val="26176E7E"/>
    <w:rsid w:val="26541E80"/>
    <w:rsid w:val="268A58A2"/>
    <w:rsid w:val="26AA5F44"/>
    <w:rsid w:val="26B40B71"/>
    <w:rsid w:val="26BE379D"/>
    <w:rsid w:val="26C54B2C"/>
    <w:rsid w:val="26D46B1D"/>
    <w:rsid w:val="26F23447"/>
    <w:rsid w:val="27075144"/>
    <w:rsid w:val="27257379"/>
    <w:rsid w:val="27321A96"/>
    <w:rsid w:val="27392E24"/>
    <w:rsid w:val="274041B2"/>
    <w:rsid w:val="275B0FEC"/>
    <w:rsid w:val="27ED368D"/>
    <w:rsid w:val="28416434"/>
    <w:rsid w:val="289E3886"/>
    <w:rsid w:val="28B5297E"/>
    <w:rsid w:val="28C748FC"/>
    <w:rsid w:val="28D472A8"/>
    <w:rsid w:val="28E13773"/>
    <w:rsid w:val="293935AF"/>
    <w:rsid w:val="293D309F"/>
    <w:rsid w:val="294F2DD3"/>
    <w:rsid w:val="296879F1"/>
    <w:rsid w:val="29B13146"/>
    <w:rsid w:val="29B17794"/>
    <w:rsid w:val="2A104310"/>
    <w:rsid w:val="2A73489F"/>
    <w:rsid w:val="2A900FAD"/>
    <w:rsid w:val="2AE5754B"/>
    <w:rsid w:val="2B430715"/>
    <w:rsid w:val="2B4D50F0"/>
    <w:rsid w:val="2BAC0255"/>
    <w:rsid w:val="2BAD4BF1"/>
    <w:rsid w:val="2BC25ADE"/>
    <w:rsid w:val="2BEC2B5B"/>
    <w:rsid w:val="2C3047F6"/>
    <w:rsid w:val="2C5D75B5"/>
    <w:rsid w:val="2C697D08"/>
    <w:rsid w:val="2C770676"/>
    <w:rsid w:val="2C862667"/>
    <w:rsid w:val="2C9F197B"/>
    <w:rsid w:val="2CB25B52"/>
    <w:rsid w:val="2CBA67B5"/>
    <w:rsid w:val="2CD23AFF"/>
    <w:rsid w:val="2CE850D0"/>
    <w:rsid w:val="2D35408E"/>
    <w:rsid w:val="2D8C1F00"/>
    <w:rsid w:val="2D92328E"/>
    <w:rsid w:val="2DB80F46"/>
    <w:rsid w:val="2E093550"/>
    <w:rsid w:val="2E1168A9"/>
    <w:rsid w:val="2E4508CC"/>
    <w:rsid w:val="2E556795"/>
    <w:rsid w:val="2E7110F5"/>
    <w:rsid w:val="2E84707B"/>
    <w:rsid w:val="2E870919"/>
    <w:rsid w:val="2E9372BE"/>
    <w:rsid w:val="2EFC30B5"/>
    <w:rsid w:val="2F0E58A6"/>
    <w:rsid w:val="2F6A001E"/>
    <w:rsid w:val="2F972DDE"/>
    <w:rsid w:val="2FD933F6"/>
    <w:rsid w:val="30112B90"/>
    <w:rsid w:val="302C5C1C"/>
    <w:rsid w:val="302C7C73"/>
    <w:rsid w:val="306B04F2"/>
    <w:rsid w:val="306C6018"/>
    <w:rsid w:val="30EB1633"/>
    <w:rsid w:val="30FD4EC2"/>
    <w:rsid w:val="31785513"/>
    <w:rsid w:val="31B47C77"/>
    <w:rsid w:val="31BD2FCF"/>
    <w:rsid w:val="31EF5153"/>
    <w:rsid w:val="323A4620"/>
    <w:rsid w:val="324F174E"/>
    <w:rsid w:val="32B67A1F"/>
    <w:rsid w:val="32C0264B"/>
    <w:rsid w:val="32EC0D45"/>
    <w:rsid w:val="33240E2C"/>
    <w:rsid w:val="339E473B"/>
    <w:rsid w:val="344057F2"/>
    <w:rsid w:val="34D16D92"/>
    <w:rsid w:val="355552CD"/>
    <w:rsid w:val="35731BF7"/>
    <w:rsid w:val="35BA15D4"/>
    <w:rsid w:val="35E36D7D"/>
    <w:rsid w:val="361B02C4"/>
    <w:rsid w:val="362E28EC"/>
    <w:rsid w:val="368765CA"/>
    <w:rsid w:val="36F56D67"/>
    <w:rsid w:val="3700570C"/>
    <w:rsid w:val="372431A9"/>
    <w:rsid w:val="37313B18"/>
    <w:rsid w:val="374C2700"/>
    <w:rsid w:val="374D6BA3"/>
    <w:rsid w:val="37D44BCF"/>
    <w:rsid w:val="37E172EC"/>
    <w:rsid w:val="38161214"/>
    <w:rsid w:val="38204805"/>
    <w:rsid w:val="38926838"/>
    <w:rsid w:val="38E2331B"/>
    <w:rsid w:val="38F90665"/>
    <w:rsid w:val="39007C46"/>
    <w:rsid w:val="393A3157"/>
    <w:rsid w:val="39581830"/>
    <w:rsid w:val="39987E7E"/>
    <w:rsid w:val="399C796E"/>
    <w:rsid w:val="39D709A6"/>
    <w:rsid w:val="3A26548A"/>
    <w:rsid w:val="3A944AE9"/>
    <w:rsid w:val="3AD0140D"/>
    <w:rsid w:val="3AD153F6"/>
    <w:rsid w:val="3AEC222F"/>
    <w:rsid w:val="3B1D688D"/>
    <w:rsid w:val="3B255741"/>
    <w:rsid w:val="3B4C2CCE"/>
    <w:rsid w:val="3B561D9F"/>
    <w:rsid w:val="3B581673"/>
    <w:rsid w:val="3B6E0E96"/>
    <w:rsid w:val="3BDF7FE6"/>
    <w:rsid w:val="3BE86E9B"/>
    <w:rsid w:val="3CEC2D22"/>
    <w:rsid w:val="3D4F2F4A"/>
    <w:rsid w:val="3D516CC2"/>
    <w:rsid w:val="3D737763"/>
    <w:rsid w:val="3E216694"/>
    <w:rsid w:val="3F3E5024"/>
    <w:rsid w:val="3FC27A03"/>
    <w:rsid w:val="3FEA0D08"/>
    <w:rsid w:val="402B37FA"/>
    <w:rsid w:val="40356427"/>
    <w:rsid w:val="406E1939"/>
    <w:rsid w:val="40BB2DD0"/>
    <w:rsid w:val="40BF3F42"/>
    <w:rsid w:val="40E1035D"/>
    <w:rsid w:val="4194717D"/>
    <w:rsid w:val="41A90E7A"/>
    <w:rsid w:val="41D67795"/>
    <w:rsid w:val="42521512"/>
    <w:rsid w:val="426D634C"/>
    <w:rsid w:val="42975177"/>
    <w:rsid w:val="42B0448A"/>
    <w:rsid w:val="435B61A4"/>
    <w:rsid w:val="43614A62"/>
    <w:rsid w:val="43853221"/>
    <w:rsid w:val="438A0837"/>
    <w:rsid w:val="43A318F9"/>
    <w:rsid w:val="43D85A47"/>
    <w:rsid w:val="443D1D4E"/>
    <w:rsid w:val="44B82E53"/>
    <w:rsid w:val="457D7229"/>
    <w:rsid w:val="458F0387"/>
    <w:rsid w:val="46160AA8"/>
    <w:rsid w:val="46364CA7"/>
    <w:rsid w:val="46C6602A"/>
    <w:rsid w:val="46E6047B"/>
    <w:rsid w:val="46EB5A91"/>
    <w:rsid w:val="473C3637"/>
    <w:rsid w:val="475B1488"/>
    <w:rsid w:val="47A53E92"/>
    <w:rsid w:val="47AF4D11"/>
    <w:rsid w:val="47E0311C"/>
    <w:rsid w:val="47EB386F"/>
    <w:rsid w:val="48142DC6"/>
    <w:rsid w:val="48174664"/>
    <w:rsid w:val="48180B08"/>
    <w:rsid w:val="48286871"/>
    <w:rsid w:val="48390A7E"/>
    <w:rsid w:val="487F0B87"/>
    <w:rsid w:val="48F476BC"/>
    <w:rsid w:val="496B2EB9"/>
    <w:rsid w:val="499A379E"/>
    <w:rsid w:val="49B77EAC"/>
    <w:rsid w:val="49D767A1"/>
    <w:rsid w:val="49DC7913"/>
    <w:rsid w:val="4A7D10F6"/>
    <w:rsid w:val="4AAD305D"/>
    <w:rsid w:val="4AB12B4E"/>
    <w:rsid w:val="4AD827D0"/>
    <w:rsid w:val="4AE178D7"/>
    <w:rsid w:val="4B094738"/>
    <w:rsid w:val="4B2477C4"/>
    <w:rsid w:val="4B294DDA"/>
    <w:rsid w:val="4B321EE0"/>
    <w:rsid w:val="4B3A0D95"/>
    <w:rsid w:val="4B4E4840"/>
    <w:rsid w:val="4B985ABC"/>
    <w:rsid w:val="4BB9615E"/>
    <w:rsid w:val="4BD950B6"/>
    <w:rsid w:val="4BF11ABA"/>
    <w:rsid w:val="4C087A3B"/>
    <w:rsid w:val="4CD314A1"/>
    <w:rsid w:val="4D0A4797"/>
    <w:rsid w:val="4D457A79"/>
    <w:rsid w:val="4D7367E0"/>
    <w:rsid w:val="4DBE3EFF"/>
    <w:rsid w:val="4DD54DA5"/>
    <w:rsid w:val="4E13667D"/>
    <w:rsid w:val="4E1C712B"/>
    <w:rsid w:val="4E8D5680"/>
    <w:rsid w:val="4E8D742E"/>
    <w:rsid w:val="4E8F31A6"/>
    <w:rsid w:val="4EAD42A2"/>
    <w:rsid w:val="4ED27537"/>
    <w:rsid w:val="4EDE5EDB"/>
    <w:rsid w:val="4F5D32A4"/>
    <w:rsid w:val="4F642884"/>
    <w:rsid w:val="4FC82E13"/>
    <w:rsid w:val="4FF33A72"/>
    <w:rsid w:val="501C6CBB"/>
    <w:rsid w:val="502838B2"/>
    <w:rsid w:val="506D7517"/>
    <w:rsid w:val="5080549C"/>
    <w:rsid w:val="509748C6"/>
    <w:rsid w:val="51031C29"/>
    <w:rsid w:val="51532BB1"/>
    <w:rsid w:val="517C4B19"/>
    <w:rsid w:val="51FC6DA4"/>
    <w:rsid w:val="522D51B0"/>
    <w:rsid w:val="526037D7"/>
    <w:rsid w:val="529671F9"/>
    <w:rsid w:val="52AD7F26"/>
    <w:rsid w:val="53204D14"/>
    <w:rsid w:val="53312A7E"/>
    <w:rsid w:val="536E5A80"/>
    <w:rsid w:val="53876B42"/>
    <w:rsid w:val="53AE0572"/>
    <w:rsid w:val="53BC2C8F"/>
    <w:rsid w:val="53C75190"/>
    <w:rsid w:val="54302D35"/>
    <w:rsid w:val="54505185"/>
    <w:rsid w:val="54694499"/>
    <w:rsid w:val="54B0031A"/>
    <w:rsid w:val="55384597"/>
    <w:rsid w:val="55985036"/>
    <w:rsid w:val="56031619"/>
    <w:rsid w:val="560B1CAC"/>
    <w:rsid w:val="5630794D"/>
    <w:rsid w:val="56775382"/>
    <w:rsid w:val="567A298E"/>
    <w:rsid w:val="568B4B9B"/>
    <w:rsid w:val="56B55774"/>
    <w:rsid w:val="56F049FE"/>
    <w:rsid w:val="578C5AC2"/>
    <w:rsid w:val="57F64296"/>
    <w:rsid w:val="58136BF6"/>
    <w:rsid w:val="585039A6"/>
    <w:rsid w:val="58586CFE"/>
    <w:rsid w:val="589F492D"/>
    <w:rsid w:val="58AB5080"/>
    <w:rsid w:val="58B57CAD"/>
    <w:rsid w:val="58D5034F"/>
    <w:rsid w:val="58FF18EE"/>
    <w:rsid w:val="59301A29"/>
    <w:rsid w:val="59417793"/>
    <w:rsid w:val="596A6CE9"/>
    <w:rsid w:val="59F12F67"/>
    <w:rsid w:val="59F760A3"/>
    <w:rsid w:val="5A250E62"/>
    <w:rsid w:val="5B1E422F"/>
    <w:rsid w:val="5B694FA5"/>
    <w:rsid w:val="5B94004E"/>
    <w:rsid w:val="5BC546AB"/>
    <w:rsid w:val="5C2A2760"/>
    <w:rsid w:val="5C58107B"/>
    <w:rsid w:val="5C7F0CFE"/>
    <w:rsid w:val="5C8005D2"/>
    <w:rsid w:val="5D301FF8"/>
    <w:rsid w:val="5D9A3915"/>
    <w:rsid w:val="5E056FE1"/>
    <w:rsid w:val="5E993BCD"/>
    <w:rsid w:val="5F223BC2"/>
    <w:rsid w:val="5F304531"/>
    <w:rsid w:val="5F452D9D"/>
    <w:rsid w:val="5FC058B5"/>
    <w:rsid w:val="5FC86518"/>
    <w:rsid w:val="60A96349"/>
    <w:rsid w:val="60B53531"/>
    <w:rsid w:val="61923281"/>
    <w:rsid w:val="61AD3C17"/>
    <w:rsid w:val="620852F1"/>
    <w:rsid w:val="620F042E"/>
    <w:rsid w:val="622639C9"/>
    <w:rsid w:val="62606EDB"/>
    <w:rsid w:val="6263077A"/>
    <w:rsid w:val="62B86D17"/>
    <w:rsid w:val="62F87114"/>
    <w:rsid w:val="6300246C"/>
    <w:rsid w:val="63716EC6"/>
    <w:rsid w:val="63732C3E"/>
    <w:rsid w:val="63A0423C"/>
    <w:rsid w:val="63A728E8"/>
    <w:rsid w:val="64D03BF7"/>
    <w:rsid w:val="64E4239C"/>
    <w:rsid w:val="65C23A09"/>
    <w:rsid w:val="663D3A3F"/>
    <w:rsid w:val="669B6734"/>
    <w:rsid w:val="66AA2E1B"/>
    <w:rsid w:val="66FE6CC3"/>
    <w:rsid w:val="67112E9A"/>
    <w:rsid w:val="672E57FA"/>
    <w:rsid w:val="67386679"/>
    <w:rsid w:val="6793565D"/>
    <w:rsid w:val="67B850C4"/>
    <w:rsid w:val="67E10ABE"/>
    <w:rsid w:val="67FF0F45"/>
    <w:rsid w:val="68282249"/>
    <w:rsid w:val="686700D0"/>
    <w:rsid w:val="689E075E"/>
    <w:rsid w:val="68A044D6"/>
    <w:rsid w:val="68A5389A"/>
    <w:rsid w:val="68E048D2"/>
    <w:rsid w:val="693E784B"/>
    <w:rsid w:val="69674FF3"/>
    <w:rsid w:val="6A2922A9"/>
    <w:rsid w:val="6A535578"/>
    <w:rsid w:val="6A565068"/>
    <w:rsid w:val="6A9A31A7"/>
    <w:rsid w:val="6AC83870"/>
    <w:rsid w:val="6B572E46"/>
    <w:rsid w:val="6B6712DB"/>
    <w:rsid w:val="6BE741CA"/>
    <w:rsid w:val="6C663340"/>
    <w:rsid w:val="6C6D2921"/>
    <w:rsid w:val="6D2A0812"/>
    <w:rsid w:val="6D5B09CB"/>
    <w:rsid w:val="6D7D4DE5"/>
    <w:rsid w:val="6DAE1443"/>
    <w:rsid w:val="6DB225B5"/>
    <w:rsid w:val="6DD95D94"/>
    <w:rsid w:val="6DE22ECA"/>
    <w:rsid w:val="6DEE183F"/>
    <w:rsid w:val="6DEF3809"/>
    <w:rsid w:val="6DFD7CD4"/>
    <w:rsid w:val="6E03170B"/>
    <w:rsid w:val="6E091096"/>
    <w:rsid w:val="6E9543B1"/>
    <w:rsid w:val="6EC16F54"/>
    <w:rsid w:val="6F12155D"/>
    <w:rsid w:val="6F6F3387"/>
    <w:rsid w:val="6FAA5C3A"/>
    <w:rsid w:val="6FF84BF7"/>
    <w:rsid w:val="70003AAC"/>
    <w:rsid w:val="70335C2F"/>
    <w:rsid w:val="70710506"/>
    <w:rsid w:val="707D6EAA"/>
    <w:rsid w:val="70DD4996"/>
    <w:rsid w:val="70F01D72"/>
    <w:rsid w:val="715220E5"/>
    <w:rsid w:val="71653017"/>
    <w:rsid w:val="71922E29"/>
    <w:rsid w:val="71BA7C8A"/>
    <w:rsid w:val="71C64881"/>
    <w:rsid w:val="72281098"/>
    <w:rsid w:val="7238577F"/>
    <w:rsid w:val="725400DF"/>
    <w:rsid w:val="72D11E05"/>
    <w:rsid w:val="73530396"/>
    <w:rsid w:val="73571C35"/>
    <w:rsid w:val="73E060CE"/>
    <w:rsid w:val="74051691"/>
    <w:rsid w:val="7423420D"/>
    <w:rsid w:val="746900C8"/>
    <w:rsid w:val="74890514"/>
    <w:rsid w:val="74E219D2"/>
    <w:rsid w:val="75271ADB"/>
    <w:rsid w:val="75967CEA"/>
    <w:rsid w:val="75E4177A"/>
    <w:rsid w:val="75ED6880"/>
    <w:rsid w:val="761107C1"/>
    <w:rsid w:val="762878B8"/>
    <w:rsid w:val="76326989"/>
    <w:rsid w:val="76593F16"/>
    <w:rsid w:val="768C7E47"/>
    <w:rsid w:val="770976EA"/>
    <w:rsid w:val="773455EC"/>
    <w:rsid w:val="7758241F"/>
    <w:rsid w:val="77617526"/>
    <w:rsid w:val="776B44D0"/>
    <w:rsid w:val="77950F7E"/>
    <w:rsid w:val="77B241B5"/>
    <w:rsid w:val="77D23813"/>
    <w:rsid w:val="783B7D77"/>
    <w:rsid w:val="784529A4"/>
    <w:rsid w:val="787E5EB6"/>
    <w:rsid w:val="78C57641"/>
    <w:rsid w:val="791660EE"/>
    <w:rsid w:val="794E3ADA"/>
    <w:rsid w:val="798E6203"/>
    <w:rsid w:val="79B7342D"/>
    <w:rsid w:val="79EE2BC7"/>
    <w:rsid w:val="7A1A39BC"/>
    <w:rsid w:val="7A1C5986"/>
    <w:rsid w:val="7A6F34F2"/>
    <w:rsid w:val="7B060512"/>
    <w:rsid w:val="7B486307"/>
    <w:rsid w:val="7B564EC8"/>
    <w:rsid w:val="7BFA3AA5"/>
    <w:rsid w:val="7C4116D4"/>
    <w:rsid w:val="7C482A62"/>
    <w:rsid w:val="7C5E5DE2"/>
    <w:rsid w:val="7C63164A"/>
    <w:rsid w:val="7C9061B7"/>
    <w:rsid w:val="7C9C2DAE"/>
    <w:rsid w:val="7CB974BC"/>
    <w:rsid w:val="7D2D3A06"/>
    <w:rsid w:val="7D63574E"/>
    <w:rsid w:val="7D9D0B8C"/>
    <w:rsid w:val="7DE22A43"/>
    <w:rsid w:val="7E0E55E6"/>
    <w:rsid w:val="7E2272E3"/>
    <w:rsid w:val="7E492AC2"/>
    <w:rsid w:val="7EA45F4A"/>
    <w:rsid w:val="7EAA3560"/>
    <w:rsid w:val="7EAE0FAF"/>
    <w:rsid w:val="7EE822DB"/>
    <w:rsid w:val="7EEC1DCB"/>
    <w:rsid w:val="7F0709B3"/>
    <w:rsid w:val="7F45772D"/>
    <w:rsid w:val="7F4734A5"/>
    <w:rsid w:val="7FC543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ind w:firstLine="420" w:firstLineChars="200"/>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7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4"/>
    <w:semiHidden/>
    <w:unhideWhenUsed/>
    <w:qFormat/>
    <w:uiPriority w:val="0"/>
    <w:pPr>
      <w:keepNext/>
      <w:keepLines/>
      <w:numPr>
        <w:ilvl w:val="3"/>
        <w:numId w:val="1"/>
      </w:numPr>
      <w:spacing w:beforeLines="50"/>
      <w:ind w:left="1728" w:firstLine="200"/>
      <w:outlineLvl w:val="3"/>
    </w:pPr>
    <w:rPr>
      <w:rFonts w:ascii="Cambria" w:hAnsi="Cambria" w:cs="宋体"/>
      <w:b/>
      <w:bCs/>
      <w:szCs w:val="28"/>
    </w:rPr>
  </w:style>
  <w:style w:type="paragraph" w:styleId="6">
    <w:name w:val="heading 5"/>
    <w:basedOn w:val="1"/>
    <w:next w:val="1"/>
    <w:link w:val="55"/>
    <w:semiHidden/>
    <w:unhideWhenUsed/>
    <w:qFormat/>
    <w:uiPriority w:val="0"/>
    <w:pPr>
      <w:keepNext/>
      <w:keepLines/>
      <w:numPr>
        <w:ilvl w:val="4"/>
        <w:numId w:val="1"/>
      </w:numPr>
      <w:spacing w:before="280" w:after="290" w:line="372" w:lineRule="auto"/>
      <w:ind w:firstLine="200"/>
      <w:outlineLvl w:val="4"/>
    </w:pPr>
    <w:rPr>
      <w:rFonts w:ascii="Calibri" w:hAnsi="Calibri" w:cs="Times New Roman"/>
      <w:b/>
      <w:sz w:val="28"/>
    </w:rPr>
  </w:style>
  <w:style w:type="paragraph" w:styleId="7">
    <w:name w:val="heading 6"/>
    <w:basedOn w:val="1"/>
    <w:next w:val="1"/>
    <w:link w:val="56"/>
    <w:semiHidden/>
    <w:unhideWhenUsed/>
    <w:qFormat/>
    <w:uiPriority w:val="0"/>
    <w:pPr>
      <w:keepNext/>
      <w:keepLines/>
      <w:numPr>
        <w:ilvl w:val="5"/>
        <w:numId w:val="1"/>
      </w:numPr>
      <w:spacing w:before="240" w:after="64" w:line="316" w:lineRule="auto"/>
      <w:ind w:firstLine="200"/>
      <w:outlineLvl w:val="5"/>
    </w:pPr>
    <w:rPr>
      <w:rFonts w:ascii="Arial" w:hAnsi="Arial" w:eastAsia="黑体" w:cs="Times New Roman"/>
      <w:b/>
      <w:sz w:val="24"/>
    </w:rPr>
  </w:style>
  <w:style w:type="paragraph" w:styleId="8">
    <w:name w:val="heading 7"/>
    <w:basedOn w:val="1"/>
    <w:next w:val="1"/>
    <w:link w:val="57"/>
    <w:semiHidden/>
    <w:unhideWhenUsed/>
    <w:qFormat/>
    <w:uiPriority w:val="0"/>
    <w:pPr>
      <w:keepNext/>
      <w:keepLines/>
      <w:numPr>
        <w:ilvl w:val="6"/>
        <w:numId w:val="1"/>
      </w:numPr>
      <w:spacing w:before="240" w:after="64" w:line="316" w:lineRule="auto"/>
      <w:ind w:firstLine="200"/>
      <w:outlineLvl w:val="6"/>
    </w:pPr>
    <w:rPr>
      <w:rFonts w:ascii="Calibri" w:hAnsi="Calibri" w:cs="Times New Roman"/>
      <w:b/>
      <w:sz w:val="24"/>
    </w:rPr>
  </w:style>
  <w:style w:type="paragraph" w:styleId="9">
    <w:name w:val="heading 8"/>
    <w:basedOn w:val="1"/>
    <w:next w:val="1"/>
    <w:link w:val="58"/>
    <w:semiHidden/>
    <w:unhideWhenUsed/>
    <w:qFormat/>
    <w:uiPriority w:val="0"/>
    <w:pPr>
      <w:keepNext/>
      <w:keepLines/>
      <w:numPr>
        <w:ilvl w:val="7"/>
        <w:numId w:val="1"/>
      </w:numPr>
      <w:spacing w:before="240" w:after="64" w:line="316" w:lineRule="auto"/>
      <w:ind w:firstLine="200"/>
      <w:outlineLvl w:val="7"/>
    </w:pPr>
    <w:rPr>
      <w:rFonts w:ascii="Arial" w:hAnsi="Arial" w:eastAsia="黑体" w:cs="Times New Roman"/>
      <w:sz w:val="24"/>
    </w:rPr>
  </w:style>
  <w:style w:type="paragraph" w:styleId="10">
    <w:name w:val="heading 9"/>
    <w:basedOn w:val="1"/>
    <w:next w:val="1"/>
    <w:link w:val="59"/>
    <w:semiHidden/>
    <w:unhideWhenUsed/>
    <w:qFormat/>
    <w:uiPriority w:val="0"/>
    <w:pPr>
      <w:keepNext/>
      <w:keepLines/>
      <w:numPr>
        <w:ilvl w:val="8"/>
        <w:numId w:val="1"/>
      </w:numPr>
      <w:spacing w:before="240" w:after="64" w:line="316" w:lineRule="auto"/>
      <w:ind w:firstLine="200"/>
      <w:outlineLvl w:val="8"/>
    </w:pPr>
    <w:rPr>
      <w:rFonts w:ascii="Arial" w:hAnsi="Arial" w:eastAsia="黑体" w:cs="Times New Roman"/>
    </w:rPr>
  </w:style>
  <w:style w:type="character" w:default="1" w:styleId="31">
    <w:name w:val="Default Paragraph Font"/>
    <w:semiHidden/>
    <w:unhideWhenUsed/>
    <w:qFormat/>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adjustRightInd/>
      <w:snapToGrid/>
      <w:spacing w:after="160" w:line="278" w:lineRule="auto"/>
      <w:ind w:left="2520" w:leftChars="1200" w:firstLine="0" w:firstLineChars="0"/>
      <w:jc w:val="left"/>
    </w:pPr>
    <w:rPr>
      <w:rFonts w:asciiTheme="minorHAnsi" w:hAnsiTheme="minorHAnsi" w:eastAsiaTheme="minorEastAsia"/>
      <w:sz w:val="22"/>
      <w:szCs w:val="24"/>
      <w14:ligatures w14:val="standardContextual"/>
    </w:rPr>
  </w:style>
  <w:style w:type="paragraph" w:styleId="12">
    <w:name w:val="Document Map"/>
    <w:basedOn w:val="1"/>
    <w:link w:val="75"/>
    <w:semiHidden/>
    <w:unhideWhenUsed/>
    <w:qFormat/>
    <w:uiPriority w:val="99"/>
    <w:rPr>
      <w:rFonts w:ascii="宋体"/>
      <w:sz w:val="18"/>
      <w:szCs w:val="18"/>
    </w:rPr>
  </w:style>
  <w:style w:type="paragraph" w:styleId="13">
    <w:name w:val="annotation text"/>
    <w:basedOn w:val="1"/>
    <w:link w:val="51"/>
    <w:unhideWhenUsed/>
    <w:qFormat/>
    <w:uiPriority w:val="0"/>
    <w:pPr>
      <w:jc w:val="left"/>
    </w:pPr>
  </w:style>
  <w:style w:type="paragraph" w:styleId="14">
    <w:name w:val="Body Text Indent"/>
    <w:basedOn w:val="1"/>
    <w:link w:val="69"/>
    <w:qFormat/>
    <w:uiPriority w:val="0"/>
    <w:rPr>
      <w:rFonts w:cs="Times New Roman"/>
      <w:szCs w:val="24"/>
    </w:rPr>
  </w:style>
  <w:style w:type="paragraph" w:styleId="15">
    <w:name w:val="toc 5"/>
    <w:basedOn w:val="1"/>
    <w:next w:val="1"/>
    <w:autoRedefine/>
    <w:unhideWhenUsed/>
    <w:qFormat/>
    <w:uiPriority w:val="39"/>
    <w:pPr>
      <w:adjustRightInd/>
      <w:snapToGrid/>
      <w:spacing w:after="160" w:line="278" w:lineRule="auto"/>
      <w:ind w:left="1680" w:leftChars="800" w:firstLine="0" w:firstLineChars="0"/>
      <w:jc w:val="left"/>
    </w:pPr>
    <w:rPr>
      <w:rFonts w:asciiTheme="minorHAnsi" w:hAnsiTheme="minorHAnsi" w:eastAsiaTheme="minorEastAsia"/>
      <w:sz w:val="22"/>
      <w:szCs w:val="24"/>
      <w14:ligatures w14:val="standardContextual"/>
    </w:rPr>
  </w:style>
  <w:style w:type="paragraph" w:styleId="16">
    <w:name w:val="toc 3"/>
    <w:basedOn w:val="1"/>
    <w:next w:val="1"/>
    <w:unhideWhenUsed/>
    <w:qFormat/>
    <w:uiPriority w:val="39"/>
    <w:pPr>
      <w:tabs>
        <w:tab w:val="right" w:leader="dot" w:pos="8296"/>
      </w:tabs>
      <w:ind w:left="840" w:leftChars="400"/>
    </w:pPr>
  </w:style>
  <w:style w:type="paragraph" w:styleId="17">
    <w:name w:val="Plain Text"/>
    <w:basedOn w:val="1"/>
    <w:next w:val="1"/>
    <w:link w:val="39"/>
    <w:unhideWhenUsed/>
    <w:qFormat/>
    <w:uiPriority w:val="0"/>
    <w:pPr>
      <w:spacing w:line="192" w:lineRule="atLeast"/>
      <w:ind w:left="-357" w:firstLine="886"/>
    </w:pPr>
    <w:rPr>
      <w:rFonts w:ascii="宋体" w:hAnsi="Courier New" w:cs="Courier New"/>
      <w:szCs w:val="21"/>
    </w:rPr>
  </w:style>
  <w:style w:type="paragraph" w:styleId="18">
    <w:name w:val="toc 8"/>
    <w:basedOn w:val="1"/>
    <w:next w:val="1"/>
    <w:autoRedefine/>
    <w:unhideWhenUsed/>
    <w:qFormat/>
    <w:uiPriority w:val="39"/>
    <w:pPr>
      <w:adjustRightInd/>
      <w:snapToGrid/>
      <w:spacing w:after="160" w:line="278" w:lineRule="auto"/>
      <w:ind w:left="2940" w:leftChars="1400" w:firstLine="0" w:firstLineChars="0"/>
      <w:jc w:val="left"/>
    </w:pPr>
    <w:rPr>
      <w:rFonts w:asciiTheme="minorHAnsi" w:hAnsiTheme="minorHAnsi" w:eastAsiaTheme="minorEastAsia"/>
      <w:sz w:val="22"/>
      <w:szCs w:val="24"/>
      <w14:ligatures w14:val="standardContextual"/>
    </w:rPr>
  </w:style>
  <w:style w:type="paragraph" w:styleId="19">
    <w:name w:val="Date"/>
    <w:basedOn w:val="1"/>
    <w:next w:val="1"/>
    <w:link w:val="41"/>
    <w:semiHidden/>
    <w:unhideWhenUsed/>
    <w:qFormat/>
    <w:uiPriority w:val="99"/>
    <w:pPr>
      <w:ind w:left="100" w:leftChars="2500"/>
    </w:pPr>
  </w:style>
  <w:style w:type="paragraph" w:styleId="20">
    <w:name w:val="Balloon Text"/>
    <w:basedOn w:val="1"/>
    <w:link w:val="50"/>
    <w:semiHidden/>
    <w:unhideWhenUsed/>
    <w:qFormat/>
    <w:uiPriority w:val="99"/>
    <w:rPr>
      <w:sz w:val="18"/>
      <w:szCs w:val="18"/>
    </w:rPr>
  </w:style>
  <w:style w:type="paragraph" w:styleId="21">
    <w:name w:val="footer"/>
    <w:basedOn w:val="1"/>
    <w:link w:val="36"/>
    <w:unhideWhenUsed/>
    <w:qFormat/>
    <w:uiPriority w:val="99"/>
    <w:pPr>
      <w:tabs>
        <w:tab w:val="center" w:pos="4153"/>
        <w:tab w:val="right" w:pos="8306"/>
      </w:tabs>
      <w:jc w:val="left"/>
    </w:pPr>
    <w:rPr>
      <w:sz w:val="18"/>
      <w:szCs w:val="18"/>
    </w:rPr>
  </w:style>
  <w:style w:type="paragraph" w:styleId="22">
    <w:name w:val="header"/>
    <w:basedOn w:val="1"/>
    <w:link w:val="35"/>
    <w:unhideWhenUsed/>
    <w:qFormat/>
    <w:uiPriority w:val="0"/>
    <w:pPr>
      <w:pBdr>
        <w:bottom w:val="single" w:color="auto" w:sz="6" w:space="1"/>
      </w:pBdr>
      <w:tabs>
        <w:tab w:val="center" w:pos="4153"/>
        <w:tab w:val="right" w:pos="8306"/>
      </w:tabs>
      <w:jc w:val="center"/>
    </w:pPr>
    <w:rPr>
      <w:sz w:val="18"/>
      <w:szCs w:val="18"/>
    </w:rPr>
  </w:style>
  <w:style w:type="paragraph" w:styleId="23">
    <w:name w:val="toc 1"/>
    <w:basedOn w:val="1"/>
    <w:next w:val="1"/>
    <w:unhideWhenUsed/>
    <w:qFormat/>
    <w:uiPriority w:val="39"/>
    <w:pPr>
      <w:ind w:firstLine="0" w:firstLineChars="0"/>
    </w:pPr>
    <w:rPr>
      <w:b/>
    </w:rPr>
  </w:style>
  <w:style w:type="paragraph" w:styleId="24">
    <w:name w:val="toc 4"/>
    <w:basedOn w:val="1"/>
    <w:next w:val="1"/>
    <w:autoRedefine/>
    <w:unhideWhenUsed/>
    <w:qFormat/>
    <w:uiPriority w:val="39"/>
    <w:pPr>
      <w:adjustRightInd/>
      <w:snapToGrid/>
      <w:spacing w:after="160" w:line="278" w:lineRule="auto"/>
      <w:ind w:left="1260" w:leftChars="600" w:firstLine="0" w:firstLineChars="0"/>
      <w:jc w:val="left"/>
    </w:pPr>
    <w:rPr>
      <w:rFonts w:asciiTheme="minorHAnsi" w:hAnsiTheme="minorHAnsi" w:eastAsiaTheme="minorEastAsia"/>
      <w:sz w:val="22"/>
      <w:szCs w:val="24"/>
      <w14:ligatures w14:val="standardContextual"/>
    </w:rPr>
  </w:style>
  <w:style w:type="paragraph" w:styleId="25">
    <w:name w:val="toc 6"/>
    <w:basedOn w:val="1"/>
    <w:next w:val="1"/>
    <w:autoRedefine/>
    <w:unhideWhenUsed/>
    <w:qFormat/>
    <w:uiPriority w:val="39"/>
    <w:pPr>
      <w:adjustRightInd/>
      <w:snapToGrid/>
      <w:spacing w:after="160" w:line="278" w:lineRule="auto"/>
      <w:ind w:left="2100" w:leftChars="1000" w:firstLine="0" w:firstLineChars="0"/>
      <w:jc w:val="left"/>
    </w:pPr>
    <w:rPr>
      <w:rFonts w:asciiTheme="minorHAnsi" w:hAnsiTheme="minorHAnsi" w:eastAsiaTheme="minorEastAsia"/>
      <w:sz w:val="22"/>
      <w:szCs w:val="24"/>
      <w14:ligatures w14:val="standardContextual"/>
    </w:rPr>
  </w:style>
  <w:style w:type="paragraph" w:styleId="26">
    <w:name w:val="toc 2"/>
    <w:basedOn w:val="1"/>
    <w:next w:val="1"/>
    <w:unhideWhenUsed/>
    <w:qFormat/>
    <w:uiPriority w:val="39"/>
    <w:pPr>
      <w:ind w:left="200" w:leftChars="200" w:firstLine="0" w:firstLineChars="0"/>
    </w:pPr>
  </w:style>
  <w:style w:type="paragraph" w:styleId="27">
    <w:name w:val="toc 9"/>
    <w:basedOn w:val="1"/>
    <w:next w:val="1"/>
    <w:autoRedefine/>
    <w:unhideWhenUsed/>
    <w:qFormat/>
    <w:uiPriority w:val="39"/>
    <w:pPr>
      <w:adjustRightInd/>
      <w:snapToGrid/>
      <w:spacing w:after="160" w:line="278" w:lineRule="auto"/>
      <w:ind w:left="3360" w:leftChars="1600" w:firstLine="0" w:firstLineChars="0"/>
      <w:jc w:val="left"/>
    </w:pPr>
    <w:rPr>
      <w:rFonts w:asciiTheme="minorHAnsi" w:hAnsiTheme="minorHAnsi" w:eastAsiaTheme="minorEastAsia"/>
      <w:sz w:val="22"/>
      <w:szCs w:val="24"/>
      <w14:ligatures w14:val="standardContextual"/>
    </w:rPr>
  </w:style>
  <w:style w:type="paragraph" w:styleId="28">
    <w:name w:val="annotation subject"/>
    <w:basedOn w:val="13"/>
    <w:next w:val="13"/>
    <w:link w:val="52"/>
    <w:semiHidden/>
    <w:unhideWhenUsed/>
    <w:qFormat/>
    <w:uiPriority w:val="99"/>
    <w:rPr>
      <w:b/>
      <w:bCs/>
    </w:rPr>
  </w:style>
  <w:style w:type="table" w:styleId="30">
    <w:name w:val="Table Grid"/>
    <w:basedOn w:val="29"/>
    <w:qFormat/>
    <w:uiPriority w:val="3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rPr>
      <w:b/>
      <w:bCs/>
    </w:rPr>
  </w:style>
  <w:style w:type="character" w:styleId="33">
    <w:name w:val="Hyperlink"/>
    <w:basedOn w:val="31"/>
    <w:unhideWhenUsed/>
    <w:qFormat/>
    <w:uiPriority w:val="99"/>
    <w:rPr>
      <w:color w:val="0000FF" w:themeColor="hyperlink"/>
      <w:u w:val="single"/>
      <w14:textFill>
        <w14:solidFill>
          <w14:schemeClr w14:val="hlink"/>
        </w14:solidFill>
      </w14:textFill>
    </w:rPr>
  </w:style>
  <w:style w:type="character" w:styleId="34">
    <w:name w:val="annotation reference"/>
    <w:basedOn w:val="31"/>
    <w:semiHidden/>
    <w:unhideWhenUsed/>
    <w:qFormat/>
    <w:uiPriority w:val="99"/>
    <w:rPr>
      <w:sz w:val="21"/>
      <w:szCs w:val="21"/>
    </w:rPr>
  </w:style>
  <w:style w:type="character" w:customStyle="1" w:styleId="35">
    <w:name w:val="页眉 字符"/>
    <w:basedOn w:val="31"/>
    <w:link w:val="22"/>
    <w:qFormat/>
    <w:uiPriority w:val="99"/>
    <w:rPr>
      <w:sz w:val="18"/>
      <w:szCs w:val="18"/>
    </w:rPr>
  </w:style>
  <w:style w:type="character" w:customStyle="1" w:styleId="36">
    <w:name w:val="页脚 字符"/>
    <w:basedOn w:val="31"/>
    <w:link w:val="21"/>
    <w:qFormat/>
    <w:uiPriority w:val="99"/>
    <w:rPr>
      <w:sz w:val="18"/>
      <w:szCs w:val="18"/>
    </w:rPr>
  </w:style>
  <w:style w:type="paragraph" w:customStyle="1" w:styleId="37">
    <w:name w:val="zz一级条标题"/>
    <w:next w:val="1"/>
    <w:qFormat/>
    <w:uiPriority w:val="0"/>
    <w:pPr>
      <w:adjustRightInd w:val="0"/>
      <w:snapToGrid w:val="0"/>
      <w:spacing w:before="50" w:beforeLines="50" w:after="50" w:afterLines="50"/>
      <w:outlineLvl w:val="1"/>
    </w:pPr>
    <w:rPr>
      <w:rFonts w:ascii="Times New Roman" w:hAnsi="Times New Roman" w:eastAsia="黑体" w:cs="Times New Roman"/>
      <w:sz w:val="21"/>
      <w:szCs w:val="21"/>
      <w:lang w:val="en-US" w:eastAsia="zh-CN" w:bidi="ar-SA"/>
    </w:rPr>
  </w:style>
  <w:style w:type="paragraph" w:customStyle="1" w:styleId="38">
    <w:name w:val="zz章标题"/>
    <w:next w:val="1"/>
    <w:unhideWhenUsed/>
    <w:qFormat/>
    <w:uiPriority w:val="0"/>
    <w:pPr>
      <w:adjustRightInd w:val="0"/>
      <w:snapToGrid w:val="0"/>
      <w:spacing w:before="240" w:beforeLines="100" w:after="240" w:afterLines="100"/>
      <w:jc w:val="both"/>
      <w:outlineLvl w:val="0"/>
    </w:pPr>
    <w:rPr>
      <w:rFonts w:ascii="Times New Roman" w:hAnsi="黑体" w:eastAsia="黑体" w:cs="Times New Roman"/>
      <w:sz w:val="21"/>
      <w:lang w:val="en-US" w:eastAsia="zh-CN" w:bidi="ar-SA"/>
    </w:rPr>
  </w:style>
  <w:style w:type="character" w:customStyle="1" w:styleId="39">
    <w:name w:val="纯文本 字符"/>
    <w:basedOn w:val="31"/>
    <w:link w:val="17"/>
    <w:qFormat/>
    <w:uiPriority w:val="0"/>
    <w:rPr>
      <w:rFonts w:ascii="宋体" w:hAnsi="Courier New" w:eastAsia="宋体" w:cs="Courier New"/>
      <w:szCs w:val="21"/>
    </w:rPr>
  </w:style>
  <w:style w:type="paragraph" w:customStyle="1" w:styleId="40">
    <w:name w:val="zz表格内容"/>
    <w:basedOn w:val="1"/>
    <w:next w:val="1"/>
    <w:qFormat/>
    <w:uiPriority w:val="0"/>
    <w:pPr>
      <w:ind w:firstLine="0" w:firstLineChars="0"/>
      <w:jc w:val="center"/>
    </w:pPr>
    <w:rPr>
      <w:rFonts w:cs="Times New Roman"/>
      <w:sz w:val="18"/>
    </w:rPr>
  </w:style>
  <w:style w:type="character" w:customStyle="1" w:styleId="41">
    <w:name w:val="日期 字符"/>
    <w:basedOn w:val="31"/>
    <w:link w:val="19"/>
    <w:semiHidden/>
    <w:qFormat/>
    <w:uiPriority w:val="99"/>
  </w:style>
  <w:style w:type="paragraph" w:styleId="42">
    <w:name w:val="List Paragraph"/>
    <w:basedOn w:val="1"/>
    <w:qFormat/>
    <w:uiPriority w:val="34"/>
  </w:style>
  <w:style w:type="paragraph" w:customStyle="1" w:styleId="43">
    <w:name w:val="目次、标准名称标题"/>
    <w:basedOn w:val="1"/>
    <w:next w:val="44"/>
    <w:qFormat/>
    <w:uiPriority w:val="0"/>
    <w:pPr>
      <w:keepNext/>
      <w:pageBreakBefore/>
      <w:widowControl/>
      <w:shd w:val="clear" w:color="FFFFFF" w:fill="FFFFFF"/>
      <w:spacing w:before="640" w:after="560" w:line="460" w:lineRule="exact"/>
      <w:jc w:val="center"/>
      <w:outlineLvl w:val="0"/>
    </w:pPr>
    <w:rPr>
      <w:rFonts w:ascii="黑体" w:eastAsia="黑体" w:cs="Times New Roman"/>
      <w:kern w:val="0"/>
      <w:sz w:val="32"/>
      <w:szCs w:val="20"/>
    </w:rPr>
  </w:style>
  <w:style w:type="paragraph" w:customStyle="1" w:styleId="44">
    <w:name w:val="段"/>
    <w:link w:val="4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45">
    <w:name w:val="zz二级条标题"/>
    <w:basedOn w:val="37"/>
    <w:next w:val="44"/>
    <w:qFormat/>
    <w:uiPriority w:val="0"/>
    <w:pPr>
      <w:spacing w:before="0" w:beforeLines="0" w:after="0" w:afterLines="0"/>
      <w:ind w:firstLine="200" w:firstLineChars="200"/>
      <w:outlineLvl w:val="2"/>
    </w:pPr>
    <w:rPr>
      <w:rFonts w:eastAsia="宋体"/>
    </w:rPr>
  </w:style>
  <w:style w:type="character" w:customStyle="1" w:styleId="46">
    <w:name w:val="段 Char"/>
    <w:link w:val="44"/>
    <w:qFormat/>
    <w:uiPriority w:val="0"/>
    <w:rPr>
      <w:rFonts w:ascii="宋体" w:hAnsi="Times New Roman" w:eastAsia="宋体" w:cs="Times New Roman"/>
      <w:kern w:val="0"/>
      <w:szCs w:val="20"/>
    </w:rPr>
  </w:style>
  <w:style w:type="paragraph" w:customStyle="1" w:styleId="47">
    <w:name w:val="前言、引言标题"/>
    <w:next w:val="44"/>
    <w:unhideWhenUsed/>
    <w:qFormat/>
    <w:uiPriority w:val="0"/>
    <w:pPr>
      <w:keepNext/>
      <w:pageBreakBefore/>
      <w:shd w:val="clear" w:color="FFFFFF" w:fill="FFFFFF"/>
      <w:spacing w:before="640" w:after="560"/>
      <w:jc w:val="center"/>
      <w:outlineLvl w:val="0"/>
    </w:pPr>
    <w:rPr>
      <w:rFonts w:hint="eastAsia" w:ascii="黑体" w:hAnsi="Times New Roman" w:eastAsia="黑体" w:cs="Times New Roman"/>
      <w:sz w:val="32"/>
      <w:lang w:val="en-US" w:eastAsia="zh-CN" w:bidi="ar-SA"/>
    </w:rPr>
  </w:style>
  <w:style w:type="character" w:customStyle="1" w:styleId="48">
    <w:name w:val="标题 1 字符"/>
    <w:basedOn w:val="31"/>
    <w:link w:val="2"/>
    <w:qFormat/>
    <w:uiPriority w:val="9"/>
    <w:rPr>
      <w:b/>
      <w:bCs/>
      <w:kern w:val="44"/>
      <w:sz w:val="44"/>
      <w:szCs w:val="44"/>
    </w:rPr>
  </w:style>
  <w:style w:type="paragraph" w:customStyle="1" w:styleId="49">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0">
    <w:name w:val="批注框文本 字符"/>
    <w:basedOn w:val="31"/>
    <w:link w:val="20"/>
    <w:semiHidden/>
    <w:qFormat/>
    <w:uiPriority w:val="99"/>
    <w:rPr>
      <w:sz w:val="18"/>
      <w:szCs w:val="18"/>
    </w:rPr>
  </w:style>
  <w:style w:type="character" w:customStyle="1" w:styleId="51">
    <w:name w:val="批注文字 字符"/>
    <w:basedOn w:val="31"/>
    <w:link w:val="13"/>
    <w:qFormat/>
    <w:uiPriority w:val="0"/>
  </w:style>
  <w:style w:type="character" w:customStyle="1" w:styleId="52">
    <w:name w:val="批注主题 字符"/>
    <w:basedOn w:val="51"/>
    <w:link w:val="28"/>
    <w:semiHidden/>
    <w:qFormat/>
    <w:uiPriority w:val="99"/>
    <w:rPr>
      <w:b/>
      <w:bCs/>
    </w:rPr>
  </w:style>
  <w:style w:type="paragraph" w:customStyle="1" w:styleId="53">
    <w:name w:val="三级条标题"/>
    <w:basedOn w:val="45"/>
    <w:next w:val="44"/>
    <w:qFormat/>
    <w:uiPriority w:val="0"/>
    <w:pPr>
      <w:outlineLvl w:val="4"/>
    </w:pPr>
  </w:style>
  <w:style w:type="character" w:customStyle="1" w:styleId="54">
    <w:name w:val="标题 4 字符"/>
    <w:basedOn w:val="31"/>
    <w:link w:val="5"/>
    <w:semiHidden/>
    <w:qFormat/>
    <w:uiPriority w:val="0"/>
    <w:rPr>
      <w:rFonts w:ascii="Cambria" w:hAnsi="Cambria" w:eastAsia="宋体" w:cs="宋体"/>
      <w:b/>
      <w:bCs/>
      <w:kern w:val="2"/>
      <w:sz w:val="21"/>
      <w:szCs w:val="28"/>
    </w:rPr>
  </w:style>
  <w:style w:type="character" w:customStyle="1" w:styleId="55">
    <w:name w:val="标题 5 字符"/>
    <w:basedOn w:val="31"/>
    <w:link w:val="6"/>
    <w:semiHidden/>
    <w:qFormat/>
    <w:uiPriority w:val="0"/>
    <w:rPr>
      <w:rFonts w:ascii="Calibri" w:hAnsi="Calibri" w:eastAsia="宋体" w:cs="Times New Roman"/>
      <w:b/>
      <w:kern w:val="2"/>
      <w:sz w:val="28"/>
      <w:szCs w:val="22"/>
    </w:rPr>
  </w:style>
  <w:style w:type="character" w:customStyle="1" w:styleId="56">
    <w:name w:val="标题 6 字符"/>
    <w:basedOn w:val="31"/>
    <w:link w:val="7"/>
    <w:semiHidden/>
    <w:qFormat/>
    <w:uiPriority w:val="0"/>
    <w:rPr>
      <w:rFonts w:ascii="Arial" w:hAnsi="Arial" w:eastAsia="黑体" w:cs="Times New Roman"/>
      <w:b/>
      <w:kern w:val="2"/>
      <w:sz w:val="24"/>
      <w:szCs w:val="22"/>
    </w:rPr>
  </w:style>
  <w:style w:type="character" w:customStyle="1" w:styleId="57">
    <w:name w:val="标题 7 字符"/>
    <w:basedOn w:val="31"/>
    <w:link w:val="8"/>
    <w:semiHidden/>
    <w:qFormat/>
    <w:uiPriority w:val="0"/>
    <w:rPr>
      <w:rFonts w:ascii="Calibri" w:hAnsi="Calibri" w:eastAsia="宋体" w:cs="Times New Roman"/>
      <w:b/>
      <w:kern w:val="2"/>
      <w:sz w:val="24"/>
      <w:szCs w:val="22"/>
    </w:rPr>
  </w:style>
  <w:style w:type="character" w:customStyle="1" w:styleId="58">
    <w:name w:val="标题 8 字符"/>
    <w:basedOn w:val="31"/>
    <w:link w:val="9"/>
    <w:semiHidden/>
    <w:qFormat/>
    <w:uiPriority w:val="0"/>
    <w:rPr>
      <w:rFonts w:ascii="Arial" w:hAnsi="Arial" w:eastAsia="黑体" w:cs="Times New Roman"/>
      <w:kern w:val="2"/>
      <w:sz w:val="24"/>
      <w:szCs w:val="22"/>
    </w:rPr>
  </w:style>
  <w:style w:type="character" w:customStyle="1" w:styleId="59">
    <w:name w:val="标题 9 字符"/>
    <w:basedOn w:val="31"/>
    <w:link w:val="10"/>
    <w:semiHidden/>
    <w:qFormat/>
    <w:uiPriority w:val="0"/>
    <w:rPr>
      <w:rFonts w:ascii="Arial" w:hAnsi="Arial" w:eastAsia="黑体" w:cs="Times New Roman"/>
      <w:kern w:val="2"/>
      <w:sz w:val="21"/>
      <w:szCs w:val="22"/>
    </w:rPr>
  </w:style>
  <w:style w:type="paragraph" w:customStyle="1" w:styleId="60">
    <w:name w:val="附录标识"/>
    <w:basedOn w:val="1"/>
    <w:next w:val="44"/>
    <w:qFormat/>
    <w:uiPriority w:val="0"/>
    <w:pPr>
      <w:keepNext/>
      <w:widowControl/>
      <w:shd w:val="clear" w:color="FFFFFF" w:fill="FFFFFF"/>
      <w:tabs>
        <w:tab w:val="left" w:pos="360"/>
        <w:tab w:val="left" w:pos="432"/>
        <w:tab w:val="left" w:pos="6405"/>
      </w:tabs>
      <w:spacing w:before="640" w:after="280"/>
      <w:ind w:firstLine="0" w:firstLineChars="0"/>
      <w:jc w:val="center"/>
      <w:outlineLvl w:val="0"/>
    </w:pPr>
    <w:rPr>
      <w:rFonts w:ascii="黑体" w:eastAsia="黑体" w:cs="Times New Roman"/>
      <w:kern w:val="0"/>
      <w:szCs w:val="20"/>
    </w:rPr>
  </w:style>
  <w:style w:type="paragraph" w:customStyle="1" w:styleId="61">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62">
    <w:name w:val="未处理的提及1"/>
    <w:basedOn w:val="31"/>
    <w:semiHidden/>
    <w:unhideWhenUsed/>
    <w:qFormat/>
    <w:uiPriority w:val="99"/>
    <w:rPr>
      <w:color w:val="605E5C"/>
      <w:shd w:val="clear" w:color="auto" w:fill="E1DFDD"/>
    </w:rPr>
  </w:style>
  <w:style w:type="paragraph" w:customStyle="1" w:styleId="63">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4">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65">
    <w:name w:val="标题 2 字符"/>
    <w:basedOn w:val="31"/>
    <w:link w:val="3"/>
    <w:qFormat/>
    <w:uiPriority w:val="9"/>
    <w:rPr>
      <w:rFonts w:asciiTheme="majorHAnsi" w:hAnsiTheme="majorHAnsi" w:eastAsiaTheme="majorEastAsia" w:cstheme="majorBidi"/>
      <w:b/>
      <w:bCs/>
      <w:kern w:val="2"/>
      <w:sz w:val="32"/>
      <w:szCs w:val="32"/>
    </w:rPr>
  </w:style>
  <w:style w:type="paragraph" w:customStyle="1" w:styleId="66">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67">
    <w:name w:val="zz图名表名"/>
    <w:link w:val="68"/>
    <w:qFormat/>
    <w:uiPriority w:val="0"/>
    <w:pPr>
      <w:autoSpaceDE w:val="0"/>
      <w:autoSpaceDN w:val="0"/>
      <w:adjustRightInd w:val="0"/>
      <w:snapToGrid w:val="0"/>
      <w:jc w:val="center"/>
    </w:pPr>
    <w:rPr>
      <w:rFonts w:ascii="Times New Roman" w:hAnsi="Times New Roman" w:eastAsia="黑体" w:cs="Times New Roman"/>
      <w:sz w:val="21"/>
      <w:lang w:val="en-US" w:eastAsia="zh-CN" w:bidi="ar-SA"/>
    </w:rPr>
  </w:style>
  <w:style w:type="character" w:customStyle="1" w:styleId="68">
    <w:name w:val="zz图名表名 字符"/>
    <w:link w:val="67"/>
    <w:qFormat/>
    <w:uiPriority w:val="0"/>
    <w:rPr>
      <w:rFonts w:ascii="Times New Roman" w:hAnsi="Times New Roman" w:eastAsia="黑体" w:cs="Times New Roman"/>
      <w:sz w:val="21"/>
    </w:rPr>
  </w:style>
  <w:style w:type="character" w:customStyle="1" w:styleId="69">
    <w:name w:val="正文文本缩进 字符"/>
    <w:basedOn w:val="31"/>
    <w:link w:val="14"/>
    <w:qFormat/>
    <w:uiPriority w:val="0"/>
    <w:rPr>
      <w:rFonts w:ascii="Times New Roman" w:hAnsi="Times New Roman" w:eastAsia="宋体" w:cs="Times New Roman"/>
      <w:kern w:val="2"/>
      <w:sz w:val="21"/>
      <w:szCs w:val="24"/>
    </w:rPr>
  </w:style>
  <w:style w:type="paragraph" w:customStyle="1" w:styleId="70">
    <w:name w:val="纯文本1"/>
    <w:basedOn w:val="1"/>
    <w:qFormat/>
    <w:uiPriority w:val="0"/>
    <w:pPr>
      <w:textAlignment w:val="baseline"/>
    </w:pPr>
    <w:rPr>
      <w:rFonts w:ascii="宋体" w:hAnsi="Courier New" w:cs="Times New Roman"/>
      <w:szCs w:val="20"/>
    </w:rPr>
  </w:style>
  <w:style w:type="table" w:customStyle="1" w:styleId="71">
    <w:name w:val="网格型1"/>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2">
    <w:name w:val="标准文件_三级无标题"/>
    <w:basedOn w:val="1"/>
    <w:qFormat/>
    <w:uiPriority w:val="0"/>
    <w:pPr>
      <w:widowControl/>
      <w:ind w:firstLine="0" w:firstLineChars="0"/>
    </w:pPr>
    <w:rPr>
      <w:rFonts w:ascii="宋体" w:cs="Times New Roman"/>
      <w:kern w:val="0"/>
      <w:szCs w:val="20"/>
    </w:rPr>
  </w:style>
  <w:style w:type="character" w:customStyle="1" w:styleId="73">
    <w:name w:val="标题 3 字符"/>
    <w:basedOn w:val="31"/>
    <w:link w:val="4"/>
    <w:semiHidden/>
    <w:qFormat/>
    <w:uiPriority w:val="9"/>
    <w:rPr>
      <w:b/>
      <w:bCs/>
      <w:kern w:val="2"/>
      <w:sz w:val="32"/>
      <w:szCs w:val="32"/>
    </w:rPr>
  </w:style>
  <w:style w:type="paragraph" w:customStyle="1" w:styleId="74">
    <w:name w:val="标准文件_字母编号列项（一级）"/>
    <w:qFormat/>
    <w:uiPriority w:val="0"/>
    <w:pPr>
      <w:numPr>
        <w:ilvl w:val="0"/>
        <w:numId w:val="2"/>
      </w:numPr>
      <w:tabs>
        <w:tab w:val="left" w:pos="851"/>
      </w:tabs>
      <w:jc w:val="both"/>
    </w:pPr>
    <w:rPr>
      <w:rFonts w:ascii="宋体" w:hAnsi="Times New Roman" w:eastAsia="宋体" w:cs="Times New Roman"/>
      <w:sz w:val="21"/>
      <w:lang w:val="en-US" w:eastAsia="zh-CN" w:bidi="ar-SA"/>
    </w:rPr>
  </w:style>
  <w:style w:type="character" w:customStyle="1" w:styleId="75">
    <w:name w:val="文档结构图 字符"/>
    <w:basedOn w:val="31"/>
    <w:link w:val="12"/>
    <w:semiHidden/>
    <w:qFormat/>
    <w:uiPriority w:val="99"/>
    <w:rPr>
      <w:rFonts w:ascii="宋体" w:eastAsia="宋体"/>
      <w:kern w:val="2"/>
      <w:sz w:val="18"/>
      <w:szCs w:val="18"/>
    </w:rPr>
  </w:style>
  <w:style w:type="table" w:customStyle="1" w:styleId="76">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77">
    <w:name w:val="Table Text"/>
    <w:basedOn w:val="1"/>
    <w:semiHidden/>
    <w:qFormat/>
    <w:uiPriority w:val="0"/>
    <w:pPr>
      <w:widowControl/>
      <w:kinsoku w:val="0"/>
      <w:autoSpaceDE w:val="0"/>
      <w:autoSpaceDN w:val="0"/>
      <w:jc w:val="left"/>
      <w:textAlignment w:val="baseline"/>
    </w:pPr>
    <w:rPr>
      <w:rFonts w:ascii="宋体" w:hAnsi="宋体" w:cs="宋体"/>
      <w:snapToGrid w:val="0"/>
      <w:color w:val="000000"/>
      <w:kern w:val="0"/>
      <w:sz w:val="18"/>
      <w:szCs w:val="18"/>
      <w:lang w:eastAsia="en-US"/>
    </w:rPr>
  </w:style>
  <w:style w:type="character" w:customStyle="1" w:styleId="78">
    <w:name w:val="未处理的提及2"/>
    <w:basedOn w:val="31"/>
    <w:semiHidden/>
    <w:unhideWhenUsed/>
    <w:qFormat/>
    <w:uiPriority w:val="99"/>
    <w:rPr>
      <w:color w:val="605E5C"/>
      <w:shd w:val="clear" w:color="auto" w:fill="E1DFDD"/>
    </w:rPr>
  </w:style>
  <w:style w:type="paragraph" w:customStyle="1" w:styleId="79">
    <w:name w:val="参考文献"/>
    <w:basedOn w:val="1"/>
    <w:next w:val="44"/>
    <w:qFormat/>
    <w:uiPriority w:val="0"/>
    <w:pPr>
      <w:keepNext/>
      <w:pageBreakBefore/>
      <w:widowControl/>
      <w:shd w:val="clear" w:color="FFFFFF" w:fill="FFFFFF"/>
      <w:adjustRightInd/>
      <w:snapToGrid/>
      <w:spacing w:before="640" w:after="200"/>
      <w:ind w:firstLine="0" w:firstLineChars="0"/>
      <w:jc w:val="center"/>
      <w:outlineLvl w:val="0"/>
    </w:pPr>
    <w:rPr>
      <w:rFonts w:ascii="黑体" w:eastAsia="黑体" w:cs="Times New Roman"/>
      <w:kern w:val="0"/>
      <w:szCs w:val="20"/>
    </w:rPr>
  </w:style>
  <w:style w:type="paragraph" w:customStyle="1" w:styleId="80">
    <w:name w:val="附录章标题"/>
    <w:next w:val="44"/>
    <w:qFormat/>
    <w:uiPriority w:val="0"/>
    <w:pPr>
      <w:numPr>
        <w:ilvl w:val="1"/>
        <w:numId w:val="3"/>
      </w:numPr>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2D930-3C3D-4B7D-A3E7-7D029FDC1064}">
  <ds:schemaRefs/>
</ds:datastoreItem>
</file>

<file path=docProps/app.xml><?xml version="1.0" encoding="utf-8"?>
<Properties xmlns="http://schemas.openxmlformats.org/officeDocument/2006/extended-properties" xmlns:vt="http://schemas.openxmlformats.org/officeDocument/2006/docPropsVTypes">
  <Template>Normal</Template>
  <Pages>30</Pages>
  <Words>5812</Words>
  <Characters>6723</Characters>
  <Lines>120</Lines>
  <Paragraphs>34</Paragraphs>
  <TotalTime>4</TotalTime>
  <ScaleCrop>false</ScaleCrop>
  <LinksUpToDate>false</LinksUpToDate>
  <CharactersWithSpaces>7101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2026-03-23T04:15:00Z</dcterms:created>
  <dc:creator>Windows 用户</dc:creator>
  <cp:lastModifiedBy>think</cp:lastModifiedBy>
  <cp:lastPrinted>2026-01-10T10:59:00Z</cp:lastPrinted>
  <dcterms:modified xsi:type="dcterms:W3CDTF">2026-03-25T02:05:50Z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834ED821C4814FB7A2E2FCB72F97E329_13</vt:lpwstr>
  </property>
  <property fmtid="{D5CDD505-2E9C-101B-9397-08002B2CF9AE}" pid="4" name="KSOTemplateDocerSaveRecord">
    <vt:lpwstr>eyJoZGlkIjoiZjJmNmI2N2EyMmMyYzVhMTliNzU4MTM0MWQ5MTBkMmMiLCJ1c2VySWQiOiIxMzQ4ODg1ODY0In0=</vt:lpwstr>
  </property>
</Properties>
</file>