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E568B">
      <w:pPr>
        <w:pStyle w:val="17"/>
        <w:jc w:val="both"/>
        <w:outlineLvl w:val="9"/>
        <w:rPr>
          <w:sz w:val="21"/>
          <w:szCs w:val="21"/>
        </w:rPr>
      </w:pPr>
      <w:bookmarkStart w:id="15" w:name="_GoBack"/>
      <w:bookmarkEnd w:id="15"/>
      <w:r>
        <w:rPr>
          <w:rFonts w:hint="eastAsia"/>
          <w:sz w:val="21"/>
          <w:szCs w:val="21"/>
        </w:rPr>
        <w:t>ICS XX.XX</w:t>
      </w:r>
    </w:p>
    <w:p w14:paraId="798AF134">
      <w:pPr>
        <w:pStyle w:val="10"/>
        <w:ind w:firstLine="0" w:firstLineChars="0"/>
      </w:pPr>
      <w:r>
        <w:t>X</w:t>
      </w:r>
      <w:r>
        <w:rPr>
          <w:rFonts w:hint="eastAsia"/>
        </w:rPr>
        <w:t>XX</w:t>
      </w:r>
    </w:p>
    <w:p w14:paraId="62544882">
      <w:pPr>
        <w:pStyle w:val="10"/>
        <w:ind w:firstLine="0" w:firstLineChars="0"/>
        <w:jc w:val="distribute"/>
        <w:rPr>
          <w:rFonts w:hint="eastAsia" w:ascii="黑体" w:hAnsi="黑体" w:eastAsia="黑体"/>
          <w:sz w:val="48"/>
          <w:szCs w:val="48"/>
        </w:rPr>
      </w:pPr>
      <w:r>
        <w:rPr>
          <w:rFonts w:hint="eastAsia" w:ascii="黑体" w:hAnsi="黑体" w:eastAsia="黑体"/>
          <w:sz w:val="48"/>
          <w:szCs w:val="48"/>
        </w:rPr>
        <w:t>团体标准</w:t>
      </w:r>
    </w:p>
    <w:p w14:paraId="566E7D5D">
      <w:pPr>
        <w:pStyle w:val="10"/>
        <w:wordWrap w:val="0"/>
        <w:ind w:firstLine="0" w:firstLineChars="0"/>
        <w:jc w:val="right"/>
        <w:rPr>
          <w:rFonts w:hint="eastAsia" w:hAnsi="宋体"/>
          <w:sz w:val="28"/>
          <w:szCs w:val="28"/>
        </w:rPr>
      </w:pPr>
      <w:r>
        <w:rPr>
          <w:rFonts w:ascii="Times New Roman"/>
          <w:sz w:val="28"/>
          <w:szCs w:val="28"/>
        </w:rPr>
        <w:t>T</w:t>
      </w:r>
      <w:r>
        <w:rPr>
          <w:rFonts w:hint="eastAsia" w:ascii="Times New Roman"/>
          <w:sz w:val="28"/>
          <w:szCs w:val="28"/>
        </w:rPr>
        <w:t>/CAGHPER ***-****</w:t>
      </w:r>
    </w:p>
    <w:p w14:paraId="67CC4654">
      <w:pPr>
        <w:pStyle w:val="10"/>
        <w:ind w:firstLine="0" w:firstLineChars="0"/>
        <w:jc w:val="right"/>
        <w:rPr>
          <w:rFonts w:ascii="Times New Roman"/>
          <w:szCs w:val="21"/>
        </w:rPr>
      </w:pPr>
    </w:p>
    <w:tbl>
      <w:tblPr>
        <w:tblStyle w:val="12"/>
        <w:tblW w:w="0" w:type="auto"/>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463F35BE">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22B2F3C9">
            <w:pPr>
              <w:pStyle w:val="10"/>
              <w:ind w:firstLine="0" w:firstLineChars="0"/>
              <w:rPr>
                <w:rFonts w:hint="eastAsia" w:ascii="黑体" w:hAnsi="黑体" w:eastAsia="黑体"/>
                <w:sz w:val="48"/>
                <w:szCs w:val="48"/>
              </w:rPr>
            </w:pPr>
          </w:p>
        </w:tc>
      </w:tr>
    </w:tbl>
    <w:p w14:paraId="01FD9E0F">
      <w:pPr>
        <w:pStyle w:val="10"/>
        <w:ind w:firstLine="0" w:firstLineChars="0"/>
        <w:rPr>
          <w:rFonts w:hint="eastAsia" w:ascii="黑体" w:hAnsi="黑体" w:eastAsia="黑体"/>
          <w:sz w:val="48"/>
          <w:szCs w:val="48"/>
        </w:rPr>
      </w:pPr>
    </w:p>
    <w:p w14:paraId="79A5455E">
      <w:pPr>
        <w:pStyle w:val="10"/>
        <w:ind w:firstLine="0" w:firstLineChars="0"/>
        <w:jc w:val="distribute"/>
        <w:rPr>
          <w:rFonts w:hint="eastAsia" w:ascii="黑体" w:hAnsi="黑体" w:eastAsia="黑体"/>
          <w:sz w:val="48"/>
          <w:szCs w:val="48"/>
        </w:rPr>
      </w:pPr>
    </w:p>
    <w:p w14:paraId="54630F86">
      <w:pPr>
        <w:pStyle w:val="10"/>
        <w:ind w:firstLine="0" w:firstLineChars="0"/>
        <w:jc w:val="distribute"/>
        <w:rPr>
          <w:rFonts w:hint="eastAsia" w:ascii="黑体" w:hAnsi="黑体" w:eastAsia="黑体"/>
          <w:sz w:val="48"/>
          <w:szCs w:val="48"/>
        </w:rPr>
      </w:pPr>
    </w:p>
    <w:p w14:paraId="7757797E">
      <w:pPr>
        <w:pStyle w:val="10"/>
        <w:ind w:firstLine="0" w:firstLineChars="0"/>
        <w:jc w:val="center"/>
        <w:rPr>
          <w:rFonts w:hint="eastAsia" w:ascii="黑体" w:hAnsi="黑体" w:eastAsia="黑体" w:cs="黑体"/>
          <w:sz w:val="52"/>
          <w:szCs w:val="52"/>
        </w:rPr>
      </w:pPr>
      <w:r>
        <w:rPr>
          <w:rFonts w:hint="eastAsia" w:ascii="黑体" w:hAnsi="黑体" w:eastAsia="黑体"/>
          <w:sz w:val="52"/>
          <w:szCs w:val="52"/>
        </w:rPr>
        <w:t>露天矿山高陡岩质边坡生态修复技术标准</w:t>
      </w:r>
    </w:p>
    <w:p w14:paraId="71DCD39A">
      <w:pPr>
        <w:pStyle w:val="10"/>
        <w:ind w:firstLine="0" w:firstLineChars="0"/>
        <w:jc w:val="center"/>
        <w:rPr>
          <w:rFonts w:hint="eastAsia" w:ascii="黑体" w:hAnsi="黑体" w:eastAsia="黑体" w:cs="黑体"/>
          <w:sz w:val="28"/>
          <w:szCs w:val="28"/>
        </w:rPr>
      </w:pPr>
      <w:r>
        <w:rPr>
          <w:rFonts w:hint="eastAsia" w:ascii="黑体" w:hAnsi="黑体" w:eastAsia="黑体" w:cs="黑体"/>
          <w:sz w:val="28"/>
          <w:szCs w:val="28"/>
          <w:shd w:val="clear" w:color="auto" w:fill="FFFFFF"/>
        </w:rPr>
        <w:t>Technical Standard for Ecological Restoration of High-Steep Rock Slopes in Open-Pit Mines</w:t>
      </w:r>
      <w:r>
        <w:rPr>
          <w:rFonts w:hint="eastAsia" w:ascii="黑体" w:hAnsi="黑体" w:eastAsia="黑体" w:cs="黑体"/>
          <w:sz w:val="28"/>
          <w:szCs w:val="28"/>
        </w:rPr>
        <w:t> </w:t>
      </w:r>
    </w:p>
    <w:p w14:paraId="3FAEAC76">
      <w:pPr>
        <w:pStyle w:val="10"/>
        <w:ind w:firstLine="0" w:firstLineChars="0"/>
        <w:jc w:val="center"/>
        <w:rPr>
          <w:rFonts w:ascii="Times New Roman"/>
          <w:sz w:val="28"/>
          <w:szCs w:val="28"/>
        </w:rPr>
      </w:pPr>
    </w:p>
    <w:p w14:paraId="2B1B0BE7">
      <w:pPr>
        <w:pStyle w:val="10"/>
        <w:ind w:firstLine="0" w:firstLineChars="0"/>
        <w:jc w:val="center"/>
        <w:rPr>
          <w:rFonts w:ascii="Times New Roman" w:eastAsia="黑体"/>
          <w:szCs w:val="21"/>
        </w:rPr>
      </w:pPr>
      <w:r>
        <w:rPr>
          <w:rFonts w:hint="eastAsia" w:hAnsi="宋体"/>
          <w:szCs w:val="21"/>
        </w:rPr>
        <w:t>（征求意见稿）</w:t>
      </w:r>
    </w:p>
    <w:p w14:paraId="47A45903">
      <w:pPr>
        <w:pStyle w:val="10"/>
        <w:ind w:firstLine="0" w:firstLineChars="0"/>
        <w:jc w:val="center"/>
        <w:rPr>
          <w:rFonts w:ascii="Times New Roman" w:eastAsia="黑体"/>
          <w:sz w:val="28"/>
          <w:szCs w:val="28"/>
        </w:rPr>
      </w:pPr>
    </w:p>
    <w:p w14:paraId="06F7957F">
      <w:pPr>
        <w:pStyle w:val="10"/>
        <w:ind w:firstLine="0" w:firstLineChars="0"/>
        <w:jc w:val="center"/>
        <w:rPr>
          <w:rFonts w:ascii="Times New Roman" w:eastAsia="黑体"/>
          <w:sz w:val="28"/>
          <w:szCs w:val="28"/>
        </w:rPr>
      </w:pPr>
    </w:p>
    <w:p w14:paraId="632ECE99">
      <w:pPr>
        <w:pStyle w:val="10"/>
        <w:ind w:firstLine="0" w:firstLineChars="0"/>
        <w:jc w:val="center"/>
        <w:rPr>
          <w:rFonts w:ascii="Times New Roman" w:eastAsia="黑体"/>
          <w:sz w:val="28"/>
          <w:szCs w:val="28"/>
        </w:rPr>
      </w:pPr>
    </w:p>
    <w:p w14:paraId="15B8BCE5">
      <w:pPr>
        <w:pStyle w:val="10"/>
        <w:ind w:firstLine="0" w:firstLineChars="0"/>
        <w:rPr>
          <w:rFonts w:ascii="Times New Roman" w:eastAsia="黑体"/>
          <w:sz w:val="28"/>
          <w:szCs w:val="28"/>
        </w:rPr>
      </w:pPr>
    </w:p>
    <w:tbl>
      <w:tblPr>
        <w:tblStyle w:val="12"/>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2B1A9CC0">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6B335396">
            <w:pPr>
              <w:pStyle w:val="10"/>
              <w:ind w:firstLine="0" w:firstLineChars="0"/>
              <w:rPr>
                <w:rFonts w:hint="eastAsia" w:ascii="黑体" w:hAnsi="黑体" w:eastAsia="黑体"/>
                <w:sz w:val="28"/>
                <w:szCs w:val="28"/>
              </w:rPr>
            </w:pPr>
            <w:r>
              <w:rPr>
                <w:rFonts w:hint="eastAsia" w:ascii="黑体" w:hAnsi="黑体" w:eastAsia="黑体"/>
                <w:sz w:val="28"/>
                <w:szCs w:val="28"/>
              </w:rPr>
              <w:t>XXXX-XX-XX发布                                      XXXX-XX-XX实施</w:t>
            </w:r>
          </w:p>
        </w:tc>
      </w:tr>
    </w:tbl>
    <w:p w14:paraId="36FC43F2">
      <w:pPr>
        <w:pStyle w:val="10"/>
        <w:ind w:firstLine="560"/>
        <w:jc w:val="center"/>
        <w:rPr>
          <w:rFonts w:ascii="Times New Roman" w:eastAsia="黑体"/>
          <w:sz w:val="28"/>
          <w:szCs w:val="28"/>
        </w:rPr>
      </w:pPr>
    </w:p>
    <w:p w14:paraId="06C77EB9">
      <w:pPr>
        <w:pStyle w:val="10"/>
        <w:ind w:firstLine="0" w:firstLineChars="0"/>
        <w:jc w:val="center"/>
        <w:rPr>
          <w:rFonts w:eastAsia="黑体"/>
        </w:rPr>
        <w:sectPr>
          <w:headerReference r:id="rId3" w:type="default"/>
          <w:headerReference r:id="rId4" w:type="even"/>
          <w:footerReference r:id="rId5" w:type="even"/>
          <w:pgSz w:w="11906" w:h="16838"/>
          <w:pgMar w:top="567" w:right="850" w:bottom="1134" w:left="1417" w:header="0" w:footer="0" w:gutter="0"/>
          <w:pgNumType w:start="1"/>
          <w:cols w:space="720" w:num="1"/>
          <w:docGrid w:type="lines" w:linePitch="312" w:charSpace="0"/>
        </w:sectPr>
      </w:pPr>
      <w:r>
        <w:rPr>
          <w:rFonts w:hint="eastAsia" w:ascii="Times New Roman" w:eastAsia="黑体"/>
          <w:sz w:val="28"/>
          <w:szCs w:val="28"/>
        </w:rPr>
        <w:t>中国地质灾害防治与生态修复协会  发布</w:t>
      </w:r>
    </w:p>
    <w:sdt>
      <w:sdtPr>
        <w:rPr>
          <w:rFonts w:hint="eastAsia" w:ascii="黑体" w:hAnsi="黑体" w:eastAsia="黑体" w:cs="黑体"/>
          <w:sz w:val="32"/>
          <w:szCs w:val="32"/>
        </w:rPr>
        <w:id w:val="147481583"/>
        <w15:color w:val="DBDBDB"/>
        <w:docPartObj>
          <w:docPartGallery w:val="Table of Contents"/>
          <w:docPartUnique/>
        </w:docPartObj>
      </w:sdtPr>
      <w:sdtEndPr>
        <w:rPr>
          <w:rFonts w:hint="eastAsia" w:ascii="宋体" w:hAnsi="宋体" w:eastAsia="宋体" w:cs="宋体"/>
          <w:sz w:val="21"/>
          <w:szCs w:val="24"/>
        </w:rPr>
      </w:sdtEndPr>
      <w:sdtContent>
        <w:p w14:paraId="2E553096">
          <w:pPr>
            <w:jc w:val="center"/>
            <w:rPr>
              <w:rFonts w:hint="eastAsia" w:ascii="黑体" w:hAnsi="黑体" w:eastAsia="黑体" w:cs="黑体"/>
              <w:sz w:val="32"/>
              <w:szCs w:val="32"/>
            </w:rPr>
          </w:pPr>
          <w:r>
            <w:rPr>
              <w:rFonts w:hint="eastAsia" w:ascii="黑体" w:hAnsi="黑体" w:eastAsia="黑体" w:cs="黑体"/>
              <w:sz w:val="32"/>
              <w:szCs w:val="32"/>
            </w:rPr>
            <w:t>目  次</w:t>
          </w:r>
        </w:p>
        <w:p w14:paraId="1535B8DF">
          <w:pPr>
            <w:pStyle w:val="6"/>
            <w:tabs>
              <w:tab w:val="right" w:leader="dot" w:pos="9355"/>
              <w:tab w:val="clear" w:pos="9241"/>
            </w:tabs>
            <w:spacing w:before="78" w:after="78"/>
            <w:rPr>
              <w:rFonts w:hint="eastAsia"/>
            </w:rPr>
          </w:pPr>
          <w:r>
            <w:rPr>
              <w:rFonts w:hint="eastAsia" w:cs="宋体"/>
            </w:rPr>
            <w:fldChar w:fldCharType="begin"/>
          </w:r>
          <w:r>
            <w:rPr>
              <w:rFonts w:hint="eastAsia" w:cs="宋体"/>
            </w:rPr>
            <w:instrText xml:space="preserve">TOC \o "1-1" \h \u </w:instrText>
          </w:r>
          <w:r>
            <w:rPr>
              <w:rFonts w:hint="eastAsia" w:cs="宋体"/>
            </w:rPr>
            <w:fldChar w:fldCharType="separate"/>
          </w:r>
          <w:r>
            <w:fldChar w:fldCharType="begin"/>
          </w:r>
          <w:r>
            <w:instrText xml:space="preserve"> HYPERLINK \l "_Toc14217" </w:instrText>
          </w:r>
          <w:r>
            <w:fldChar w:fldCharType="separate"/>
          </w:r>
          <w:r>
            <w:rPr>
              <w:rFonts w:hint="eastAsia"/>
            </w:rPr>
            <w:t>前</w:t>
          </w:r>
          <w:r>
            <w:rPr>
              <w:rFonts w:hAnsi="黑体"/>
            </w:rPr>
            <w:t>  </w:t>
          </w:r>
          <w:r>
            <w:rPr>
              <w:rFonts w:hint="eastAsia"/>
            </w:rPr>
            <w:t>言</w:t>
          </w:r>
          <w:r>
            <w:tab/>
          </w:r>
          <w:r>
            <w:fldChar w:fldCharType="begin"/>
          </w:r>
          <w:r>
            <w:instrText xml:space="preserve"> PAGEREF _Toc14217 \h </w:instrText>
          </w:r>
          <w:r>
            <w:fldChar w:fldCharType="separate"/>
          </w:r>
          <w:r>
            <w:t>II</w:t>
          </w:r>
          <w:r>
            <w:fldChar w:fldCharType="end"/>
          </w:r>
          <w:r>
            <w:fldChar w:fldCharType="end"/>
          </w:r>
        </w:p>
        <w:p w14:paraId="4901F656">
          <w:pPr>
            <w:pStyle w:val="6"/>
            <w:tabs>
              <w:tab w:val="right" w:leader="dot" w:pos="9355"/>
              <w:tab w:val="clear" w:pos="9241"/>
            </w:tabs>
            <w:spacing w:before="78" w:after="78"/>
            <w:rPr>
              <w:rFonts w:hint="eastAsia"/>
            </w:rPr>
          </w:pPr>
          <w:r>
            <w:fldChar w:fldCharType="begin"/>
          </w:r>
          <w:r>
            <w:instrText xml:space="preserve"> HYPERLINK \l "_Toc1245" </w:instrText>
          </w:r>
          <w:r>
            <w:fldChar w:fldCharType="separate"/>
          </w:r>
          <w:r>
            <w:rPr>
              <w:rFonts w:hint="eastAsia" w:ascii="黑体" w:hAnsi="Times New Roman" w:eastAsia="黑体"/>
            </w:rPr>
            <w:t xml:space="preserve">1 </w:t>
          </w:r>
          <w:r>
            <w:rPr>
              <w:rFonts w:hint="eastAsia" w:hAnsi="Times New Roman"/>
            </w:rPr>
            <w:t>范围</w:t>
          </w:r>
          <w:r>
            <w:tab/>
          </w:r>
          <w:r>
            <w:fldChar w:fldCharType="begin"/>
          </w:r>
          <w:r>
            <w:instrText xml:space="preserve"> PAGEREF _Toc1245 \h </w:instrText>
          </w:r>
          <w:r>
            <w:fldChar w:fldCharType="separate"/>
          </w:r>
          <w:r>
            <w:t>1</w:t>
          </w:r>
          <w:r>
            <w:fldChar w:fldCharType="end"/>
          </w:r>
          <w:r>
            <w:fldChar w:fldCharType="end"/>
          </w:r>
        </w:p>
        <w:p w14:paraId="6B542B57">
          <w:pPr>
            <w:pStyle w:val="6"/>
            <w:tabs>
              <w:tab w:val="right" w:leader="dot" w:pos="9355"/>
              <w:tab w:val="clear" w:pos="9241"/>
            </w:tabs>
            <w:spacing w:before="78" w:after="78"/>
            <w:rPr>
              <w:rFonts w:hint="eastAsia"/>
            </w:rPr>
          </w:pPr>
          <w:r>
            <w:fldChar w:fldCharType="begin"/>
          </w:r>
          <w:r>
            <w:instrText xml:space="preserve"> HYPERLINK \l "_Toc12668" </w:instrText>
          </w:r>
          <w:r>
            <w:fldChar w:fldCharType="separate"/>
          </w:r>
          <w:r>
            <w:rPr>
              <w:rFonts w:hint="eastAsia" w:ascii="黑体" w:hAnsi="Times New Roman" w:eastAsia="黑体"/>
            </w:rPr>
            <w:t xml:space="preserve">2 </w:t>
          </w:r>
          <w:r>
            <w:rPr>
              <w:rFonts w:hint="eastAsia" w:hAnsi="Times New Roman"/>
            </w:rPr>
            <w:t>规范性引用文件</w:t>
          </w:r>
          <w:r>
            <w:tab/>
          </w:r>
          <w:r>
            <w:fldChar w:fldCharType="begin"/>
          </w:r>
          <w:r>
            <w:instrText xml:space="preserve"> PAGEREF _Toc12668 \h </w:instrText>
          </w:r>
          <w:r>
            <w:fldChar w:fldCharType="separate"/>
          </w:r>
          <w:r>
            <w:t>1</w:t>
          </w:r>
          <w:r>
            <w:fldChar w:fldCharType="end"/>
          </w:r>
          <w:r>
            <w:fldChar w:fldCharType="end"/>
          </w:r>
        </w:p>
        <w:p w14:paraId="170F8A3D">
          <w:pPr>
            <w:pStyle w:val="6"/>
            <w:tabs>
              <w:tab w:val="right" w:leader="dot" w:pos="9355"/>
              <w:tab w:val="clear" w:pos="9241"/>
            </w:tabs>
            <w:spacing w:before="78" w:after="78"/>
            <w:rPr>
              <w:rFonts w:hint="eastAsia"/>
            </w:rPr>
          </w:pPr>
          <w:r>
            <w:fldChar w:fldCharType="begin"/>
          </w:r>
          <w:r>
            <w:instrText xml:space="preserve"> HYPERLINK \l "_Toc2618" </w:instrText>
          </w:r>
          <w:r>
            <w:fldChar w:fldCharType="separate"/>
          </w:r>
          <w:r>
            <w:rPr>
              <w:rFonts w:hint="eastAsia" w:ascii="黑体" w:hAnsi="Times New Roman" w:eastAsia="黑体"/>
            </w:rPr>
            <w:t xml:space="preserve">3 </w:t>
          </w:r>
          <w:r>
            <w:rPr>
              <w:rFonts w:hint="eastAsia"/>
            </w:rPr>
            <w:t>术语和定义</w:t>
          </w:r>
          <w:r>
            <w:tab/>
          </w:r>
          <w:r>
            <w:fldChar w:fldCharType="begin"/>
          </w:r>
          <w:r>
            <w:instrText xml:space="preserve"> PAGEREF _Toc2618 \h </w:instrText>
          </w:r>
          <w:r>
            <w:fldChar w:fldCharType="separate"/>
          </w:r>
          <w:r>
            <w:t>2</w:t>
          </w:r>
          <w:r>
            <w:fldChar w:fldCharType="end"/>
          </w:r>
          <w:r>
            <w:fldChar w:fldCharType="end"/>
          </w:r>
        </w:p>
        <w:p w14:paraId="4A3713B6">
          <w:pPr>
            <w:pStyle w:val="6"/>
            <w:tabs>
              <w:tab w:val="right" w:leader="dot" w:pos="9355"/>
              <w:tab w:val="clear" w:pos="9241"/>
            </w:tabs>
            <w:spacing w:before="78" w:after="78"/>
            <w:rPr>
              <w:rFonts w:hint="eastAsia"/>
            </w:rPr>
          </w:pPr>
          <w:r>
            <w:fldChar w:fldCharType="begin"/>
          </w:r>
          <w:r>
            <w:instrText xml:space="preserve"> HYPERLINK \l "_Toc20193" </w:instrText>
          </w:r>
          <w:r>
            <w:fldChar w:fldCharType="separate"/>
          </w:r>
          <w:r>
            <w:rPr>
              <w:rFonts w:hint="eastAsia" w:ascii="黑体" w:hAnsi="Times New Roman" w:eastAsia="黑体"/>
            </w:rPr>
            <w:t xml:space="preserve">4 </w:t>
          </w:r>
          <w:r>
            <w:rPr>
              <w:rFonts w:hint="eastAsia"/>
            </w:rPr>
            <w:t>总体要求</w:t>
          </w:r>
          <w:r>
            <w:tab/>
          </w:r>
          <w:r>
            <w:fldChar w:fldCharType="begin"/>
          </w:r>
          <w:r>
            <w:instrText xml:space="preserve"> PAGEREF _Toc20193 \h </w:instrText>
          </w:r>
          <w:r>
            <w:fldChar w:fldCharType="separate"/>
          </w:r>
          <w:r>
            <w:t>2</w:t>
          </w:r>
          <w:r>
            <w:fldChar w:fldCharType="end"/>
          </w:r>
          <w:r>
            <w:fldChar w:fldCharType="end"/>
          </w:r>
        </w:p>
        <w:p w14:paraId="3DFC06E2">
          <w:pPr>
            <w:pStyle w:val="6"/>
            <w:tabs>
              <w:tab w:val="right" w:leader="dot" w:pos="9355"/>
              <w:tab w:val="clear" w:pos="9241"/>
            </w:tabs>
            <w:spacing w:before="78" w:after="78"/>
            <w:rPr>
              <w:rFonts w:hint="eastAsia"/>
            </w:rPr>
          </w:pPr>
          <w:r>
            <w:fldChar w:fldCharType="begin"/>
          </w:r>
          <w:r>
            <w:instrText xml:space="preserve"> HYPERLINK \l "_Toc5181" </w:instrText>
          </w:r>
          <w:r>
            <w:fldChar w:fldCharType="separate"/>
          </w:r>
          <w:r>
            <w:rPr>
              <w:rFonts w:hint="eastAsia" w:ascii="黑体" w:hAnsi="Times New Roman" w:eastAsia="黑体"/>
            </w:rPr>
            <w:t xml:space="preserve">5 </w:t>
          </w:r>
          <w:r>
            <w:rPr>
              <w:rFonts w:hint="eastAsia"/>
            </w:rPr>
            <w:t>边坡防护技术</w:t>
          </w:r>
          <w:r>
            <w:tab/>
          </w:r>
          <w:r>
            <w:fldChar w:fldCharType="begin"/>
          </w:r>
          <w:r>
            <w:instrText xml:space="preserve"> PAGEREF _Toc5181 \h </w:instrText>
          </w:r>
          <w:r>
            <w:fldChar w:fldCharType="separate"/>
          </w:r>
          <w:r>
            <w:t>4</w:t>
          </w:r>
          <w:r>
            <w:fldChar w:fldCharType="end"/>
          </w:r>
          <w:r>
            <w:fldChar w:fldCharType="end"/>
          </w:r>
        </w:p>
        <w:p w14:paraId="08A0D6CF">
          <w:pPr>
            <w:pStyle w:val="6"/>
            <w:tabs>
              <w:tab w:val="right" w:leader="dot" w:pos="9355"/>
              <w:tab w:val="clear" w:pos="9241"/>
            </w:tabs>
            <w:spacing w:before="78" w:after="78"/>
            <w:rPr>
              <w:rFonts w:hint="eastAsia"/>
            </w:rPr>
          </w:pPr>
          <w:r>
            <w:fldChar w:fldCharType="begin"/>
          </w:r>
          <w:r>
            <w:instrText xml:space="preserve"> HYPERLINK \l "_Toc19041" </w:instrText>
          </w:r>
          <w:r>
            <w:fldChar w:fldCharType="separate"/>
          </w:r>
          <w:r>
            <w:rPr>
              <w:rFonts w:hint="eastAsia" w:ascii="黑体" w:hAnsi="Times New Roman" w:eastAsia="黑体"/>
            </w:rPr>
            <w:t xml:space="preserve">6 </w:t>
          </w:r>
          <w:r>
            <w:rPr>
              <w:rFonts w:hint="eastAsia"/>
            </w:rPr>
            <w:t>边坡复绿技术</w:t>
          </w:r>
          <w:r>
            <w:tab/>
          </w:r>
          <w:r>
            <w:fldChar w:fldCharType="begin"/>
          </w:r>
          <w:r>
            <w:instrText xml:space="preserve"> PAGEREF _Toc19041 \h </w:instrText>
          </w:r>
          <w:r>
            <w:fldChar w:fldCharType="separate"/>
          </w:r>
          <w:r>
            <w:t>7</w:t>
          </w:r>
          <w:r>
            <w:fldChar w:fldCharType="end"/>
          </w:r>
          <w:r>
            <w:fldChar w:fldCharType="end"/>
          </w:r>
        </w:p>
        <w:p w14:paraId="1D5D7A59">
          <w:pPr>
            <w:pStyle w:val="6"/>
            <w:tabs>
              <w:tab w:val="right" w:leader="dot" w:pos="9355"/>
              <w:tab w:val="clear" w:pos="9241"/>
            </w:tabs>
            <w:spacing w:before="78" w:after="78"/>
            <w:rPr>
              <w:rFonts w:hint="eastAsia"/>
            </w:rPr>
          </w:pPr>
          <w:r>
            <w:fldChar w:fldCharType="begin"/>
          </w:r>
          <w:r>
            <w:instrText xml:space="preserve"> HYPERLINK \l "_Toc5308" </w:instrText>
          </w:r>
          <w:r>
            <w:fldChar w:fldCharType="separate"/>
          </w:r>
          <w:r>
            <w:rPr>
              <w:rFonts w:hint="eastAsia" w:ascii="黑体" w:hAnsi="Times New Roman" w:eastAsia="黑体"/>
            </w:rPr>
            <w:t xml:space="preserve">7 </w:t>
          </w:r>
          <w:r>
            <w:rPr>
              <w:rFonts w:hint="eastAsia"/>
            </w:rPr>
            <w:t>监测与管护技术</w:t>
          </w:r>
          <w:r>
            <w:tab/>
          </w:r>
          <w:r>
            <w:fldChar w:fldCharType="begin"/>
          </w:r>
          <w:r>
            <w:instrText xml:space="preserve"> PAGEREF _Toc5308 \h </w:instrText>
          </w:r>
          <w:r>
            <w:fldChar w:fldCharType="separate"/>
          </w:r>
          <w:r>
            <w:t>11</w:t>
          </w:r>
          <w:r>
            <w:fldChar w:fldCharType="end"/>
          </w:r>
          <w:r>
            <w:fldChar w:fldCharType="end"/>
          </w:r>
        </w:p>
        <w:p w14:paraId="262B762F">
          <w:pPr>
            <w:pStyle w:val="6"/>
            <w:tabs>
              <w:tab w:val="right" w:leader="dot" w:pos="9355"/>
              <w:tab w:val="clear" w:pos="9241"/>
            </w:tabs>
            <w:spacing w:before="78" w:after="78"/>
            <w:rPr>
              <w:rFonts w:hint="eastAsia"/>
            </w:rPr>
          </w:pPr>
          <w:r>
            <w:fldChar w:fldCharType="begin"/>
          </w:r>
          <w:r>
            <w:instrText xml:space="preserve"> HYPERLINK \l "_Toc12556" </w:instrText>
          </w:r>
          <w:r>
            <w:fldChar w:fldCharType="separate"/>
          </w:r>
          <w:r>
            <w:rPr>
              <w:rFonts w:hint="eastAsia" w:cs="宋体"/>
            </w:rPr>
            <w:t>附　录　A</w:t>
          </w:r>
          <w:r>
            <w:rPr>
              <w:rFonts w:hint="eastAsia" w:ascii="黑体" w:hAnsi="Times New Roman" w:eastAsia="黑体"/>
            </w:rPr>
            <w:t xml:space="preserve"> </w:t>
          </w:r>
          <w:r>
            <w:t xml:space="preserve"> </w:t>
          </w:r>
          <w:r>
            <w:rPr>
              <w:rFonts w:hint="eastAsia"/>
            </w:rPr>
            <w:t>（资料性）</w:t>
          </w:r>
          <w:r>
            <w:t xml:space="preserve"> </w:t>
          </w:r>
          <w:r>
            <w:rPr>
              <w:rFonts w:hint="eastAsia"/>
            </w:rPr>
            <w:t>矿山高陡岩质边坡复绿技术适用条件表</w:t>
          </w:r>
          <w:r>
            <w:tab/>
          </w:r>
          <w:r>
            <w:fldChar w:fldCharType="begin"/>
          </w:r>
          <w:r>
            <w:instrText xml:space="preserve"> PAGEREF _Toc12556 \h </w:instrText>
          </w:r>
          <w:r>
            <w:fldChar w:fldCharType="separate"/>
          </w:r>
          <w:r>
            <w:t>15</w:t>
          </w:r>
          <w:r>
            <w:fldChar w:fldCharType="end"/>
          </w:r>
          <w:r>
            <w:fldChar w:fldCharType="end"/>
          </w:r>
        </w:p>
        <w:p w14:paraId="6C61B859">
          <w:pPr>
            <w:pStyle w:val="6"/>
            <w:tabs>
              <w:tab w:val="right" w:leader="dot" w:pos="9355"/>
              <w:tab w:val="clear" w:pos="9241"/>
            </w:tabs>
            <w:spacing w:before="78" w:after="78"/>
            <w:rPr>
              <w:rFonts w:hint="eastAsia"/>
            </w:rPr>
          </w:pPr>
          <w:r>
            <w:fldChar w:fldCharType="begin"/>
          </w:r>
          <w:r>
            <w:instrText xml:space="preserve"> HYPERLINK \l "_Toc25828" </w:instrText>
          </w:r>
          <w:r>
            <w:fldChar w:fldCharType="separate"/>
          </w:r>
          <w:r>
            <w:rPr>
              <w:rFonts w:hint="eastAsia" w:cs="宋体"/>
            </w:rPr>
            <w:t>附　录　B</w:t>
          </w:r>
          <w:r>
            <w:rPr>
              <w:rFonts w:hint="eastAsia" w:ascii="黑体" w:hAnsi="Times New Roman" w:eastAsia="黑体"/>
            </w:rPr>
            <w:t xml:space="preserve"> </w:t>
          </w:r>
          <w:r>
            <w:t xml:space="preserve"> </w:t>
          </w:r>
          <w:r>
            <w:rPr>
              <w:rFonts w:hint="eastAsia"/>
            </w:rPr>
            <w:t>（资料性）</w:t>
          </w:r>
          <w:r>
            <w:t xml:space="preserve"> </w:t>
          </w:r>
          <w:r>
            <w:rPr>
              <w:rFonts w:hint="eastAsia" w:hAnsi="Times New Roman"/>
            </w:rPr>
            <w:t>矿山</w:t>
          </w:r>
          <w:r>
            <w:rPr>
              <w:rFonts w:hint="eastAsia"/>
            </w:rPr>
            <w:t>高陡岩质边坡</w:t>
          </w:r>
          <w:r>
            <w:rPr>
              <w:rFonts w:hint="eastAsia" w:hAnsi="Times New Roman"/>
            </w:rPr>
            <w:t>生态修复监测方法</w:t>
          </w:r>
          <w:r>
            <w:tab/>
          </w:r>
          <w:r>
            <w:fldChar w:fldCharType="begin"/>
          </w:r>
          <w:r>
            <w:instrText xml:space="preserve"> PAGEREF _Toc25828 \h </w:instrText>
          </w:r>
          <w:r>
            <w:fldChar w:fldCharType="separate"/>
          </w:r>
          <w:r>
            <w:t>16</w:t>
          </w:r>
          <w:r>
            <w:fldChar w:fldCharType="end"/>
          </w:r>
          <w:r>
            <w:fldChar w:fldCharType="end"/>
          </w:r>
        </w:p>
        <w:p w14:paraId="7BEA0EE9">
          <w:pPr>
            <w:pStyle w:val="10"/>
            <w:rPr>
              <w:rFonts w:hint="eastAsia" w:hAnsi="宋体" w:cs="宋体"/>
            </w:rPr>
          </w:pPr>
          <w:r>
            <w:rPr>
              <w:rFonts w:hint="eastAsia" w:hAnsi="宋体" w:cs="宋体"/>
            </w:rPr>
            <w:fldChar w:fldCharType="end"/>
          </w:r>
        </w:p>
      </w:sdtContent>
    </w:sdt>
    <w:p w14:paraId="5D4B0617">
      <w:pPr>
        <w:pStyle w:val="10"/>
        <w:rPr>
          <w:rFonts w:hint="eastAsia" w:hAnsi="宋体" w:cs="宋体"/>
        </w:rPr>
      </w:pPr>
    </w:p>
    <w:p w14:paraId="22358D87">
      <w:pPr>
        <w:pStyle w:val="18"/>
      </w:pPr>
      <w:bookmarkStart w:id="0" w:name="_Toc14217"/>
      <w:r>
        <w:rPr>
          <w:rFonts w:hint="eastAsia"/>
        </w:rPr>
        <w:t>前</w:t>
      </w:r>
      <w:bookmarkStart w:id="1" w:name="BKQY"/>
      <w:r>
        <w:rPr>
          <w:rFonts w:hAnsi="黑体"/>
        </w:rPr>
        <w:t>  </w:t>
      </w:r>
      <w:r>
        <w:rPr>
          <w:rFonts w:hint="eastAsia"/>
        </w:rPr>
        <w:t>言</w:t>
      </w:r>
      <w:bookmarkEnd w:id="0"/>
      <w:bookmarkEnd w:id="1"/>
    </w:p>
    <w:p w14:paraId="7B834077">
      <w:pPr>
        <w:pStyle w:val="10"/>
      </w:pPr>
      <w:r>
        <w:rPr>
          <w:rFonts w:hint="eastAsia"/>
        </w:rPr>
        <w:t>本文件按照GB/T 1.1—2020《标准化工作导则  第1部分：标准化文件的结构和起草规则》的规定起草。</w:t>
      </w:r>
    </w:p>
    <w:p w14:paraId="754D1FEB">
      <w:pPr>
        <w:pStyle w:val="10"/>
      </w:pPr>
      <w:r>
        <w:rPr>
          <w:rFonts w:hint="eastAsia"/>
        </w:rPr>
        <w:t>本文件的某些内容可能涉及专利，本文件的发布机构不承担专利识别的法律责任。</w:t>
      </w:r>
    </w:p>
    <w:p w14:paraId="2ACE82F8">
      <w:pPr>
        <w:pStyle w:val="10"/>
      </w:pPr>
      <w:r>
        <w:rPr>
          <w:rFonts w:hint="eastAsia"/>
        </w:rPr>
        <w:t>本文件由中国地质灾害防治与生态修复协会提出并归口。</w:t>
      </w:r>
    </w:p>
    <w:p w14:paraId="4F831CAA">
      <w:pPr>
        <w:pStyle w:val="10"/>
      </w:pPr>
      <w:r>
        <w:rPr>
          <w:rFonts w:hint="eastAsia"/>
        </w:rPr>
        <w:t>本文件起草单位：湖南省生态地质调查监测所（湖南中核建设工程有限公司）、自然资源部国土整治中心、中国地质调查局长沙自然资源综合调查中心、湖南省核地质调查所、中南冶勘资源环境工程有限公司、天津市地质研究和海洋地质中心、中基发展建设工程有限责任公司。</w:t>
      </w:r>
    </w:p>
    <w:p w14:paraId="73EF84EA">
      <w:pPr>
        <w:pStyle w:val="10"/>
      </w:pPr>
      <w:r>
        <w:rPr>
          <w:rFonts w:hint="eastAsia"/>
        </w:rPr>
        <w:t>本文件主要起草人：刘斌、曾蔚、王克宏、杨清升、夏四红、宋建新、霍志涛、朱文景、吕平波、胡长友、文珺、王剑、黄凤寸、姚志禄、朱静涛、朱佳兴、刘学文、龚飞、翟世斌、高海涛、马超、肖飞、苗国航</w:t>
      </w:r>
    </w:p>
    <w:p w14:paraId="46CAF912">
      <w:pPr>
        <w:pStyle w:val="10"/>
      </w:pPr>
      <w:r>
        <w:rPr>
          <w:rFonts w:hint="eastAsia"/>
        </w:rPr>
        <w:t>本文件由中国地质灾害防治与生态修复协会负责解释。</w:t>
      </w:r>
    </w:p>
    <w:p w14:paraId="73C20F50">
      <w:pPr>
        <w:pStyle w:val="10"/>
      </w:pPr>
    </w:p>
    <w:p w14:paraId="76D25FDA">
      <w:pPr>
        <w:pStyle w:val="10"/>
      </w:pPr>
    </w:p>
    <w:p w14:paraId="7FB42EB2">
      <w:pPr>
        <w:pStyle w:val="10"/>
      </w:pPr>
    </w:p>
    <w:p w14:paraId="3E705049">
      <w:pPr>
        <w:pStyle w:val="10"/>
      </w:pPr>
    </w:p>
    <w:p w14:paraId="75C4D077">
      <w:pPr>
        <w:pStyle w:val="10"/>
        <w:sectPr>
          <w:headerReference r:id="rId6" w:type="default"/>
          <w:footerReference r:id="rId7" w:type="default"/>
          <w:footerReference r:id="rId8" w:type="even"/>
          <w:pgSz w:w="11906" w:h="16838"/>
          <w:pgMar w:top="567" w:right="1134" w:bottom="1134" w:left="1417" w:header="1418" w:footer="1134" w:gutter="0"/>
          <w:pgNumType w:fmt="upperRoman" w:start="1"/>
          <w:cols w:space="720" w:num="1"/>
          <w:formProt w:val="0"/>
          <w:docGrid w:type="lines" w:linePitch="312" w:charSpace="0"/>
        </w:sectPr>
      </w:pPr>
    </w:p>
    <w:p w14:paraId="1A7E5E2B">
      <w:pPr>
        <w:pStyle w:val="17"/>
        <w:outlineLvl w:val="9"/>
      </w:pPr>
      <w:r>
        <w:rPr>
          <w:rFonts w:hint="eastAsia"/>
        </w:rPr>
        <w:t>露天矿山高陡岩质边坡生态修复技术标准</w:t>
      </w:r>
    </w:p>
    <w:p w14:paraId="7CEF51B0">
      <w:pPr>
        <w:pStyle w:val="19"/>
        <w:outlineLvl w:val="0"/>
      </w:pPr>
      <w:bookmarkStart w:id="2" w:name="_Toc1245"/>
      <w:bookmarkStart w:id="3" w:name="_Toc450293152"/>
      <w:r>
        <w:rPr>
          <w:rFonts w:hint="eastAsia"/>
        </w:rPr>
        <w:t>范围</w:t>
      </w:r>
      <w:bookmarkEnd w:id="2"/>
      <w:bookmarkEnd w:id="3"/>
    </w:p>
    <w:p w14:paraId="041DC461">
      <w:pPr>
        <w:pStyle w:val="56"/>
        <w:ind w:firstLine="420"/>
        <w:rPr>
          <w:rFonts w:ascii="Times New Roman"/>
          <w:szCs w:val="21"/>
        </w:rPr>
      </w:pPr>
      <w:r>
        <w:rPr>
          <w:rFonts w:hint="eastAsia" w:ascii="Times New Roman"/>
          <w:szCs w:val="21"/>
        </w:rPr>
        <w:t>本文件规定了露天矿山高陡岩质边坡生态修复的总体要求、边坡防护技术、边坡复绿技术、监测与管护技术等要求。</w:t>
      </w:r>
    </w:p>
    <w:p w14:paraId="05035F09">
      <w:pPr>
        <w:pStyle w:val="56"/>
        <w:ind w:firstLine="420"/>
      </w:pPr>
      <w:r>
        <w:rPr>
          <w:rFonts w:hint="eastAsia" w:ascii="Times New Roman"/>
          <w:szCs w:val="21"/>
        </w:rPr>
        <w:t>本文件适用于露天矿山高陡岩质边坡生态修复工程。</w:t>
      </w:r>
    </w:p>
    <w:p w14:paraId="6D618CAC">
      <w:pPr>
        <w:pStyle w:val="19"/>
        <w:outlineLvl w:val="0"/>
      </w:pPr>
      <w:bookmarkStart w:id="4" w:name="_Toc450293153"/>
      <w:bookmarkStart w:id="5" w:name="_Toc12668"/>
      <w:r>
        <w:rPr>
          <w:rFonts w:hint="eastAsia"/>
        </w:rPr>
        <w:t>规范性引用文件</w:t>
      </w:r>
      <w:bookmarkEnd w:id="4"/>
      <w:bookmarkEnd w:id="5"/>
    </w:p>
    <w:p w14:paraId="525E895C">
      <w:pPr>
        <w:pStyle w:val="56"/>
        <w:ind w:firstLine="420"/>
        <w:rPr>
          <w:rFonts w:ascii="Times New Roman"/>
          <w:szCs w:val="21"/>
        </w:rPr>
      </w:pPr>
      <w:r>
        <w:rPr>
          <w:rFonts w:hint="eastAsia" w:ascii="Times New Roman"/>
          <w:szCs w:val="21"/>
        </w:rPr>
        <w:t>下列文件中的内容通过文中的规范性引用而构成本文件必不可少的条款。其中，不注日期的引用文件，其最新版本（包括所有的修改单）适用于本文件。</w:t>
      </w:r>
    </w:p>
    <w:p w14:paraId="0FC87766">
      <w:pPr>
        <w:pStyle w:val="56"/>
        <w:ind w:firstLine="420"/>
        <w:rPr>
          <w:rFonts w:hint="eastAsia" w:hAnsi="宋体" w:cs="宋体"/>
          <w:szCs w:val="21"/>
          <w:lang w:bidi="en-US"/>
        </w:rPr>
      </w:pPr>
      <w:r>
        <w:rPr>
          <w:rFonts w:hint="eastAsia" w:hAnsi="宋体" w:cs="宋体"/>
          <w:szCs w:val="21"/>
          <w:lang w:bidi="en-US"/>
        </w:rPr>
        <w:t>GB 15618  土壤环境质量 农用地土壤污染风险管控标准（试行）</w:t>
      </w:r>
    </w:p>
    <w:p w14:paraId="189949E4">
      <w:pPr>
        <w:pStyle w:val="56"/>
        <w:ind w:firstLine="420"/>
        <w:rPr>
          <w:rFonts w:hint="eastAsia" w:hAnsi="宋体" w:cs="宋体"/>
          <w:szCs w:val="21"/>
          <w:lang w:bidi="en-US"/>
        </w:rPr>
      </w:pPr>
      <w:r>
        <w:rPr>
          <w:rFonts w:hint="eastAsia" w:hAnsi="宋体" w:cs="宋体"/>
          <w:szCs w:val="21"/>
          <w:lang w:bidi="en-US"/>
        </w:rPr>
        <w:t>GB 50021  岩土工程勘察规范</w:t>
      </w:r>
    </w:p>
    <w:p w14:paraId="4BB46E65">
      <w:pPr>
        <w:pStyle w:val="56"/>
        <w:ind w:firstLine="420"/>
        <w:rPr>
          <w:rFonts w:hint="eastAsia" w:hAnsi="宋体" w:cs="宋体"/>
          <w:szCs w:val="21"/>
          <w:lang w:bidi="en-US"/>
        </w:rPr>
      </w:pPr>
      <w:r>
        <w:rPr>
          <w:rFonts w:hint="eastAsia" w:hAnsi="宋体" w:cs="宋体"/>
          <w:szCs w:val="21"/>
          <w:lang w:bidi="en-US"/>
        </w:rPr>
        <w:t>GB 50218  工程岩体分级标准</w:t>
      </w:r>
    </w:p>
    <w:p w14:paraId="63FBE5DE">
      <w:pPr>
        <w:pStyle w:val="56"/>
        <w:ind w:firstLine="420"/>
        <w:rPr>
          <w:rFonts w:hint="eastAsia" w:hAnsi="宋体" w:cs="宋体"/>
          <w:szCs w:val="21"/>
          <w:lang w:bidi="en-US"/>
        </w:rPr>
      </w:pPr>
      <w:r>
        <w:rPr>
          <w:rFonts w:hint="eastAsia" w:hAnsi="宋体" w:cs="宋体"/>
          <w:szCs w:val="21"/>
          <w:lang w:bidi="en-US"/>
        </w:rPr>
        <w:t>GB 50330  建筑边坡工程技术规范</w:t>
      </w:r>
    </w:p>
    <w:p w14:paraId="51AE52EF">
      <w:pPr>
        <w:pStyle w:val="56"/>
        <w:ind w:firstLine="420"/>
        <w:rPr>
          <w:rFonts w:hint="eastAsia" w:hAnsi="宋体" w:cs="宋体"/>
          <w:szCs w:val="21"/>
          <w:lang w:bidi="en-US"/>
        </w:rPr>
      </w:pPr>
      <w:r>
        <w:rPr>
          <w:rFonts w:hint="eastAsia" w:hAnsi="宋体" w:cs="宋体"/>
          <w:szCs w:val="21"/>
          <w:lang w:bidi="en-US"/>
        </w:rPr>
        <w:t>GB 51016  非煤露天矿边坡工程技术规范</w:t>
      </w:r>
    </w:p>
    <w:p w14:paraId="27B07A23">
      <w:pPr>
        <w:pStyle w:val="56"/>
        <w:ind w:firstLine="420"/>
        <w:rPr>
          <w:rFonts w:hint="eastAsia" w:hAnsi="宋体" w:cs="宋体"/>
          <w:szCs w:val="21"/>
          <w:lang w:bidi="en-US"/>
        </w:rPr>
      </w:pPr>
      <w:r>
        <w:rPr>
          <w:rFonts w:hint="eastAsia" w:hAnsi="宋体" w:cs="宋体"/>
          <w:szCs w:val="21"/>
          <w:lang w:bidi="en-US"/>
        </w:rPr>
        <w:t>GB 51018  水土保持工程设计规范</w:t>
      </w:r>
    </w:p>
    <w:p w14:paraId="384A45FD">
      <w:pPr>
        <w:pStyle w:val="56"/>
        <w:ind w:firstLine="420"/>
        <w:rPr>
          <w:rFonts w:hint="eastAsia" w:hAnsi="宋体" w:cs="宋体"/>
          <w:szCs w:val="21"/>
          <w:lang w:bidi="en-US"/>
        </w:rPr>
      </w:pPr>
      <w:r>
        <w:rPr>
          <w:rFonts w:hint="eastAsia" w:hAnsi="宋体" w:cs="宋体"/>
          <w:szCs w:val="21"/>
          <w:lang w:bidi="en-US"/>
        </w:rPr>
        <w:t>GB 6000  主要造林树种苗木质量分级</w:t>
      </w:r>
    </w:p>
    <w:p w14:paraId="146BDA5F">
      <w:pPr>
        <w:pStyle w:val="56"/>
        <w:ind w:firstLine="420"/>
        <w:rPr>
          <w:rFonts w:hint="eastAsia" w:hAnsi="宋体" w:cs="宋体"/>
          <w:szCs w:val="21"/>
          <w:lang w:bidi="en-US"/>
        </w:rPr>
      </w:pPr>
      <w:r>
        <w:rPr>
          <w:rFonts w:hint="eastAsia" w:hAnsi="宋体" w:cs="宋体"/>
          <w:szCs w:val="21"/>
          <w:lang w:bidi="en-US"/>
        </w:rPr>
        <w:t>GB 7908  林木种子质量分级</w:t>
      </w:r>
    </w:p>
    <w:p w14:paraId="08A531BA">
      <w:pPr>
        <w:pStyle w:val="56"/>
        <w:ind w:firstLine="420"/>
        <w:rPr>
          <w:rFonts w:hint="eastAsia" w:hAnsi="宋体" w:cs="宋体"/>
          <w:szCs w:val="21"/>
          <w:lang w:bidi="en-US"/>
        </w:rPr>
      </w:pPr>
      <w:r>
        <w:rPr>
          <w:rFonts w:hint="eastAsia" w:hAnsi="宋体" w:cs="宋体"/>
          <w:szCs w:val="21"/>
          <w:lang w:bidi="en-US"/>
        </w:rPr>
        <w:t>GB/T 15063  复合肥料</w:t>
      </w:r>
    </w:p>
    <w:p w14:paraId="44715D6C">
      <w:pPr>
        <w:pStyle w:val="56"/>
        <w:ind w:firstLine="420"/>
        <w:rPr>
          <w:rFonts w:hint="eastAsia" w:hAnsi="宋体" w:cs="宋体"/>
          <w:szCs w:val="21"/>
          <w:lang w:bidi="en-US"/>
        </w:rPr>
      </w:pPr>
      <w:r>
        <w:rPr>
          <w:rFonts w:hint="eastAsia" w:hAnsi="宋体" w:cs="宋体"/>
          <w:szCs w:val="21"/>
          <w:lang w:bidi="en-US"/>
        </w:rPr>
        <w:t>GB/T 15789  土工布及其有关产品 无负荷时垂直渗透特性的测定</w:t>
      </w:r>
    </w:p>
    <w:p w14:paraId="4C19E28F">
      <w:pPr>
        <w:pStyle w:val="56"/>
        <w:ind w:firstLine="420"/>
        <w:rPr>
          <w:rFonts w:hint="eastAsia" w:hAnsi="宋体" w:cs="宋体"/>
          <w:szCs w:val="21"/>
          <w:lang w:bidi="en-US"/>
        </w:rPr>
      </w:pPr>
      <w:r>
        <w:rPr>
          <w:rFonts w:hint="eastAsia" w:hAnsi="宋体" w:cs="宋体"/>
          <w:szCs w:val="21"/>
          <w:lang w:bidi="en-US"/>
        </w:rPr>
        <w:t>GB/T 16453.4  水土保持综合治理技术规范小型蓄排引水工程</w:t>
      </w:r>
    </w:p>
    <w:p w14:paraId="18155820">
      <w:pPr>
        <w:pStyle w:val="56"/>
        <w:ind w:firstLine="420"/>
        <w:rPr>
          <w:rFonts w:hint="eastAsia" w:hAnsi="宋体" w:cs="宋体"/>
          <w:szCs w:val="21"/>
          <w:lang w:bidi="en-US"/>
        </w:rPr>
      </w:pPr>
      <w:r>
        <w:rPr>
          <w:rFonts w:hint="eastAsia" w:hAnsi="宋体" w:cs="宋体"/>
          <w:szCs w:val="21"/>
          <w:lang w:bidi="en-US"/>
        </w:rPr>
        <w:t>GB/T 17639  土工合成材料 长丝纺粘针刺非织造土工布</w:t>
      </w:r>
    </w:p>
    <w:p w14:paraId="05E284BE">
      <w:pPr>
        <w:pStyle w:val="56"/>
        <w:ind w:firstLine="420"/>
        <w:rPr>
          <w:rFonts w:hint="eastAsia" w:hAnsi="宋体" w:cs="宋体"/>
          <w:szCs w:val="21"/>
          <w:lang w:bidi="en-US"/>
        </w:rPr>
      </w:pPr>
      <w:r>
        <w:rPr>
          <w:rFonts w:hint="eastAsia" w:hAnsi="宋体" w:cs="宋体"/>
          <w:szCs w:val="21"/>
          <w:lang w:bidi="en-US"/>
        </w:rPr>
        <w:t>GB/T 33891  绿化用有机基质</w:t>
      </w:r>
    </w:p>
    <w:p w14:paraId="5E0B1A94">
      <w:pPr>
        <w:pStyle w:val="56"/>
        <w:ind w:firstLine="420"/>
        <w:rPr>
          <w:rFonts w:hint="eastAsia" w:hAnsi="宋体" w:cs="宋体"/>
          <w:szCs w:val="21"/>
          <w:lang w:bidi="en-US"/>
        </w:rPr>
      </w:pPr>
      <w:r>
        <w:rPr>
          <w:rFonts w:hint="eastAsia" w:hAnsi="宋体" w:cs="宋体"/>
          <w:szCs w:val="21"/>
          <w:lang w:bidi="en-US"/>
        </w:rPr>
        <w:t>GB/T 38360  裸露坡面植被恢复技术规范</w:t>
      </w:r>
    </w:p>
    <w:p w14:paraId="6B078A63">
      <w:pPr>
        <w:pStyle w:val="56"/>
        <w:ind w:firstLine="420"/>
        <w:rPr>
          <w:rFonts w:hint="eastAsia" w:hAnsi="宋体" w:cs="宋体"/>
          <w:szCs w:val="21"/>
          <w:lang w:bidi="en-US"/>
        </w:rPr>
      </w:pPr>
      <w:r>
        <w:rPr>
          <w:rFonts w:hint="eastAsia" w:hAnsi="宋体" w:cs="宋体"/>
          <w:szCs w:val="21"/>
          <w:lang w:bidi="en-US"/>
        </w:rPr>
        <w:t>GB/T 38509  滑坡防治设计规范</w:t>
      </w:r>
    </w:p>
    <w:p w14:paraId="1B54E404">
      <w:pPr>
        <w:pStyle w:val="56"/>
        <w:ind w:firstLine="420"/>
        <w:rPr>
          <w:rFonts w:hint="eastAsia" w:hAnsi="宋体" w:cs="宋体"/>
          <w:szCs w:val="21"/>
          <w:lang w:bidi="en-US"/>
        </w:rPr>
      </w:pPr>
      <w:r>
        <w:rPr>
          <w:rFonts w:hint="eastAsia" w:hAnsi="宋体" w:cs="宋体"/>
          <w:szCs w:val="21"/>
          <w:lang w:bidi="en-US"/>
        </w:rPr>
        <w:t>GB/T 43935  矿山土地复垦与生态修复监测评价技术规范</w:t>
      </w:r>
    </w:p>
    <w:p w14:paraId="22BC1E3C">
      <w:pPr>
        <w:pStyle w:val="56"/>
        <w:ind w:firstLine="420"/>
        <w:rPr>
          <w:rFonts w:hint="eastAsia" w:hAnsi="宋体" w:cs="宋体"/>
          <w:szCs w:val="21"/>
          <w:lang w:bidi="en-US"/>
        </w:rPr>
      </w:pPr>
      <w:r>
        <w:rPr>
          <w:rFonts w:hint="eastAsia" w:hAnsi="宋体" w:cs="宋体"/>
          <w:szCs w:val="21"/>
          <w:lang w:bidi="en-US"/>
        </w:rPr>
        <w:t>GB/T 50085  喷灌工程技术规范</w:t>
      </w:r>
    </w:p>
    <w:p w14:paraId="25E0A0CA">
      <w:pPr>
        <w:pStyle w:val="56"/>
        <w:ind w:firstLine="420"/>
        <w:rPr>
          <w:rFonts w:hint="eastAsia" w:hAnsi="宋体" w:cs="宋体"/>
          <w:szCs w:val="21"/>
          <w:lang w:bidi="en-US"/>
        </w:rPr>
      </w:pPr>
      <w:r>
        <w:rPr>
          <w:rFonts w:hint="eastAsia" w:hAnsi="宋体" w:cs="宋体"/>
          <w:szCs w:val="21"/>
          <w:lang w:bidi="en-US"/>
        </w:rPr>
        <w:t>GB/T 50363  节水灌溉工程技术规范</w:t>
      </w:r>
    </w:p>
    <w:p w14:paraId="358539AE">
      <w:pPr>
        <w:pStyle w:val="56"/>
        <w:ind w:firstLine="420"/>
        <w:rPr>
          <w:rFonts w:hint="eastAsia" w:hAnsi="宋体" w:cs="宋体"/>
          <w:szCs w:val="21"/>
          <w:lang w:bidi="en-US"/>
        </w:rPr>
      </w:pPr>
      <w:r>
        <w:rPr>
          <w:rFonts w:hint="eastAsia" w:hAnsi="宋体" w:cs="宋体"/>
          <w:szCs w:val="21"/>
          <w:lang w:bidi="en-US"/>
        </w:rPr>
        <w:t>GB/T 50485  微灌工程技术标准</w:t>
      </w:r>
    </w:p>
    <w:p w14:paraId="530288F3">
      <w:pPr>
        <w:pStyle w:val="56"/>
        <w:ind w:firstLine="420"/>
        <w:rPr>
          <w:rFonts w:hint="eastAsia" w:hAnsi="宋体" w:cs="宋体"/>
          <w:szCs w:val="21"/>
          <w:lang w:bidi="en-US"/>
        </w:rPr>
      </w:pPr>
      <w:r>
        <w:rPr>
          <w:rFonts w:hint="eastAsia" w:hAnsi="宋体" w:cs="宋体"/>
          <w:szCs w:val="21"/>
          <w:lang w:bidi="en-US"/>
        </w:rPr>
        <w:t>AQ/T 2063  金属非金属露天矿山高陡边坡安全监测技术规范</w:t>
      </w:r>
    </w:p>
    <w:p w14:paraId="234CA9B9">
      <w:pPr>
        <w:pStyle w:val="56"/>
        <w:ind w:firstLine="420"/>
        <w:rPr>
          <w:rFonts w:hint="eastAsia" w:hAnsi="宋体" w:cs="宋体"/>
          <w:szCs w:val="21"/>
          <w:lang w:bidi="en-US"/>
        </w:rPr>
      </w:pPr>
      <w:r>
        <w:rPr>
          <w:rFonts w:hint="eastAsia" w:hAnsi="宋体" w:cs="宋体"/>
          <w:szCs w:val="21"/>
          <w:lang w:bidi="en-US"/>
        </w:rPr>
        <w:t>CJJ/T 292  边坡喷播绿化工程技术标准</w:t>
      </w:r>
    </w:p>
    <w:p w14:paraId="4F17D0B5">
      <w:pPr>
        <w:pStyle w:val="56"/>
        <w:ind w:firstLine="420"/>
        <w:rPr>
          <w:rFonts w:hint="eastAsia" w:hAnsi="宋体" w:cs="宋体"/>
          <w:szCs w:val="21"/>
          <w:lang w:bidi="en-US"/>
        </w:rPr>
      </w:pPr>
      <w:r>
        <w:rPr>
          <w:rFonts w:hint="eastAsia" w:hAnsi="宋体" w:cs="宋体"/>
          <w:szCs w:val="21"/>
          <w:lang w:bidi="en-US"/>
        </w:rPr>
        <w:t>DZ/T 0287  矿山地质环境监测技术规程</w:t>
      </w:r>
    </w:p>
    <w:p w14:paraId="5FAE99ED">
      <w:pPr>
        <w:pStyle w:val="56"/>
        <w:ind w:firstLine="420"/>
        <w:rPr>
          <w:rFonts w:hint="eastAsia" w:hAnsi="宋体" w:cs="宋体"/>
          <w:szCs w:val="21"/>
          <w:lang w:bidi="en-US"/>
        </w:rPr>
      </w:pPr>
      <w:r>
        <w:rPr>
          <w:rFonts w:hint="eastAsia" w:hAnsi="宋体" w:cs="宋体"/>
          <w:szCs w:val="21"/>
          <w:lang w:bidi="en-US"/>
        </w:rPr>
        <w:t>JGJ 79  建筑地基处理技术规范</w:t>
      </w:r>
    </w:p>
    <w:p w14:paraId="485401B3">
      <w:pPr>
        <w:pStyle w:val="56"/>
        <w:ind w:firstLine="420"/>
        <w:rPr>
          <w:rFonts w:hint="eastAsia" w:hAnsi="宋体" w:cs="宋体"/>
          <w:szCs w:val="21"/>
          <w:lang w:bidi="en-US"/>
        </w:rPr>
      </w:pPr>
      <w:r>
        <w:rPr>
          <w:rFonts w:hint="eastAsia" w:hAnsi="宋体" w:cs="宋体"/>
          <w:szCs w:val="21"/>
          <w:lang w:bidi="en-US"/>
        </w:rPr>
        <w:t>JT/T 1108.3  公路路域植被恢复材料 第3部分：植物纤维毯</w:t>
      </w:r>
    </w:p>
    <w:p w14:paraId="59D1F962">
      <w:pPr>
        <w:pStyle w:val="56"/>
        <w:ind w:firstLine="420"/>
        <w:rPr>
          <w:rFonts w:hint="eastAsia" w:hAnsi="宋体" w:cs="宋体"/>
          <w:szCs w:val="21"/>
          <w:lang w:bidi="en-US"/>
        </w:rPr>
      </w:pPr>
      <w:r>
        <w:rPr>
          <w:rFonts w:hint="eastAsia" w:hAnsi="宋体" w:cs="宋体"/>
          <w:szCs w:val="21"/>
          <w:lang w:bidi="en-US"/>
        </w:rPr>
        <w:t>LY 1000  容器育苗技术</w:t>
      </w:r>
    </w:p>
    <w:p w14:paraId="6758F7C5">
      <w:pPr>
        <w:pStyle w:val="10"/>
      </w:pPr>
      <w:r>
        <w:rPr>
          <w:rFonts w:hint="eastAsia"/>
        </w:rPr>
        <w:t>LY/T 1610  水力喷射喷播机</w:t>
      </w:r>
    </w:p>
    <w:p w14:paraId="5B26323B">
      <w:pPr>
        <w:pStyle w:val="56"/>
        <w:ind w:firstLine="420"/>
        <w:rPr>
          <w:rFonts w:hint="eastAsia" w:hAnsi="宋体" w:cs="宋体"/>
          <w:szCs w:val="21"/>
          <w:lang w:bidi="en-US"/>
        </w:rPr>
      </w:pPr>
      <w:r>
        <w:rPr>
          <w:rFonts w:hint="eastAsia" w:hAnsi="宋体" w:cs="宋体"/>
          <w:szCs w:val="21"/>
          <w:lang w:bidi="en-US"/>
        </w:rPr>
        <w:t>NB/T 35082  水电工程陡边坡植被混凝土生态修复技术规范</w:t>
      </w:r>
    </w:p>
    <w:p w14:paraId="6361F053">
      <w:pPr>
        <w:pStyle w:val="10"/>
      </w:pPr>
      <w:r>
        <w:rPr>
          <w:rFonts w:hint="eastAsia" w:hAnsi="宋体" w:cs="宋体"/>
          <w:szCs w:val="21"/>
          <w:lang w:bidi="en-US"/>
        </w:rPr>
        <w:t>NY/T 525  有机肥料</w:t>
      </w:r>
    </w:p>
    <w:p w14:paraId="3F4D99C3">
      <w:pPr>
        <w:pStyle w:val="56"/>
        <w:ind w:firstLine="420"/>
        <w:rPr>
          <w:rFonts w:hint="eastAsia" w:hAnsi="宋体" w:cs="宋体"/>
          <w:szCs w:val="21"/>
          <w:lang w:bidi="en-US"/>
        </w:rPr>
      </w:pPr>
      <w:r>
        <w:rPr>
          <w:rFonts w:hint="eastAsia" w:hAnsi="宋体" w:cs="宋体"/>
          <w:szCs w:val="21"/>
          <w:lang w:bidi="en-US"/>
        </w:rPr>
        <w:t>TD/T 1070.1  矿山生态修复技术规范 第 1 部分：通则</w:t>
      </w:r>
    </w:p>
    <w:p w14:paraId="1F10A01D">
      <w:pPr>
        <w:pStyle w:val="56"/>
        <w:ind w:firstLine="420"/>
        <w:rPr>
          <w:rFonts w:hint="eastAsia" w:hAnsi="宋体" w:cs="宋体"/>
          <w:szCs w:val="21"/>
          <w:lang w:bidi="en-US"/>
        </w:rPr>
      </w:pPr>
      <w:r>
        <w:rPr>
          <w:rFonts w:hint="eastAsia" w:hAnsi="宋体" w:cs="宋体"/>
          <w:szCs w:val="21"/>
          <w:lang w:bidi="en-US"/>
        </w:rPr>
        <w:t>TD/T 1070.4  矿山生态修复技术规范 第 4 部分：建材矿山</w:t>
      </w:r>
    </w:p>
    <w:p w14:paraId="5BDB3CF1">
      <w:pPr>
        <w:pStyle w:val="19"/>
        <w:outlineLvl w:val="0"/>
      </w:pPr>
      <w:bookmarkStart w:id="6" w:name="_Toc2618"/>
      <w:bookmarkStart w:id="7" w:name="_Toc450293154"/>
      <w:r>
        <w:rPr>
          <w:rFonts w:hint="eastAsia"/>
        </w:rPr>
        <w:t>术语和定义</w:t>
      </w:r>
      <w:bookmarkEnd w:id="6"/>
      <w:bookmarkEnd w:id="7"/>
    </w:p>
    <w:p w14:paraId="04BDE38A">
      <w:pPr>
        <w:pStyle w:val="56"/>
        <w:ind w:firstLine="420"/>
      </w:pPr>
      <w:r>
        <w:rPr>
          <w:rFonts w:hint="eastAsia"/>
        </w:rPr>
        <w:t>下列术语和定义适用于本文件。</w:t>
      </w:r>
    </w:p>
    <w:p w14:paraId="03CECD86">
      <w:pPr>
        <w:pStyle w:val="20"/>
        <w:outlineLvl w:val="1"/>
      </w:pPr>
    </w:p>
    <w:p w14:paraId="2FAF3D7C">
      <w:pPr>
        <w:pStyle w:val="20"/>
        <w:numPr>
          <w:ilvl w:val="1"/>
          <w:numId w:val="0"/>
        </w:numPr>
        <w:ind w:firstLine="420" w:firstLineChars="200"/>
        <w:outlineLvl w:val="1"/>
        <w:rPr>
          <w:rFonts w:ascii="宋体" w:eastAsia="宋体"/>
        </w:rPr>
      </w:pPr>
      <w:r>
        <w:rPr>
          <w:rFonts w:hint="eastAsia"/>
        </w:rPr>
        <w:t>露天矿山 open-pit mine</w:t>
      </w:r>
    </w:p>
    <w:p w14:paraId="70D6938A">
      <w:pPr>
        <w:pStyle w:val="10"/>
      </w:pPr>
      <w:r>
        <w:rPr>
          <w:rFonts w:hint="eastAsia"/>
        </w:rPr>
        <w:t>采用露天开采方式，从地表直接开采矿产资源，由露天采场（含采坑、台阶、沟道）及配套的开拓运输、排土、防排水、供电、安全环保等系统与附属设施组成的矿山生产系统。</w:t>
      </w:r>
    </w:p>
    <w:p w14:paraId="72E6F8A3">
      <w:pPr>
        <w:pStyle w:val="20"/>
        <w:outlineLvl w:val="1"/>
      </w:pPr>
    </w:p>
    <w:p w14:paraId="21DD6773">
      <w:pPr>
        <w:pStyle w:val="20"/>
        <w:numPr>
          <w:ilvl w:val="1"/>
          <w:numId w:val="0"/>
        </w:numPr>
        <w:ind w:firstLine="420" w:firstLineChars="200"/>
        <w:outlineLvl w:val="1"/>
      </w:pPr>
      <w:r>
        <w:rPr>
          <w:rFonts w:hint="eastAsia"/>
        </w:rPr>
        <w:t>高陡岩质边坡 high and steep rock Slope</w:t>
      </w:r>
    </w:p>
    <w:p w14:paraId="45D65F59">
      <w:pPr>
        <w:pStyle w:val="10"/>
      </w:pPr>
      <w:r>
        <w:rPr>
          <w:rFonts w:hint="eastAsia" w:asciiTheme="minorEastAsia" w:hAnsiTheme="minorEastAsia" w:eastAsiaTheme="minorEastAsia" w:cstheme="minorEastAsia"/>
          <w:szCs w:val="21"/>
        </w:rPr>
        <w:t>露天矿山开采后形成的，坡面岩石裸露，总体边坡角不小于40°，且台阶高度不小于15米或总高度不小于100米的边坡。</w:t>
      </w:r>
    </w:p>
    <w:p w14:paraId="4C14B87E">
      <w:pPr>
        <w:pStyle w:val="58"/>
        <w:numPr>
          <w:ilvl w:val="0"/>
          <w:numId w:val="0"/>
        </w:numPr>
        <w:ind w:firstLine="420" w:firstLineChars="200"/>
        <w:rPr>
          <w:rFonts w:ascii="黑体" w:eastAsia="黑体"/>
          <w:szCs w:val="21"/>
        </w:rPr>
      </w:pPr>
      <w:r>
        <w:rPr>
          <w:rFonts w:hint="eastAsia"/>
        </w:rPr>
        <w:t>[来源：KA/T  2063-2018，3.2 有修改]</w:t>
      </w:r>
    </w:p>
    <w:p w14:paraId="51F68779">
      <w:pPr>
        <w:pStyle w:val="20"/>
        <w:outlineLvl w:val="1"/>
      </w:pPr>
    </w:p>
    <w:p w14:paraId="79B814A8">
      <w:pPr>
        <w:pStyle w:val="20"/>
        <w:numPr>
          <w:ilvl w:val="1"/>
          <w:numId w:val="0"/>
        </w:numPr>
        <w:ind w:firstLine="420" w:firstLineChars="200"/>
        <w:outlineLvl w:val="1"/>
      </w:pPr>
      <w:r>
        <w:rPr>
          <w:rFonts w:hint="eastAsia"/>
        </w:rPr>
        <w:t>藤立方技术 vine cube technology</w:t>
      </w:r>
    </w:p>
    <w:p w14:paraId="25FD59DC">
      <w:pPr>
        <w:pStyle w:val="10"/>
      </w:pPr>
      <w:r>
        <w:rPr>
          <w:rFonts w:hint="eastAsia"/>
        </w:rPr>
        <w:t>基于藤本植物顽强生命力及优异立体攀爬特性，筛选、培育、移栽适生性优良的吸附类、缠绕类多年生木本藤本植物，配套种植基质、生态种植槽、攀爬结构及适配工法，在岩质边坡上建植植被的生态修复技术方法。</w:t>
      </w:r>
    </w:p>
    <w:p w14:paraId="036D04E6">
      <w:pPr>
        <w:pStyle w:val="20"/>
        <w:outlineLvl w:val="1"/>
      </w:pPr>
    </w:p>
    <w:p w14:paraId="086192F8">
      <w:pPr>
        <w:pStyle w:val="20"/>
        <w:numPr>
          <w:ilvl w:val="1"/>
          <w:numId w:val="0"/>
        </w:numPr>
        <w:ind w:firstLine="420" w:firstLineChars="200"/>
        <w:outlineLvl w:val="1"/>
        <w:rPr>
          <w:rFonts w:hint="eastAsia" w:asciiTheme="minorEastAsia" w:hAnsiTheme="minorEastAsia" w:eastAsiaTheme="minorEastAsia" w:cstheme="minorEastAsia"/>
        </w:rPr>
      </w:pPr>
      <w:r>
        <w:rPr>
          <w:rFonts w:hint="eastAsia"/>
        </w:rPr>
        <w:t>挂网客土喷播技术 netting and soil spraying technology</w:t>
      </w:r>
    </w:p>
    <w:p w14:paraId="224FFC67">
      <w:pPr>
        <w:pStyle w:val="1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将种植土、有机物料、植物种子及稳固剂等客土物料按比例配制成泥浆，通过客土喷播机喷射到边坡坡面形成一定厚度的固土层，并结合边坡立体固网技术，构建边坡植被的技术方法。</w:t>
      </w:r>
    </w:p>
    <w:p w14:paraId="7192B9C1">
      <w:pPr>
        <w:pStyle w:val="20"/>
        <w:outlineLvl w:val="1"/>
      </w:pPr>
    </w:p>
    <w:p w14:paraId="24ED261D">
      <w:pPr>
        <w:pStyle w:val="20"/>
        <w:numPr>
          <w:ilvl w:val="1"/>
          <w:numId w:val="0"/>
        </w:numPr>
        <w:ind w:firstLine="420" w:firstLineChars="200"/>
        <w:outlineLvl w:val="1"/>
        <w:rPr>
          <w:rFonts w:hint="eastAsia" w:asciiTheme="minorEastAsia" w:hAnsiTheme="minorEastAsia" w:eastAsiaTheme="minorEastAsia" w:cstheme="minorEastAsia"/>
        </w:rPr>
      </w:pPr>
      <w:r>
        <w:rPr>
          <w:rFonts w:hint="eastAsia"/>
        </w:rPr>
        <w:t>植被混凝土喷播技术 vegetation concrete spraying technology</w:t>
      </w:r>
    </w:p>
    <w:p w14:paraId="38DBE9E5">
      <w:pPr>
        <w:pStyle w:val="1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将农家肥、菌渣、锯末、秸秆、谷糠等天然有机物料，经粉碎、混配、堆置发酵等工艺处理后，再与耕植土、水泥、基材改良剂、植物种子和水混合均匀，喷射到坡面形成一定厚度的固土层，建植边坡植被的技术方法。</w:t>
      </w:r>
    </w:p>
    <w:p w14:paraId="67A8DB58">
      <w:pPr>
        <w:pStyle w:val="19"/>
        <w:outlineLvl w:val="0"/>
      </w:pPr>
      <w:bookmarkStart w:id="8" w:name="_Toc20193"/>
      <w:r>
        <w:rPr>
          <w:rFonts w:hint="eastAsia"/>
        </w:rPr>
        <w:t>总体要求</w:t>
      </w:r>
      <w:bookmarkEnd w:id="8"/>
    </w:p>
    <w:p w14:paraId="53F3A10D">
      <w:pPr>
        <w:pStyle w:val="20"/>
        <w:outlineLvl w:val="1"/>
      </w:pPr>
      <w:r>
        <w:rPr>
          <w:rFonts w:hint="eastAsia"/>
        </w:rPr>
        <w:t>一般要求</w:t>
      </w:r>
    </w:p>
    <w:p w14:paraId="447640A5">
      <w:pPr>
        <w:pStyle w:val="23"/>
        <w:spacing w:before="156" w:after="156"/>
        <w:rPr>
          <w:rFonts w:hint="eastAsia" w:ascii="宋体" w:hAnsi="宋体" w:eastAsia="宋体" w:cs="宋体"/>
        </w:rPr>
      </w:pPr>
      <w:r>
        <w:rPr>
          <w:rFonts w:hint="eastAsia" w:ascii="宋体" w:hAnsi="宋体" w:eastAsia="宋体" w:cs="宋体"/>
        </w:rPr>
        <w:t>矿山高陡岩质边坡生态修复工程规划、实施之前，应按 GB 50021、GB 50330 和 GB/T 38509 中的相关规定进行边坡稳定性评价，并应符合下列规定：</w:t>
      </w:r>
    </w:p>
    <w:p w14:paraId="079ADA61">
      <w:pPr>
        <w:pStyle w:val="41"/>
        <w:ind w:hanging="420"/>
      </w:pPr>
      <w:r>
        <w:rPr>
          <w:rFonts w:hint="eastAsia"/>
        </w:rPr>
        <w:t>未达到稳定状态的边坡应采取工程治理措施；</w:t>
      </w:r>
    </w:p>
    <w:p w14:paraId="5AB865F2">
      <w:pPr>
        <w:pStyle w:val="41"/>
        <w:ind w:hanging="420"/>
      </w:pPr>
      <w:r>
        <w:rPr>
          <w:rFonts w:hint="eastAsia" w:asciiTheme="minorEastAsia" w:hAnsiTheme="minorEastAsia" w:eastAsiaTheme="minorEastAsia" w:cstheme="minorEastAsia"/>
          <w:szCs w:val="21"/>
        </w:rPr>
        <w:t>边坡防护措施应为边坡复绿措施及植物生长创造有利条件。</w:t>
      </w:r>
    </w:p>
    <w:p w14:paraId="6F2BE348">
      <w:pPr>
        <w:pStyle w:val="20"/>
        <w:numPr>
          <w:ilvl w:val="2"/>
          <w:numId w:val="1"/>
        </w:numPr>
        <w:outlineLvl w:val="1"/>
        <w:rPr>
          <w:rFonts w:hint="eastAsia" w:ascii="宋体" w:hAnsi="宋体" w:eastAsia="宋体" w:cs="宋体"/>
        </w:rPr>
      </w:pPr>
      <w:r>
        <w:rPr>
          <w:rFonts w:hint="eastAsia" w:ascii="宋体" w:hAnsi="宋体" w:eastAsia="宋体" w:cs="宋体"/>
        </w:rPr>
        <w:t>矿山高陡岩质边坡一般因立地条件复杂、生境恶劣，在生态修复工程实施前，边坡现场宜做补充调查及坡面分区调查，并应符合下列规定：</w:t>
      </w:r>
    </w:p>
    <w:p w14:paraId="01BB305B">
      <w:pPr>
        <w:pStyle w:val="41"/>
        <w:numPr>
          <w:ilvl w:val="0"/>
          <w:numId w:val="16"/>
        </w:numPr>
        <w:ind w:hanging="420"/>
      </w:pPr>
      <w:r>
        <w:rPr>
          <w:rFonts w:hint="eastAsia"/>
        </w:rPr>
        <w:t>调查边坡海拔、坡质、坡向、坡高和分级数等立地条件；</w:t>
      </w:r>
    </w:p>
    <w:p w14:paraId="053AB574">
      <w:pPr>
        <w:pStyle w:val="41"/>
        <w:numPr>
          <w:ilvl w:val="0"/>
          <w:numId w:val="16"/>
        </w:numPr>
        <w:ind w:hanging="420"/>
      </w:pPr>
      <w:r>
        <w:rPr>
          <w:rFonts w:hint="eastAsia"/>
        </w:rPr>
        <w:t>调查边坡及其周边植被类型、林相结构、乡土优势植物物种；</w:t>
      </w:r>
    </w:p>
    <w:p w14:paraId="384FE4EE">
      <w:pPr>
        <w:pStyle w:val="41"/>
        <w:numPr>
          <w:ilvl w:val="0"/>
          <w:numId w:val="16"/>
        </w:numPr>
        <w:ind w:hanging="420"/>
      </w:pPr>
      <w:r>
        <w:rPr>
          <w:rFonts w:hint="eastAsia"/>
        </w:rPr>
        <w:t>调查边坡土壤类型及周边土源地土壤，结合实验室分析，查明土壤结构、肥力、有机质和pH值等指标及保水性。</w:t>
      </w:r>
    </w:p>
    <w:p w14:paraId="6C0E5B5C">
      <w:pPr>
        <w:pStyle w:val="23"/>
        <w:spacing w:before="156" w:after="156"/>
        <w:rPr>
          <w:rFonts w:hint="eastAsia" w:ascii="宋体" w:hAnsi="宋体" w:eastAsia="宋体" w:cs="宋体"/>
        </w:rPr>
      </w:pPr>
      <w:r>
        <w:rPr>
          <w:rFonts w:hint="eastAsia" w:ascii="宋体" w:hAnsi="宋体" w:eastAsia="宋体" w:cs="宋体"/>
        </w:rPr>
        <w:t>坚持问题导向、经济合理、科学实用原则选择修复措施，矿山高陡岩质边坡生态修复工程技术主要包括边坡防护技术、边坡复绿技术、监测与管护技术，各项技术措施应综合考虑、相互衔接、配合使用，以实现边坡安全稳定、土壤重构、植被重建及生态系统功能恢复的目标。</w:t>
      </w:r>
    </w:p>
    <w:p w14:paraId="7DD3D254">
      <w:pPr>
        <w:pStyle w:val="20"/>
        <w:outlineLvl w:val="1"/>
      </w:pPr>
      <w:r>
        <w:rPr>
          <w:rFonts w:hint="eastAsia"/>
        </w:rPr>
        <w:t>基本原则</w:t>
      </w:r>
    </w:p>
    <w:p w14:paraId="4238CEBC">
      <w:pPr>
        <w:pStyle w:val="23"/>
        <w:spacing w:before="156" w:after="156"/>
        <w:rPr>
          <w:rFonts w:hint="eastAsia" w:ascii="宋体" w:hAnsi="宋体" w:eastAsia="宋体" w:cs="宋体"/>
        </w:rPr>
      </w:pPr>
      <w:r>
        <w:rPr>
          <w:rFonts w:hint="eastAsia" w:ascii="宋体" w:hAnsi="宋体" w:eastAsia="宋体" w:cs="宋体"/>
        </w:rPr>
        <w:t>安全稳定，兼顾景观。矿山高陡岩质边坡生态修复措施实施需建立在稳定坡面，且边坡防护措施不能破坏边坡结构安全，并与边坡周边景观协调。</w:t>
      </w:r>
    </w:p>
    <w:p w14:paraId="185FE3A2">
      <w:pPr>
        <w:pStyle w:val="23"/>
        <w:spacing w:before="156" w:after="156"/>
        <w:rPr>
          <w:rFonts w:hint="eastAsia" w:ascii="宋体" w:hAnsi="宋体" w:eastAsia="宋体" w:cs="宋体"/>
        </w:rPr>
      </w:pPr>
      <w:r>
        <w:rPr>
          <w:rFonts w:hint="eastAsia" w:ascii="宋体" w:hAnsi="宋体" w:eastAsia="宋体" w:cs="宋体"/>
        </w:rPr>
        <w:t>因地制宜，统筹协调。矿山高陡岩质边坡往往立地条件复杂多变，应根据不同坡段的坡质、坡向、坡高等立地条件，统筹边坡防护技术、边坡复绿技术等修复措施的综合应用。</w:t>
      </w:r>
    </w:p>
    <w:p w14:paraId="31AC6F75">
      <w:pPr>
        <w:pStyle w:val="23"/>
        <w:spacing w:before="156" w:after="156"/>
      </w:pPr>
      <w:r>
        <w:rPr>
          <w:rFonts w:hint="eastAsia" w:ascii="宋体" w:hAnsi="宋体" w:eastAsia="宋体" w:cs="宋体"/>
        </w:rPr>
        <w:t>经济适用，技术可行。科学选用先进适宜的高陡边坡生态修复技术，降低修复成本；合理构建植物群落，缩短管护周期，促进植被正向演替，后期以自然恢复为主。</w:t>
      </w:r>
    </w:p>
    <w:p w14:paraId="3F3C986C">
      <w:pPr>
        <w:pStyle w:val="20"/>
        <w:outlineLvl w:val="1"/>
      </w:pPr>
      <w:r>
        <w:rPr>
          <w:rFonts w:hint="eastAsia"/>
        </w:rPr>
        <w:t>工作流程</w:t>
      </w:r>
    </w:p>
    <w:p w14:paraId="12B03490">
      <w:pPr>
        <w:widowControl/>
        <w:ind w:firstLine="420" w:firstLineChars="200"/>
        <w:jc w:val="left"/>
      </w:pPr>
      <w:r>
        <w:rPr>
          <w:rFonts w:hint="eastAsia"/>
        </w:rPr>
        <w:t>在收集、整理并分析矿山生态修复方案及相关资料的基础上，对露天矿山高陡岩质边坡开展现场调查评价，明确边坡生态修复目标，选择适配的边坡生态修复技术并组织实施，露天矿山高陡岩质边坡生态修复技术工作流程详见图1。</w:t>
      </w:r>
    </w:p>
    <w:p w14:paraId="0CDD3D2D">
      <w:pPr>
        <w:pStyle w:val="10"/>
        <w:ind w:firstLine="0" w:firstLineChars="0"/>
        <w:jc w:val="center"/>
      </w:pPr>
      <w:r>
        <w:rPr>
          <w:rFonts w:hint="eastAsia"/>
        </w:rPr>
        <w:drawing>
          <wp:inline distT="0" distB="0" distL="114300" distR="114300">
            <wp:extent cx="2364740" cy="2879725"/>
            <wp:effectExtent l="0" t="0" r="12700" b="635"/>
            <wp:docPr id="4" name="图片 4" descr="C:/Users/Lenovo/Desktop/5f7d763ca68c7b1a7a9da096ccbc72e2.jpg5f7d763ca68c7b1a7a9da096ccbc72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Lenovo/Desktop/5f7d763ca68c7b1a7a9da096ccbc72e2.jpg5f7d763ca68c7b1a7a9da096ccbc72e2"/>
                    <pic:cNvPicPr>
                      <a:picLocks noChangeAspect="1"/>
                    </pic:cNvPicPr>
                  </pic:nvPicPr>
                  <pic:blipFill>
                    <a:blip r:embed="rId13"/>
                    <a:srcRect/>
                    <a:stretch>
                      <a:fillRect/>
                    </a:stretch>
                  </pic:blipFill>
                  <pic:spPr>
                    <a:xfrm>
                      <a:off x="0" y="0"/>
                      <a:ext cx="2364740" cy="2879725"/>
                    </a:xfrm>
                    <a:prstGeom prst="rect">
                      <a:avLst/>
                    </a:prstGeom>
                  </pic:spPr>
                </pic:pic>
              </a:graphicData>
            </a:graphic>
          </wp:inline>
        </w:drawing>
      </w:r>
    </w:p>
    <w:p w14:paraId="1E80980E">
      <w:pPr>
        <w:pStyle w:val="36"/>
      </w:pPr>
      <w:r>
        <w:rPr>
          <w:rFonts w:hint="eastAsia"/>
        </w:rPr>
        <w:t>露天矿山高陡岩质边坡生态修复技术工作流程图</w:t>
      </w:r>
    </w:p>
    <w:p w14:paraId="4656071C">
      <w:pPr>
        <w:pStyle w:val="19"/>
        <w:outlineLvl w:val="0"/>
      </w:pPr>
      <w:bookmarkStart w:id="9" w:name="_Toc5181"/>
      <w:r>
        <w:rPr>
          <w:rFonts w:hint="eastAsia"/>
        </w:rPr>
        <w:t>边坡防护技术</w:t>
      </w:r>
      <w:bookmarkEnd w:id="9"/>
    </w:p>
    <w:p w14:paraId="6D5B9596">
      <w:pPr>
        <w:pStyle w:val="20"/>
        <w:outlineLvl w:val="1"/>
        <w:rPr>
          <w:rFonts w:hint="eastAsia" w:asciiTheme="minorEastAsia" w:hAnsiTheme="minorEastAsia" w:eastAsiaTheme="minorEastAsia" w:cstheme="minorEastAsia"/>
        </w:rPr>
      </w:pPr>
      <w:r>
        <w:rPr>
          <w:rFonts w:hint="eastAsia"/>
        </w:rPr>
        <w:t>一般规定</w:t>
      </w:r>
    </w:p>
    <w:p w14:paraId="6D868237">
      <w:pPr>
        <w:pStyle w:val="23"/>
        <w:spacing w:before="156" w:after="156"/>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对不同高陡岩质边坡地质条件应匹配适宜的防护技术，技术措施主要包括地质安全隐患消除技术、坡面整形技术、集排水技术。矿山高陡岩质边坡防护技术措施应符合表1的规定。</w:t>
      </w:r>
    </w:p>
    <w:p w14:paraId="5C3E7961">
      <w:pPr>
        <w:pStyle w:val="38"/>
        <w:rPr>
          <w:rFonts w:hint="eastAsia" w:hAnsi="黑体" w:cs="黑体"/>
          <w:szCs w:val="21"/>
        </w:rPr>
      </w:pPr>
      <w:r>
        <w:rPr>
          <w:rFonts w:hint="eastAsia" w:hAnsi="黑体" w:cs="黑体"/>
          <w:szCs w:val="21"/>
        </w:rPr>
        <w:t>矿山高陡岩质边坡防护技术措施表</w:t>
      </w:r>
    </w:p>
    <w:tbl>
      <w:tblPr>
        <w:tblStyle w:val="13"/>
        <w:tblW w:w="496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986"/>
        <w:gridCol w:w="2173"/>
        <w:gridCol w:w="4905"/>
      </w:tblGrid>
      <w:tr w14:paraId="04691C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9" w:type="pct"/>
            <w:gridSpan w:val="2"/>
            <w:tcBorders>
              <w:bottom w:val="single" w:color="auto" w:sz="8" w:space="0"/>
            </w:tcBorders>
            <w:vAlign w:val="center"/>
          </w:tcPr>
          <w:p w14:paraId="63C372C0">
            <w:pPr>
              <w:pStyle w:val="62"/>
            </w:pPr>
            <w:r>
              <w:rPr>
                <w:rFonts w:hint="eastAsia"/>
              </w:rPr>
              <w:t>分部</w:t>
            </w:r>
          </w:p>
        </w:tc>
        <w:tc>
          <w:tcPr>
            <w:tcW w:w="1142" w:type="pct"/>
            <w:tcBorders>
              <w:bottom w:val="single" w:color="auto" w:sz="8" w:space="0"/>
            </w:tcBorders>
            <w:vAlign w:val="center"/>
          </w:tcPr>
          <w:p w14:paraId="5C161AE5">
            <w:pPr>
              <w:pStyle w:val="62"/>
            </w:pPr>
            <w:r>
              <w:rPr>
                <w:rFonts w:hint="eastAsia"/>
              </w:rPr>
              <w:t>分项</w:t>
            </w:r>
          </w:p>
        </w:tc>
        <w:tc>
          <w:tcPr>
            <w:tcW w:w="2578" w:type="pct"/>
            <w:tcBorders>
              <w:bottom w:val="single" w:color="auto" w:sz="8" w:space="0"/>
            </w:tcBorders>
            <w:vAlign w:val="center"/>
          </w:tcPr>
          <w:p w14:paraId="5712B9A7">
            <w:pPr>
              <w:pStyle w:val="62"/>
            </w:pPr>
            <w:r>
              <w:rPr>
                <w:rFonts w:hint="eastAsia"/>
              </w:rPr>
              <w:t>技术方法</w:t>
            </w:r>
          </w:p>
        </w:tc>
      </w:tr>
      <w:tr w14:paraId="70F10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9" w:type="pct"/>
            <w:gridSpan w:val="2"/>
            <w:vMerge w:val="restart"/>
            <w:tcBorders>
              <w:top w:val="single" w:color="auto" w:sz="8" w:space="0"/>
            </w:tcBorders>
            <w:vAlign w:val="center"/>
          </w:tcPr>
          <w:p w14:paraId="4F6AC263">
            <w:pPr>
              <w:pStyle w:val="62"/>
            </w:pPr>
            <w:r>
              <w:rPr>
                <w:rFonts w:hint="eastAsia"/>
              </w:rPr>
              <w:t>地质安全隐患消除</w:t>
            </w:r>
          </w:p>
        </w:tc>
        <w:tc>
          <w:tcPr>
            <w:tcW w:w="1142" w:type="pct"/>
            <w:tcBorders>
              <w:top w:val="single" w:color="auto" w:sz="8" w:space="0"/>
            </w:tcBorders>
            <w:vAlign w:val="center"/>
          </w:tcPr>
          <w:p w14:paraId="4DB03A36">
            <w:pPr>
              <w:pStyle w:val="62"/>
            </w:pPr>
            <w:r>
              <w:rPr>
                <w:rFonts w:hint="eastAsia"/>
              </w:rPr>
              <w:t>危岩体清除</w:t>
            </w:r>
          </w:p>
        </w:tc>
        <w:tc>
          <w:tcPr>
            <w:tcW w:w="2578" w:type="pct"/>
            <w:tcBorders>
              <w:top w:val="single" w:color="auto" w:sz="8" w:space="0"/>
            </w:tcBorders>
            <w:vAlign w:val="center"/>
          </w:tcPr>
          <w:p w14:paraId="7CB6192F">
            <w:pPr>
              <w:pStyle w:val="62"/>
            </w:pPr>
            <w:r>
              <w:rPr>
                <w:rFonts w:hint="eastAsia"/>
              </w:rPr>
              <w:t>人工、机械、解离、静态爆破、控制爆破</w:t>
            </w:r>
          </w:p>
        </w:tc>
      </w:tr>
      <w:tr w14:paraId="7D0B49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9" w:type="pct"/>
            <w:gridSpan w:val="2"/>
            <w:vMerge w:val="continue"/>
            <w:vAlign w:val="center"/>
          </w:tcPr>
          <w:p w14:paraId="6A599907">
            <w:pPr>
              <w:pStyle w:val="62"/>
            </w:pPr>
          </w:p>
        </w:tc>
        <w:tc>
          <w:tcPr>
            <w:tcW w:w="1142" w:type="pct"/>
            <w:vAlign w:val="center"/>
          </w:tcPr>
          <w:p w14:paraId="0A508FC4">
            <w:pPr>
              <w:pStyle w:val="62"/>
            </w:pPr>
            <w:r>
              <w:rPr>
                <w:rFonts w:hint="eastAsia"/>
              </w:rPr>
              <w:t>边坡防护</w:t>
            </w:r>
          </w:p>
        </w:tc>
        <w:tc>
          <w:tcPr>
            <w:tcW w:w="2578" w:type="pct"/>
            <w:vAlign w:val="center"/>
          </w:tcPr>
          <w:p w14:paraId="4FA80D19">
            <w:pPr>
              <w:pStyle w:val="62"/>
            </w:pPr>
            <w:r>
              <w:rPr>
                <w:rFonts w:hint="eastAsia"/>
              </w:rPr>
              <w:t>锚固、锚喷、抗滑桩、注浆、锚索框架梁、柔性防护网、挡墙、桩板墙、落石平台、格宾石笼、消能桩群、网后碎石缓冲垫层</w:t>
            </w:r>
          </w:p>
        </w:tc>
      </w:tr>
      <w:tr w14:paraId="09E4D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9" w:type="pct"/>
            <w:gridSpan w:val="2"/>
            <w:vMerge w:val="restart"/>
            <w:vAlign w:val="center"/>
          </w:tcPr>
          <w:p w14:paraId="34FF6BAB">
            <w:pPr>
              <w:pStyle w:val="62"/>
            </w:pPr>
            <w:r>
              <w:rPr>
                <w:rFonts w:hint="eastAsia"/>
              </w:rPr>
              <w:t>坡面整形</w:t>
            </w:r>
          </w:p>
        </w:tc>
        <w:tc>
          <w:tcPr>
            <w:tcW w:w="1142" w:type="pct"/>
            <w:vAlign w:val="center"/>
          </w:tcPr>
          <w:p w14:paraId="45D24C13">
            <w:pPr>
              <w:pStyle w:val="62"/>
            </w:pPr>
            <w:r>
              <w:rPr>
                <w:rFonts w:hint="eastAsia"/>
              </w:rPr>
              <w:t>坡面修整</w:t>
            </w:r>
          </w:p>
        </w:tc>
        <w:tc>
          <w:tcPr>
            <w:tcW w:w="2578" w:type="pct"/>
            <w:vAlign w:val="center"/>
          </w:tcPr>
          <w:p w14:paraId="2FBD3D49">
            <w:pPr>
              <w:pStyle w:val="62"/>
            </w:pPr>
            <w:r>
              <w:rPr>
                <w:rFonts w:hint="eastAsia"/>
              </w:rPr>
              <w:t>削坡减载、台阶再造、回填、整平</w:t>
            </w:r>
          </w:p>
        </w:tc>
      </w:tr>
      <w:tr w14:paraId="73827D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79" w:type="pct"/>
            <w:gridSpan w:val="2"/>
            <w:vMerge w:val="continue"/>
            <w:vAlign w:val="center"/>
          </w:tcPr>
          <w:p w14:paraId="2C454588">
            <w:pPr>
              <w:pStyle w:val="62"/>
            </w:pPr>
          </w:p>
        </w:tc>
        <w:tc>
          <w:tcPr>
            <w:tcW w:w="1142" w:type="pct"/>
            <w:vAlign w:val="center"/>
          </w:tcPr>
          <w:p w14:paraId="78893610">
            <w:pPr>
              <w:pStyle w:val="62"/>
            </w:pPr>
            <w:r>
              <w:rPr>
                <w:rFonts w:hint="eastAsia"/>
              </w:rPr>
              <w:t>微地形塑造</w:t>
            </w:r>
          </w:p>
        </w:tc>
        <w:tc>
          <w:tcPr>
            <w:tcW w:w="2578" w:type="pct"/>
            <w:vAlign w:val="center"/>
          </w:tcPr>
          <w:p w14:paraId="42EC04D7">
            <w:pPr>
              <w:pStyle w:val="62"/>
            </w:pPr>
            <w:r>
              <w:rPr>
                <w:rFonts w:hint="eastAsia"/>
              </w:rPr>
              <w:t>种植槽构筑、机械凿毛</w:t>
            </w:r>
          </w:p>
        </w:tc>
      </w:tr>
      <w:tr w14:paraId="0DC67E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61" w:type="pct"/>
            <w:vMerge w:val="restart"/>
            <w:vAlign w:val="center"/>
          </w:tcPr>
          <w:p w14:paraId="7022F48D">
            <w:pPr>
              <w:pStyle w:val="62"/>
            </w:pPr>
            <w:r>
              <w:rPr>
                <w:rFonts w:hint="eastAsia"/>
              </w:rPr>
              <w:t>集排水</w:t>
            </w:r>
          </w:p>
        </w:tc>
        <w:tc>
          <w:tcPr>
            <w:tcW w:w="518" w:type="pct"/>
            <w:vMerge w:val="restart"/>
            <w:vAlign w:val="center"/>
          </w:tcPr>
          <w:p w14:paraId="080CB5D8">
            <w:pPr>
              <w:pStyle w:val="62"/>
            </w:pPr>
            <w:r>
              <w:rPr>
                <w:rFonts w:hint="eastAsia"/>
              </w:rPr>
              <w:t>截排水</w:t>
            </w:r>
          </w:p>
        </w:tc>
        <w:tc>
          <w:tcPr>
            <w:tcW w:w="1142" w:type="pct"/>
            <w:vAlign w:val="center"/>
          </w:tcPr>
          <w:p w14:paraId="6AA8D33E">
            <w:pPr>
              <w:pStyle w:val="62"/>
            </w:pPr>
            <w:r>
              <w:rPr>
                <w:rFonts w:hint="eastAsia"/>
              </w:rPr>
              <w:t>地表水排水</w:t>
            </w:r>
          </w:p>
        </w:tc>
        <w:tc>
          <w:tcPr>
            <w:tcW w:w="2578" w:type="pct"/>
            <w:vAlign w:val="center"/>
          </w:tcPr>
          <w:p w14:paraId="69BCDF11">
            <w:pPr>
              <w:pStyle w:val="62"/>
            </w:pPr>
            <w:r>
              <w:rPr>
                <w:rFonts w:hint="eastAsia"/>
              </w:rPr>
              <w:t>截水沟、排水沟、消能池、沉砂池、跌水、急流槽</w:t>
            </w:r>
          </w:p>
        </w:tc>
      </w:tr>
      <w:tr w14:paraId="1A20D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61" w:type="pct"/>
            <w:vMerge w:val="continue"/>
            <w:vAlign w:val="center"/>
          </w:tcPr>
          <w:p w14:paraId="12EDAB24">
            <w:pPr>
              <w:pStyle w:val="62"/>
            </w:pPr>
          </w:p>
        </w:tc>
        <w:tc>
          <w:tcPr>
            <w:tcW w:w="518" w:type="pct"/>
            <w:vMerge w:val="continue"/>
            <w:vAlign w:val="center"/>
          </w:tcPr>
          <w:p w14:paraId="42CB41BF">
            <w:pPr>
              <w:pStyle w:val="62"/>
            </w:pPr>
          </w:p>
        </w:tc>
        <w:tc>
          <w:tcPr>
            <w:tcW w:w="1142" w:type="pct"/>
            <w:vAlign w:val="center"/>
          </w:tcPr>
          <w:p w14:paraId="0AA602AC">
            <w:pPr>
              <w:pStyle w:val="62"/>
            </w:pPr>
            <w:r>
              <w:rPr>
                <w:rFonts w:hint="eastAsia"/>
              </w:rPr>
              <w:t>地下水排水</w:t>
            </w:r>
          </w:p>
        </w:tc>
        <w:tc>
          <w:tcPr>
            <w:tcW w:w="2578" w:type="pct"/>
            <w:vAlign w:val="center"/>
          </w:tcPr>
          <w:p w14:paraId="1DC14280">
            <w:pPr>
              <w:pStyle w:val="62"/>
            </w:pPr>
            <w:r>
              <w:rPr>
                <w:rFonts w:hint="eastAsia"/>
              </w:rPr>
              <w:t>渗流沟、疏排孔、泄水孔</w:t>
            </w:r>
          </w:p>
        </w:tc>
      </w:tr>
      <w:tr w14:paraId="36FD6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61" w:type="pct"/>
            <w:vMerge w:val="continue"/>
            <w:vAlign w:val="center"/>
          </w:tcPr>
          <w:p w14:paraId="79C935CF">
            <w:pPr>
              <w:pStyle w:val="62"/>
            </w:pPr>
          </w:p>
        </w:tc>
        <w:tc>
          <w:tcPr>
            <w:tcW w:w="518" w:type="pct"/>
            <w:vMerge w:val="restart"/>
            <w:vAlign w:val="center"/>
          </w:tcPr>
          <w:p w14:paraId="372236BE">
            <w:pPr>
              <w:pStyle w:val="62"/>
            </w:pPr>
            <w:r>
              <w:rPr>
                <w:rFonts w:hint="eastAsia"/>
              </w:rPr>
              <w:t>集蓄水</w:t>
            </w:r>
          </w:p>
        </w:tc>
        <w:tc>
          <w:tcPr>
            <w:tcW w:w="1142" w:type="pct"/>
            <w:vAlign w:val="center"/>
          </w:tcPr>
          <w:p w14:paraId="369AEA45">
            <w:pPr>
              <w:pStyle w:val="62"/>
            </w:pPr>
            <w:r>
              <w:rPr>
                <w:rFonts w:hint="eastAsia"/>
              </w:rPr>
              <w:t>集水措施</w:t>
            </w:r>
          </w:p>
        </w:tc>
        <w:tc>
          <w:tcPr>
            <w:tcW w:w="2578" w:type="pct"/>
            <w:vAlign w:val="center"/>
          </w:tcPr>
          <w:p w14:paraId="701A2B56">
            <w:pPr>
              <w:pStyle w:val="62"/>
            </w:pPr>
            <w:r>
              <w:rPr>
                <w:rFonts w:hint="eastAsia"/>
              </w:rPr>
              <w:t>人工集水面、天然集水面</w:t>
            </w:r>
          </w:p>
        </w:tc>
      </w:tr>
      <w:tr w14:paraId="31B788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61" w:type="pct"/>
            <w:vMerge w:val="continue"/>
            <w:vAlign w:val="center"/>
          </w:tcPr>
          <w:p w14:paraId="334C0626">
            <w:pPr>
              <w:pStyle w:val="62"/>
            </w:pPr>
          </w:p>
        </w:tc>
        <w:tc>
          <w:tcPr>
            <w:tcW w:w="518" w:type="pct"/>
            <w:vMerge w:val="continue"/>
            <w:vAlign w:val="center"/>
          </w:tcPr>
          <w:p w14:paraId="0694B587">
            <w:pPr>
              <w:pStyle w:val="62"/>
            </w:pPr>
          </w:p>
        </w:tc>
        <w:tc>
          <w:tcPr>
            <w:tcW w:w="1142" w:type="pct"/>
            <w:vAlign w:val="center"/>
          </w:tcPr>
          <w:p w14:paraId="1204A7BB">
            <w:pPr>
              <w:pStyle w:val="62"/>
            </w:pPr>
            <w:r>
              <w:rPr>
                <w:rFonts w:hint="eastAsia"/>
              </w:rPr>
              <w:t>蓄水措施</w:t>
            </w:r>
          </w:p>
        </w:tc>
        <w:tc>
          <w:tcPr>
            <w:tcW w:w="2578" w:type="pct"/>
            <w:vAlign w:val="center"/>
          </w:tcPr>
          <w:p w14:paraId="57A36070">
            <w:pPr>
              <w:pStyle w:val="62"/>
            </w:pPr>
            <w:r>
              <w:rPr>
                <w:rFonts w:hint="eastAsia"/>
              </w:rPr>
              <w:t>蓄水池、蓄水容器</w:t>
            </w:r>
          </w:p>
        </w:tc>
      </w:tr>
    </w:tbl>
    <w:p w14:paraId="6902FC1C">
      <w:pPr>
        <w:pStyle w:val="10"/>
        <w:ind w:firstLine="0" w:firstLineChars="0"/>
      </w:pPr>
    </w:p>
    <w:p w14:paraId="328E9EE8">
      <w:pPr>
        <w:pStyle w:val="23"/>
        <w:spacing w:before="156" w:after="156"/>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防护措施应和周边环境相协调。</w:t>
      </w:r>
    </w:p>
    <w:p w14:paraId="2472F0DE">
      <w:pPr>
        <w:pStyle w:val="23"/>
        <w:spacing w:before="156" w:after="156"/>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高陡岩质边坡防护措施，需基于“结构面控制+主动加固”原则，综合选用工程加固、削坡减载和截排水方法。</w:t>
      </w:r>
    </w:p>
    <w:p w14:paraId="688F2C2B">
      <w:pPr>
        <w:pStyle w:val="20"/>
        <w:outlineLvl w:val="1"/>
        <w:rPr>
          <w:rFonts w:hint="eastAsia" w:asciiTheme="minorEastAsia" w:hAnsiTheme="minorEastAsia" w:eastAsiaTheme="minorEastAsia" w:cstheme="minorEastAsia"/>
        </w:rPr>
      </w:pPr>
      <w:r>
        <w:rPr>
          <w:rFonts w:hint="eastAsia"/>
        </w:rPr>
        <w:t>地质安全隐患消除技术</w:t>
      </w:r>
    </w:p>
    <w:p w14:paraId="579E5E50">
      <w:pPr>
        <w:pStyle w:val="23"/>
        <w:spacing w:before="156" w:after="156"/>
        <w:outlineLvl w:val="2"/>
      </w:pPr>
      <w:r>
        <w:rPr>
          <w:rFonts w:hint="eastAsia"/>
        </w:rPr>
        <w:t>一般规定</w:t>
      </w:r>
    </w:p>
    <w:p w14:paraId="71950418">
      <w:pPr>
        <w:pStyle w:val="41"/>
        <w:numPr>
          <w:ilvl w:val="0"/>
          <w:numId w:val="17"/>
        </w:numPr>
        <w:ind w:hanging="420"/>
      </w:pPr>
      <w:r>
        <w:rPr>
          <w:rFonts w:hint="eastAsia"/>
        </w:rPr>
        <w:t>边坡地质安全隐患消除技术的实施，应根据边坡稳定性评价结果，结合边坡安全等级、矿山生产要求开展。</w:t>
      </w:r>
    </w:p>
    <w:p w14:paraId="7CCAEF2C">
      <w:pPr>
        <w:pStyle w:val="41"/>
        <w:numPr>
          <w:ilvl w:val="0"/>
          <w:numId w:val="17"/>
        </w:numPr>
        <w:ind w:hanging="420"/>
      </w:pPr>
      <w:r>
        <w:rPr>
          <w:rFonts w:hint="eastAsia"/>
        </w:rPr>
        <w:t>边坡地质安全隐患消除工程包括危岩体清除和边坡防护等，各项防护技术应统筹考虑，兼顾边坡复绿。</w:t>
      </w:r>
    </w:p>
    <w:p w14:paraId="10465EE7">
      <w:pPr>
        <w:pStyle w:val="23"/>
        <w:spacing w:before="156" w:after="156"/>
        <w:outlineLvl w:val="2"/>
      </w:pPr>
      <w:r>
        <w:rPr>
          <w:rFonts w:hint="eastAsia"/>
        </w:rPr>
        <w:t>危岩体清除</w:t>
      </w:r>
    </w:p>
    <w:p w14:paraId="76B37764">
      <w:pPr>
        <w:pStyle w:val="41"/>
        <w:numPr>
          <w:ilvl w:val="0"/>
          <w:numId w:val="18"/>
        </w:numPr>
        <w:ind w:hanging="420"/>
      </w:pPr>
      <w:r>
        <w:rPr>
          <w:rFonts w:hint="eastAsia"/>
        </w:rPr>
        <w:t>满足失稳迹象明显、危岩体安全系数</w:t>
      </w:r>
      <w:r>
        <w:rPr>
          <w:rFonts w:hint="eastAsia" w:hAnsi="宋体" w:cs="宋体"/>
          <w:szCs w:val="21"/>
        </w:rPr>
        <w:t>＜</w:t>
      </w:r>
      <w:r>
        <w:rPr>
          <w:rFonts w:hint="eastAsia"/>
        </w:rPr>
        <w:t>1.0、边坡工程安全等级</w:t>
      </w:r>
      <w:r>
        <w:rPr>
          <w:rFonts w:hint="eastAsia"/>
        </w:rPr>
        <w:fldChar w:fldCharType="begin"/>
      </w:r>
      <w:r>
        <w:rPr>
          <w:rFonts w:hint="eastAsia"/>
        </w:rPr>
        <w:instrText xml:space="preserve"> = 2 \* ROMAN \* MERGEFORMAT </w:instrText>
      </w:r>
      <w:r>
        <w:rPr>
          <w:rFonts w:hint="eastAsia"/>
        </w:rPr>
        <w:fldChar w:fldCharType="separate"/>
      </w:r>
      <w:r>
        <w:rPr>
          <w:rFonts w:hint="eastAsia"/>
        </w:rPr>
        <w:t>II</w:t>
      </w:r>
      <w:r>
        <w:rPr>
          <w:rFonts w:hint="eastAsia"/>
        </w:rPr>
        <w:fldChar w:fldCharType="end"/>
      </w:r>
      <w:r>
        <w:rPr>
          <w:rFonts w:hint="eastAsia"/>
        </w:rPr>
        <w:t>以上或无法通过工程加固控制风险任意一条时，须清除危岩体，且应采取措施，最大限度减少或消除因清除作业而产生新的危岩体或安全隐患。</w:t>
      </w:r>
    </w:p>
    <w:p w14:paraId="5DF82F5D">
      <w:pPr>
        <w:pStyle w:val="41"/>
        <w:numPr>
          <w:ilvl w:val="0"/>
          <w:numId w:val="18"/>
        </w:numPr>
        <w:overflowPunct w:val="0"/>
        <w:ind w:hanging="420"/>
      </w:pPr>
      <w:r>
        <w:rPr>
          <w:rFonts w:hint="eastAsia"/>
        </w:rPr>
        <w:t>综合考虑现场条件、安全、技术和经济可行性等因素，选择适宜的危岩体清除方法，可采取人工、 机械、解离、静态爆破、控制爆破等措施。</w:t>
      </w:r>
      <w:r>
        <w:rPr>
          <w:rFonts w:hint="eastAsia" w:hAnsi="宋体" w:cs="宋体"/>
          <w:szCs w:val="21"/>
        </w:rPr>
        <w:t>＜</w:t>
      </w:r>
      <w:r>
        <w:rPr>
          <w:rFonts w:hint="eastAsia"/>
        </w:rPr>
        <w:t>5m³的危岩可采用人工凿除，介于 5m³～50m³时可采用静态爆破与机械破碎，</w:t>
      </w:r>
      <w:r>
        <w:rPr>
          <w:rFonts w:hint="eastAsia" w:hAnsi="宋体" w:cs="宋体"/>
          <w:szCs w:val="21"/>
        </w:rPr>
        <w:t>＞</w:t>
      </w:r>
      <w:r>
        <w:rPr>
          <w:rFonts w:hint="eastAsia"/>
        </w:rPr>
        <w:t>50m³时可采用分台阶控制爆破。</w:t>
      </w:r>
    </w:p>
    <w:p w14:paraId="153DDC54">
      <w:pPr>
        <w:pStyle w:val="41"/>
        <w:numPr>
          <w:ilvl w:val="0"/>
          <w:numId w:val="18"/>
        </w:numPr>
        <w:ind w:hanging="420"/>
      </w:pPr>
      <w:r>
        <w:rPr>
          <w:rFonts w:hint="eastAsia"/>
        </w:rPr>
        <w:t>清除危岩体须自上而下开展至稳定岩面，且兼顾边坡复绿所需立地条件。</w:t>
      </w:r>
    </w:p>
    <w:p w14:paraId="013A3851">
      <w:pPr>
        <w:pStyle w:val="41"/>
        <w:numPr>
          <w:ilvl w:val="0"/>
          <w:numId w:val="18"/>
        </w:numPr>
        <w:overflowPunct w:val="0"/>
        <w:ind w:hanging="420"/>
      </w:pPr>
      <w:r>
        <w:rPr>
          <w:rFonts w:hint="eastAsia"/>
        </w:rPr>
        <w:t>危岩体清除应符合 TD/T 1070.4 的规定。</w:t>
      </w:r>
    </w:p>
    <w:p w14:paraId="318F3EF0">
      <w:pPr>
        <w:pStyle w:val="41"/>
        <w:numPr>
          <w:ilvl w:val="0"/>
          <w:numId w:val="0"/>
        </w:numPr>
        <w:overflowPunct w:val="0"/>
        <w:ind w:left="419"/>
      </w:pPr>
    </w:p>
    <w:p w14:paraId="5F6E49EA">
      <w:pPr>
        <w:pStyle w:val="23"/>
        <w:spacing w:before="156" w:after="156"/>
        <w:outlineLvl w:val="2"/>
      </w:pPr>
      <w:r>
        <w:rPr>
          <w:rFonts w:hint="eastAsia"/>
        </w:rPr>
        <w:t>边坡防护</w:t>
      </w:r>
    </w:p>
    <w:p w14:paraId="25167B5A">
      <w:pPr>
        <w:pStyle w:val="41"/>
        <w:numPr>
          <w:ilvl w:val="0"/>
          <w:numId w:val="19"/>
        </w:numPr>
        <w:ind w:hanging="420"/>
      </w:pPr>
      <w:r>
        <w:rPr>
          <w:rFonts w:hint="eastAsia"/>
        </w:rPr>
        <w:t>边坡防护包括主动加固、被动防护等技术，需根据边坡岩性、坡度、风化程度及结构面发育程度等综合确定，各项护坡技术应协同应用。</w:t>
      </w:r>
    </w:p>
    <w:p w14:paraId="6A86E5B0">
      <w:pPr>
        <w:pStyle w:val="41"/>
        <w:numPr>
          <w:ilvl w:val="0"/>
          <w:numId w:val="19"/>
        </w:numPr>
        <w:ind w:hanging="420"/>
      </w:pPr>
      <w:r>
        <w:rPr>
          <w:rFonts w:hint="eastAsia"/>
        </w:rPr>
        <w:t>主动加固</w:t>
      </w:r>
    </w:p>
    <w:p w14:paraId="54268167">
      <w:pPr>
        <w:pStyle w:val="42"/>
      </w:pPr>
      <w:r>
        <w:rPr>
          <w:rFonts w:hint="eastAsia"/>
        </w:rPr>
        <w:t>高陡岩质边坡主动加固措施可选用锚固、锚喷、抗滑桩、注浆、锚索框架梁等措施，需结合地质条件、坡度及高度综合确定。</w:t>
      </w:r>
    </w:p>
    <w:p w14:paraId="643F3EE8">
      <w:pPr>
        <w:pStyle w:val="42"/>
      </w:pPr>
      <w:r>
        <w:rPr>
          <w:rFonts w:hint="eastAsia"/>
        </w:rPr>
        <w:t>存在深层滑移面的边坡，宜优先考虑锚索、抗滑桩支护，兼顾边坡复绿时可综合考虑采用锚索框架梁，锚索、抗滑桩、锚索框架梁，设计应符合 GB 50330 的规定。</w:t>
      </w:r>
    </w:p>
    <w:p w14:paraId="695D3919">
      <w:pPr>
        <w:pStyle w:val="42"/>
      </w:pPr>
      <w:r>
        <w:rPr>
          <w:rFonts w:hint="eastAsia"/>
        </w:rPr>
        <w:t>坡面破碎、裂隙发育浅的边坡，宜优先考虑锚喷、锚杆支护，设计应符合 GB 50330 的规定。</w:t>
      </w:r>
    </w:p>
    <w:p w14:paraId="386466B9">
      <w:pPr>
        <w:pStyle w:val="42"/>
      </w:pPr>
      <w:r>
        <w:rPr>
          <w:rFonts w:hint="eastAsia"/>
        </w:rPr>
        <w:t>一般岩体破碎或裂隙高度发育、渗水软化、存在软弱夹层或断层时需进行注浆加固。裂隙密集带可考虑注浆，贯通性断层适宜与锚固结合使用，注浆措施应符合 JGJ 79 要求。</w:t>
      </w:r>
    </w:p>
    <w:p w14:paraId="7EC59D99">
      <w:pPr>
        <w:pStyle w:val="42"/>
      </w:pPr>
      <w:r>
        <w:rPr>
          <w:rFonts w:hint="eastAsia"/>
        </w:rPr>
        <w:t>遇到边坡条件复杂时宜采用组合支护。</w:t>
      </w:r>
    </w:p>
    <w:p w14:paraId="7E3BE0FA">
      <w:pPr>
        <w:pStyle w:val="41"/>
        <w:numPr>
          <w:ilvl w:val="0"/>
          <w:numId w:val="19"/>
        </w:numPr>
        <w:ind w:hanging="420"/>
      </w:pPr>
      <w:r>
        <w:rPr>
          <w:rFonts w:hint="eastAsia"/>
        </w:rPr>
        <w:t>被动防护</w:t>
      </w:r>
    </w:p>
    <w:p w14:paraId="5A32D453">
      <w:pPr>
        <w:pStyle w:val="42"/>
      </w:pPr>
      <w:r>
        <w:rPr>
          <w:rFonts w:hint="eastAsia"/>
        </w:rPr>
        <w:t>被动防护包括柔性拦截、刚性拦截和缓冲消能等，高陡岩质边坡被动防护应以优先拦截、辅助缓冲为主。</w:t>
      </w:r>
    </w:p>
    <w:p w14:paraId="6B085794">
      <w:pPr>
        <w:pStyle w:val="42"/>
      </w:pPr>
      <w:r>
        <w:rPr>
          <w:rFonts w:hint="eastAsia"/>
        </w:rPr>
        <w:t>柔性拦截可选用被动防护网等措施，需根据边坡形态、落石轨迹及防护目标综合确定，避开冲沟、断层等薄弱带，适用于坡面条件简单，坡度≤73°的边坡。高陡岩质边坡宜在坡面平台处分级设置被动网，分段消耗落石能量，按最大冲击能量选择网型，被动防护网型式应符合 GB 51016 的规定。</w:t>
      </w:r>
    </w:p>
    <w:p w14:paraId="3A14CA64">
      <w:pPr>
        <w:pStyle w:val="42"/>
      </w:pPr>
      <w:r>
        <w:rPr>
          <w:rFonts w:hint="eastAsia"/>
        </w:rPr>
        <w:t>刚性拦截可选用拦墙、桩板墙等措施，一般适用于坡脚浅层滑塌局部防护、低能落石拦截等，墙体类型优先选择重力式或加筋土挡墙，设计应符合 GB 50330 的规定。</w:t>
      </w:r>
    </w:p>
    <w:p w14:paraId="4AA54175">
      <w:pPr>
        <w:pStyle w:val="42"/>
      </w:pPr>
      <w:r>
        <w:rPr>
          <w:rFonts w:hint="eastAsia"/>
        </w:rPr>
        <w:t>缓冲消能可选用落石平台、格宾石笼、消能桩群、网后碎石缓冲垫层等措施，应根据需消散的类型、能量大小综合确定。一般坡脚平台或石笼适合中小型落石拦截，消能桩群和拦挡坝适宜坡面碎屑流减速，碎石缓冲垫层宜与被动防护网组合缓冲高能冲击。</w:t>
      </w:r>
    </w:p>
    <w:p w14:paraId="40CD0B42">
      <w:pPr>
        <w:pStyle w:val="20"/>
        <w:outlineLvl w:val="1"/>
      </w:pPr>
      <w:r>
        <w:rPr>
          <w:rFonts w:hint="eastAsia"/>
        </w:rPr>
        <w:t>坡面整形技术</w:t>
      </w:r>
    </w:p>
    <w:p w14:paraId="1535B015">
      <w:pPr>
        <w:pStyle w:val="23"/>
        <w:spacing w:before="156" w:after="156"/>
        <w:outlineLvl w:val="2"/>
      </w:pPr>
      <w:r>
        <w:rPr>
          <w:rFonts w:hint="eastAsia"/>
        </w:rPr>
        <w:t>一般规定</w:t>
      </w:r>
    </w:p>
    <w:p w14:paraId="47B0C595">
      <w:pPr>
        <w:pStyle w:val="41"/>
        <w:numPr>
          <w:ilvl w:val="0"/>
          <w:numId w:val="20"/>
        </w:numPr>
        <w:ind w:hanging="420"/>
      </w:pPr>
      <w:r>
        <w:rPr>
          <w:rFonts w:hint="eastAsia"/>
        </w:rPr>
        <w:t>坡面整形应在边坡稳定的基础下开展，包括坡面修整和微地形塑造，为边坡复绿提供立地条件。</w:t>
      </w:r>
    </w:p>
    <w:p w14:paraId="6398C88F">
      <w:pPr>
        <w:pStyle w:val="41"/>
        <w:numPr>
          <w:ilvl w:val="0"/>
          <w:numId w:val="20"/>
        </w:numPr>
        <w:ind w:hanging="420"/>
      </w:pPr>
      <w:r>
        <w:rPr>
          <w:rFonts w:hint="eastAsia"/>
        </w:rPr>
        <w:t>坡面整形应与边坡地质安全隐患消除措施及边坡复绿方式协同作用。</w:t>
      </w:r>
    </w:p>
    <w:p w14:paraId="7752F135">
      <w:pPr>
        <w:pStyle w:val="23"/>
        <w:spacing w:before="156" w:after="156"/>
        <w:outlineLvl w:val="2"/>
      </w:pPr>
      <w:r>
        <w:rPr>
          <w:rFonts w:hint="eastAsia"/>
        </w:rPr>
        <w:t>坡面修整</w:t>
      </w:r>
    </w:p>
    <w:p w14:paraId="43FC8799">
      <w:pPr>
        <w:pStyle w:val="41"/>
        <w:numPr>
          <w:ilvl w:val="0"/>
          <w:numId w:val="21"/>
        </w:numPr>
        <w:ind w:hanging="420"/>
      </w:pPr>
      <w:r>
        <w:rPr>
          <w:rFonts w:hint="eastAsia"/>
        </w:rPr>
        <w:t>坡面修整包括削坡减载、台阶再造、回填、整平等，应结合地质安全隐患消除措施、边坡坡度、边坡类型等综合确定。</w:t>
      </w:r>
    </w:p>
    <w:p w14:paraId="49EAD079">
      <w:pPr>
        <w:pStyle w:val="41"/>
        <w:numPr>
          <w:ilvl w:val="0"/>
          <w:numId w:val="21"/>
        </w:numPr>
        <w:ind w:hanging="420"/>
      </w:pPr>
      <w:r>
        <w:rPr>
          <w:rFonts w:hint="eastAsia"/>
        </w:rPr>
        <w:t>边坡条件允许时优先削坡卸载，降低边坡坡度、高度。岩石边坡角</w:t>
      </w:r>
      <w:r>
        <w:rPr>
          <w:rFonts w:hint="eastAsia" w:hAnsi="宋体" w:cs="宋体"/>
          <w:szCs w:val="21"/>
        </w:rPr>
        <w:t>＞</w:t>
      </w:r>
      <w:r>
        <w:rPr>
          <w:rFonts w:hint="eastAsia"/>
        </w:rPr>
        <w:t>73°、坡高</w:t>
      </w:r>
      <w:r>
        <w:rPr>
          <w:rFonts w:hint="eastAsia" w:hAnsi="宋体" w:cs="宋体"/>
          <w:szCs w:val="21"/>
        </w:rPr>
        <w:t>＞</w:t>
      </w:r>
      <w:r>
        <w:rPr>
          <w:rFonts w:hint="eastAsia"/>
        </w:rPr>
        <w:t>15m 时宜采用阶梯形分级放坡，削坡减载后确保边坡稳定。岩体分级参照GB 50218。</w:t>
      </w:r>
    </w:p>
    <w:p w14:paraId="504C8E45">
      <w:pPr>
        <w:pStyle w:val="41"/>
        <w:numPr>
          <w:ilvl w:val="0"/>
          <w:numId w:val="21"/>
        </w:numPr>
        <w:ind w:hanging="420"/>
      </w:pPr>
      <w:r>
        <w:rPr>
          <w:rFonts w:hint="eastAsia"/>
        </w:rPr>
        <w:t>岩石边坡角</w:t>
      </w:r>
      <w:r>
        <w:rPr>
          <w:rFonts w:hint="eastAsia" w:hAnsi="宋体" w:cs="宋体"/>
          <w:szCs w:val="21"/>
        </w:rPr>
        <w:t>＜</w:t>
      </w:r>
      <w:r>
        <w:rPr>
          <w:rFonts w:hint="eastAsia"/>
        </w:rPr>
        <w:t>60°的边坡，可结合边坡削坡按一定宽度、高度沿坡面等高线再造若干级台阶平台，形成植被重建的立地条件。台阶外缘需修筑挡土构件，其高度由覆土厚度及植被类型综合确定。</w:t>
      </w:r>
    </w:p>
    <w:p w14:paraId="23FABE84">
      <w:pPr>
        <w:pStyle w:val="41"/>
        <w:numPr>
          <w:ilvl w:val="0"/>
          <w:numId w:val="21"/>
        </w:numPr>
        <w:ind w:hanging="420"/>
      </w:pPr>
      <w:r>
        <w:rPr>
          <w:rFonts w:hint="eastAsia"/>
        </w:rPr>
        <w:t>坡面较破碎时应进行注浆加固处理。</w:t>
      </w:r>
    </w:p>
    <w:p w14:paraId="656B9270">
      <w:pPr>
        <w:pStyle w:val="41"/>
        <w:numPr>
          <w:ilvl w:val="0"/>
          <w:numId w:val="21"/>
        </w:numPr>
        <w:ind w:hanging="420"/>
      </w:pPr>
      <w:r>
        <w:rPr>
          <w:rFonts w:hint="eastAsia"/>
        </w:rPr>
        <w:t>边坡存在较大凹坑、凸石等影响边坡复绿时，应对凹坑进行适当回填、对凸石进行适当修整，回填区需做好加固措施，不可产生新的安全隐患。</w:t>
      </w:r>
    </w:p>
    <w:p w14:paraId="6ADDAD46">
      <w:pPr>
        <w:pStyle w:val="23"/>
        <w:spacing w:before="156" w:after="156"/>
        <w:outlineLvl w:val="2"/>
      </w:pPr>
      <w:r>
        <w:rPr>
          <w:rFonts w:hint="eastAsia"/>
        </w:rPr>
        <w:t>微地形塑造</w:t>
      </w:r>
    </w:p>
    <w:p w14:paraId="554D476C">
      <w:pPr>
        <w:pStyle w:val="41"/>
        <w:numPr>
          <w:ilvl w:val="0"/>
          <w:numId w:val="22"/>
        </w:numPr>
        <w:ind w:hanging="420"/>
      </w:pPr>
      <w:r>
        <w:rPr>
          <w:rFonts w:hint="eastAsia"/>
        </w:rPr>
        <w:t>微地形塑造包括种植槽构筑</w:t>
      </w:r>
      <w:r>
        <w:t>、</w:t>
      </w:r>
      <w:r>
        <w:rPr>
          <w:rFonts w:hint="eastAsia"/>
        </w:rPr>
        <w:t>机械凿毛处理</w:t>
      </w:r>
      <w:r>
        <w:t>等</w:t>
      </w:r>
      <w:r>
        <w:rPr>
          <w:rFonts w:hint="eastAsia"/>
        </w:rPr>
        <w:t>，应根据边坡坡度、岩质硬度、施工难度和边坡复绿效果等综合确定。</w:t>
      </w:r>
    </w:p>
    <w:p w14:paraId="10B9D0C8">
      <w:pPr>
        <w:pStyle w:val="41"/>
        <w:numPr>
          <w:ilvl w:val="0"/>
          <w:numId w:val="22"/>
        </w:numPr>
        <w:ind w:hanging="420"/>
      </w:pPr>
      <w:r>
        <w:rPr>
          <w:rFonts w:hint="eastAsia"/>
        </w:rPr>
        <w:t>种植槽构筑适用于 45°～73°的岩石，且对景观要求较高边坡。种植槽构筑一般沿等高线布置，宽度 30cm～60cm，深度 40cm～80cm，一般采用膨胀螺栓、锚杆或钢缆固定，防止槽体滑移。种植槽构筑根据结构可分为预制混凝土槽、金属网槽，安全等级为1级的边坡，应采用预制混凝土槽。</w:t>
      </w:r>
    </w:p>
    <w:p w14:paraId="438B3444">
      <w:pPr>
        <w:pStyle w:val="41"/>
        <w:numPr>
          <w:ilvl w:val="0"/>
          <w:numId w:val="22"/>
        </w:numPr>
        <w:ind w:hanging="420"/>
      </w:pPr>
      <w:r>
        <w:rPr>
          <w:rFonts w:hint="eastAsia"/>
        </w:rPr>
        <w:t>硬质完整岩面采用机械喷播时，宜对坡面糙化处理，一般采用机械凿毛，增强基质或袋体附着力。</w:t>
      </w:r>
    </w:p>
    <w:p w14:paraId="4E60E39A">
      <w:pPr>
        <w:pStyle w:val="20"/>
      </w:pPr>
      <w:r>
        <w:rPr>
          <w:rFonts w:hint="eastAsia"/>
        </w:rPr>
        <w:t>集排水技术</w:t>
      </w:r>
    </w:p>
    <w:p w14:paraId="76086F0C">
      <w:pPr>
        <w:pStyle w:val="23"/>
        <w:spacing w:before="156" w:after="156"/>
      </w:pPr>
      <w:r>
        <w:rPr>
          <w:rFonts w:hint="eastAsia"/>
        </w:rPr>
        <w:t>一般规定</w:t>
      </w:r>
    </w:p>
    <w:p w14:paraId="3C9912F9">
      <w:pPr>
        <w:pStyle w:val="41"/>
        <w:numPr>
          <w:ilvl w:val="0"/>
          <w:numId w:val="23"/>
        </w:numPr>
        <w:ind w:hanging="420"/>
      </w:pPr>
      <w:r>
        <w:rPr>
          <w:rFonts w:hint="eastAsia"/>
        </w:rPr>
        <w:t>边坡集排水应包括减少坡面水冲刷或下渗、地下水渗流等措施。坡面水、地下水防治措施应统一考虑，且不影响边坡稳定性。</w:t>
      </w:r>
    </w:p>
    <w:p w14:paraId="5779BEC9">
      <w:pPr>
        <w:pStyle w:val="41"/>
        <w:numPr>
          <w:ilvl w:val="0"/>
          <w:numId w:val="23"/>
        </w:numPr>
        <w:ind w:hanging="420"/>
      </w:pPr>
      <w:r>
        <w:rPr>
          <w:rFonts w:hint="eastAsia"/>
        </w:rPr>
        <w:t>边坡集排水工程在满足功能要求时，应与采矿工艺相结合，应综合考虑生产用水及边坡植被恢复生态用水。</w:t>
      </w:r>
    </w:p>
    <w:p w14:paraId="7499072C">
      <w:pPr>
        <w:pStyle w:val="41"/>
        <w:numPr>
          <w:ilvl w:val="0"/>
          <w:numId w:val="23"/>
        </w:numPr>
        <w:ind w:hanging="420"/>
      </w:pPr>
      <w:r>
        <w:rPr>
          <w:rFonts w:hint="eastAsia"/>
        </w:rPr>
        <w:t>采场边坡外围排水与采场内部排水应实现清污分流。</w:t>
      </w:r>
    </w:p>
    <w:p w14:paraId="2DB5213D">
      <w:pPr>
        <w:pStyle w:val="41"/>
        <w:numPr>
          <w:ilvl w:val="0"/>
          <w:numId w:val="23"/>
        </w:numPr>
        <w:ind w:hanging="420"/>
      </w:pPr>
      <w:r>
        <w:rPr>
          <w:rFonts w:hint="eastAsia"/>
        </w:rPr>
        <w:t>集排水工程应随采场扩展，定期复核排水系统的有效性。</w:t>
      </w:r>
    </w:p>
    <w:p w14:paraId="18C8FD8D">
      <w:pPr>
        <w:pStyle w:val="23"/>
        <w:spacing w:before="156" w:after="156"/>
      </w:pPr>
      <w:r>
        <w:rPr>
          <w:rFonts w:hint="eastAsia"/>
        </w:rPr>
        <w:t>地表水排水</w:t>
      </w:r>
    </w:p>
    <w:p w14:paraId="71B3BC46">
      <w:pPr>
        <w:pStyle w:val="41"/>
        <w:numPr>
          <w:ilvl w:val="0"/>
          <w:numId w:val="24"/>
        </w:numPr>
        <w:ind w:hanging="420"/>
      </w:pPr>
      <w:r>
        <w:rPr>
          <w:rFonts w:hint="eastAsia"/>
        </w:rPr>
        <w:t>边坡地表排水设施应包括截水沟、排水沟、消能池、沉砂池、跌水、急流槽等。应按矿区工程地质与水文地质条件、降雨特征、汇水面积、地形地貌等因素综合确定。</w:t>
      </w:r>
    </w:p>
    <w:p w14:paraId="174AB029">
      <w:pPr>
        <w:pStyle w:val="41"/>
        <w:numPr>
          <w:ilvl w:val="0"/>
          <w:numId w:val="24"/>
        </w:numPr>
        <w:ind w:hanging="420"/>
      </w:pPr>
      <w:r>
        <w:rPr>
          <w:rFonts w:hint="eastAsia"/>
        </w:rPr>
        <w:t>采场边界外围，汇水面积≥0.01km</w:t>
      </w:r>
      <w:r>
        <w:rPr>
          <w:rFonts w:hint="eastAsia"/>
          <w:vertAlign w:val="superscript"/>
        </w:rPr>
        <w:t>2</w:t>
      </w:r>
      <w:r>
        <w:rPr>
          <w:rFonts w:hint="eastAsia"/>
        </w:rPr>
        <w:t>时，宜设置截水沟。</w:t>
      </w:r>
    </w:p>
    <w:p w14:paraId="2754C992">
      <w:pPr>
        <w:pStyle w:val="41"/>
        <w:numPr>
          <w:ilvl w:val="0"/>
          <w:numId w:val="24"/>
        </w:numPr>
        <w:ind w:hanging="420"/>
      </w:pPr>
      <w:r>
        <w:rPr>
          <w:rFonts w:hint="eastAsia"/>
        </w:rPr>
        <w:t>潜在滑坡区后缘应设置截水沟,对后缘裂缝应采取遮盖或堵塞措施。</w:t>
      </w:r>
    </w:p>
    <w:p w14:paraId="7AC5B41C">
      <w:pPr>
        <w:pStyle w:val="41"/>
        <w:numPr>
          <w:ilvl w:val="0"/>
          <w:numId w:val="24"/>
        </w:numPr>
        <w:ind w:hanging="420"/>
      </w:pPr>
      <w:r>
        <w:rPr>
          <w:rFonts w:hint="eastAsia"/>
        </w:rPr>
        <w:t>采场平台内侧需设置排水沟，多级边坡需分层设置。</w:t>
      </w:r>
    </w:p>
    <w:p w14:paraId="0D9BA0B8">
      <w:pPr>
        <w:pStyle w:val="41"/>
        <w:numPr>
          <w:ilvl w:val="0"/>
          <w:numId w:val="24"/>
        </w:numPr>
        <w:ind w:hanging="420"/>
      </w:pPr>
      <w:r>
        <w:rPr>
          <w:rFonts w:hint="eastAsia"/>
        </w:rPr>
        <w:t>坡顶应采用预制或现浇截水沟。</w:t>
      </w:r>
    </w:p>
    <w:p w14:paraId="267160C7">
      <w:pPr>
        <w:pStyle w:val="41"/>
        <w:numPr>
          <w:ilvl w:val="0"/>
          <w:numId w:val="24"/>
        </w:numPr>
        <w:ind w:hanging="420"/>
      </w:pPr>
      <w:r>
        <w:rPr>
          <w:rFonts w:hint="eastAsia"/>
        </w:rPr>
        <w:t>边坡地表排水设施设计应符合 GB 50330、GB/T 16453.4 的有关规定。</w:t>
      </w:r>
    </w:p>
    <w:p w14:paraId="669A7307">
      <w:pPr>
        <w:pStyle w:val="23"/>
        <w:spacing w:before="156" w:after="156"/>
      </w:pPr>
      <w:r>
        <w:rPr>
          <w:rFonts w:hint="eastAsia"/>
        </w:rPr>
        <w:t>地下水排水</w:t>
      </w:r>
    </w:p>
    <w:p w14:paraId="4E3BD159">
      <w:pPr>
        <w:pStyle w:val="41"/>
        <w:numPr>
          <w:ilvl w:val="0"/>
          <w:numId w:val="25"/>
        </w:numPr>
        <w:ind w:hanging="420"/>
      </w:pPr>
      <w:r>
        <w:rPr>
          <w:rFonts w:hint="eastAsia"/>
        </w:rPr>
        <w:t>边坡地下排水设施包括渗流沟、疏排水孔、泄水孔等。应按矿区工程地质与水文地质条件等因素综合确定。</w:t>
      </w:r>
    </w:p>
    <w:p w14:paraId="67DB1C32">
      <w:pPr>
        <w:pStyle w:val="41"/>
        <w:numPr>
          <w:ilvl w:val="0"/>
          <w:numId w:val="25"/>
        </w:numPr>
        <w:ind w:hanging="420"/>
      </w:pPr>
      <w:r>
        <w:rPr>
          <w:rFonts w:hint="eastAsia"/>
        </w:rPr>
        <w:t>水文地质条件简单和涌水量不大的露天矿宜结合平台截水沟排水。</w:t>
      </w:r>
    </w:p>
    <w:p w14:paraId="5BD59456">
      <w:pPr>
        <w:pStyle w:val="41"/>
        <w:numPr>
          <w:ilvl w:val="0"/>
          <w:numId w:val="25"/>
        </w:numPr>
        <w:ind w:hanging="420"/>
      </w:pPr>
      <w:r>
        <w:rPr>
          <w:rFonts w:hint="eastAsia"/>
        </w:rPr>
        <w:t>采场内边坡出现持续性渗水应沿渗水带设置渗流沟，边坡岩体中存在贯通性裂隙、断层或破碎带应沿裂隙带设渗流沟。</w:t>
      </w:r>
    </w:p>
    <w:p w14:paraId="2BA88FD8">
      <w:pPr>
        <w:pStyle w:val="41"/>
        <w:numPr>
          <w:ilvl w:val="0"/>
          <w:numId w:val="25"/>
        </w:numPr>
        <w:ind w:hanging="420"/>
      </w:pPr>
      <w:r>
        <w:rPr>
          <w:rFonts w:hint="eastAsia"/>
        </w:rPr>
        <w:t>边坡岩体存在深层承压水或贯通性裂隙水、高渗透性岩层或强导水构造及凹陷式开采形成水压梯度时，应采用疏排水孔释放水压。边坡浅层排水一般采用水平孔，深部承压水或大范围含水层疏干一般采用垂直孔，高陡边坡或逆坡渗流区一般采用仰斜式排水孔。</w:t>
      </w:r>
    </w:p>
    <w:p w14:paraId="7CA31AD2">
      <w:pPr>
        <w:pStyle w:val="41"/>
        <w:numPr>
          <w:ilvl w:val="0"/>
          <w:numId w:val="25"/>
        </w:numPr>
        <w:ind w:hanging="420"/>
      </w:pPr>
      <w:r>
        <w:rPr>
          <w:rFonts w:hint="eastAsia"/>
        </w:rPr>
        <w:t>拦挡工程应设置泄水孔。</w:t>
      </w:r>
    </w:p>
    <w:p w14:paraId="1848E3D3">
      <w:pPr>
        <w:pStyle w:val="41"/>
        <w:numPr>
          <w:ilvl w:val="0"/>
          <w:numId w:val="25"/>
        </w:numPr>
        <w:ind w:hanging="420"/>
      </w:pPr>
      <w:r>
        <w:rPr>
          <w:rFonts w:hint="eastAsia"/>
        </w:rPr>
        <w:t>边坡地下排水设施设计应符合 GB 50330 的有关规定。</w:t>
      </w:r>
    </w:p>
    <w:p w14:paraId="3F58E11B">
      <w:pPr>
        <w:pStyle w:val="23"/>
        <w:spacing w:before="156" w:after="156"/>
      </w:pPr>
      <w:r>
        <w:rPr>
          <w:rFonts w:hint="eastAsia"/>
        </w:rPr>
        <w:t>集蓄水</w:t>
      </w:r>
    </w:p>
    <w:p w14:paraId="4FC09F46">
      <w:pPr>
        <w:pStyle w:val="41"/>
        <w:numPr>
          <w:ilvl w:val="0"/>
          <w:numId w:val="26"/>
        </w:numPr>
        <w:ind w:hanging="420"/>
      </w:pPr>
      <w:r>
        <w:rPr>
          <w:rFonts w:hint="eastAsia"/>
        </w:rPr>
        <w:t>边坡集蓄水应包括人工集水面、天然集水面、蓄水池、蓄水容器等。应按降雨特征、汇水面积等因素综合确定。</w:t>
      </w:r>
    </w:p>
    <w:p w14:paraId="2BAB31CC">
      <w:pPr>
        <w:pStyle w:val="41"/>
        <w:numPr>
          <w:ilvl w:val="0"/>
          <w:numId w:val="26"/>
        </w:numPr>
        <w:ind w:hanging="420"/>
      </w:pPr>
      <w:r>
        <w:rPr>
          <w:rFonts w:hint="eastAsia"/>
        </w:rPr>
        <w:t>宜根据植被重建及养护需求，在合适区域修建蓄水池或利用已有集水面，并与截排水工程相接。在台阶上修建蓄水池时不宜开挖，并应做好防渗处理。</w:t>
      </w:r>
    </w:p>
    <w:p w14:paraId="61A23221">
      <w:pPr>
        <w:pStyle w:val="41"/>
        <w:numPr>
          <w:ilvl w:val="0"/>
          <w:numId w:val="26"/>
        </w:numPr>
        <w:ind w:hanging="420"/>
      </w:pPr>
      <w:r>
        <w:rPr>
          <w:rFonts w:hint="eastAsia"/>
        </w:rPr>
        <w:t>露集蓄水工程设计、施工应符合 GB/T 16453.4 有关规定。</w:t>
      </w:r>
    </w:p>
    <w:p w14:paraId="2669FFB8">
      <w:pPr>
        <w:pStyle w:val="19"/>
        <w:outlineLvl w:val="0"/>
      </w:pPr>
      <w:bookmarkStart w:id="10" w:name="_Toc19041"/>
      <w:r>
        <w:rPr>
          <w:rFonts w:hint="eastAsia"/>
        </w:rPr>
        <w:t>边坡复绿技术</w:t>
      </w:r>
      <w:bookmarkEnd w:id="10"/>
    </w:p>
    <w:p w14:paraId="4B84069E">
      <w:pPr>
        <w:pStyle w:val="20"/>
        <w:outlineLvl w:val="1"/>
      </w:pPr>
      <w:r>
        <w:rPr>
          <w:rFonts w:hint="eastAsia"/>
        </w:rPr>
        <w:t>一般规定</w:t>
      </w:r>
    </w:p>
    <w:p w14:paraId="22FEADE6">
      <w:pPr>
        <w:pStyle w:val="23"/>
        <w:spacing w:before="156" w:after="156"/>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边坡经稳定性评估方可采取复绿技术措施，若存在整体不稳定或局部损害点，应先采取边坡防护措施消除灾害或隐患。</w:t>
      </w:r>
    </w:p>
    <w:p w14:paraId="1F620382">
      <w:pPr>
        <w:pStyle w:val="23"/>
        <w:spacing w:before="156" w:after="156"/>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针对不同的气候、坡度、坡高、坡向及岩层裂隙发育等边坡现状，应遵循因地制宜的原则，采用坡面加固技术与人工生态修复技术宜有机结合、功能互补，以发挥综合优势。</w:t>
      </w:r>
    </w:p>
    <w:p w14:paraId="0E2D597D">
      <w:pPr>
        <w:pStyle w:val="23"/>
        <w:spacing w:before="156" w:after="156"/>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边坡复绿效果应与矿区周边环境协调，且目的植物群落建植应符合正向自然演替内在机理规律。</w:t>
      </w:r>
    </w:p>
    <w:p w14:paraId="7CCEB9EB">
      <w:pPr>
        <w:pStyle w:val="23"/>
        <w:spacing w:before="156" w:after="156"/>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边坡复绿工程设计应符合 GB/T 38360 的规定。</w:t>
      </w:r>
    </w:p>
    <w:p w14:paraId="21BF5E57">
      <w:pPr>
        <w:pStyle w:val="23"/>
        <w:spacing w:before="156" w:after="156"/>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应根据坡面类型及植物生长所需土壤条件，植被建植措施应选择适宜的基质配制技术，匹配人工生态修复技术，采取以机械喷播基材与种植槽回填基质形式重构边坡坡面土壤。</w:t>
      </w:r>
    </w:p>
    <w:p w14:paraId="4592EDB9">
      <w:pPr>
        <w:pStyle w:val="23"/>
        <w:spacing w:before="156" w:after="156"/>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根据露天矿山高陡岩质边坡坡度、坡高、坡向、立地类型及防护类型，建植适宜的植物群落类型。</w:t>
      </w:r>
    </w:p>
    <w:p w14:paraId="30B69BF0">
      <w:pPr>
        <w:pStyle w:val="23"/>
        <w:spacing w:before="156" w:after="156"/>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矿山高陡岩质边坡复绿技术中的植物生长环境重构技术与植被建植技术应统筹考虑、配合运用。矿山高陡岩质边坡复绿技术措施参考表2。</w:t>
      </w:r>
    </w:p>
    <w:p w14:paraId="688915D6">
      <w:pPr>
        <w:pStyle w:val="38"/>
        <w:rPr>
          <w:rFonts w:hint="eastAsia" w:hAnsi="黑体" w:cs="黑体"/>
          <w:szCs w:val="21"/>
        </w:rPr>
      </w:pPr>
      <w:r>
        <w:rPr>
          <w:rFonts w:hint="eastAsia" w:hAnsi="黑体" w:cs="黑体"/>
          <w:szCs w:val="21"/>
        </w:rPr>
        <w:t>矿山高陡岩质边坡复绿技术措施</w:t>
      </w: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64"/>
        <w:gridCol w:w="1349"/>
        <w:gridCol w:w="1497"/>
        <w:gridCol w:w="1668"/>
        <w:gridCol w:w="3493"/>
      </w:tblGrid>
      <w:tr w14:paraId="5B889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564" w:type="dxa"/>
            <w:tcBorders>
              <w:bottom w:val="single" w:color="auto" w:sz="8" w:space="0"/>
            </w:tcBorders>
            <w:vAlign w:val="center"/>
          </w:tcPr>
          <w:p w14:paraId="6E178FCD">
            <w:pPr>
              <w:pStyle w:val="64"/>
              <w:numPr>
                <w:ilvl w:val="3"/>
                <w:numId w:val="0"/>
              </w:numPr>
              <w:jc w:val="center"/>
              <w:rPr>
                <w:rFonts w:hint="eastAsia" w:hAnsi="宋体" w:cs="宋体"/>
                <w:sz w:val="18"/>
                <w:szCs w:val="18"/>
              </w:rPr>
            </w:pPr>
            <w:r>
              <w:rPr>
                <w:rFonts w:hint="eastAsia" w:hAnsi="宋体" w:cs="宋体"/>
                <w:sz w:val="18"/>
                <w:szCs w:val="18"/>
              </w:rPr>
              <w:t>分  部</w:t>
            </w:r>
          </w:p>
        </w:tc>
        <w:tc>
          <w:tcPr>
            <w:tcW w:w="1349" w:type="dxa"/>
            <w:tcBorders>
              <w:bottom w:val="single" w:color="auto" w:sz="8" w:space="0"/>
            </w:tcBorders>
            <w:vAlign w:val="center"/>
          </w:tcPr>
          <w:p w14:paraId="18F49C3E">
            <w:pPr>
              <w:pStyle w:val="64"/>
              <w:numPr>
                <w:ilvl w:val="3"/>
                <w:numId w:val="0"/>
              </w:numPr>
              <w:jc w:val="center"/>
              <w:rPr>
                <w:rFonts w:hint="eastAsia" w:hAnsi="宋体" w:cs="宋体"/>
                <w:sz w:val="18"/>
                <w:szCs w:val="18"/>
              </w:rPr>
            </w:pPr>
            <w:r>
              <w:rPr>
                <w:rFonts w:hint="eastAsia" w:hAnsi="宋体" w:cs="宋体"/>
                <w:sz w:val="18"/>
                <w:szCs w:val="18"/>
              </w:rPr>
              <w:t>分  类</w:t>
            </w:r>
          </w:p>
        </w:tc>
        <w:tc>
          <w:tcPr>
            <w:tcW w:w="3165" w:type="dxa"/>
            <w:gridSpan w:val="2"/>
            <w:tcBorders>
              <w:bottom w:val="single" w:color="auto" w:sz="8" w:space="0"/>
            </w:tcBorders>
            <w:vAlign w:val="center"/>
          </w:tcPr>
          <w:p w14:paraId="7B1AB83B">
            <w:pPr>
              <w:pStyle w:val="64"/>
              <w:numPr>
                <w:ilvl w:val="3"/>
                <w:numId w:val="0"/>
              </w:numPr>
              <w:jc w:val="center"/>
              <w:rPr>
                <w:rFonts w:hint="eastAsia" w:hAnsi="宋体" w:cs="宋体"/>
                <w:sz w:val="18"/>
                <w:szCs w:val="18"/>
              </w:rPr>
            </w:pPr>
            <w:r>
              <w:rPr>
                <w:rFonts w:hint="eastAsia" w:hAnsi="宋体" w:cs="宋体"/>
                <w:sz w:val="18"/>
                <w:szCs w:val="18"/>
              </w:rPr>
              <w:t>分  项</w:t>
            </w:r>
          </w:p>
        </w:tc>
        <w:tc>
          <w:tcPr>
            <w:tcW w:w="3493" w:type="dxa"/>
            <w:tcBorders>
              <w:bottom w:val="single" w:color="auto" w:sz="8" w:space="0"/>
            </w:tcBorders>
            <w:vAlign w:val="center"/>
          </w:tcPr>
          <w:p w14:paraId="4B1ABB19">
            <w:pPr>
              <w:pStyle w:val="64"/>
              <w:numPr>
                <w:ilvl w:val="3"/>
                <w:numId w:val="0"/>
              </w:numPr>
              <w:jc w:val="center"/>
              <w:rPr>
                <w:rFonts w:hint="eastAsia" w:hAnsi="宋体" w:cs="宋体"/>
                <w:sz w:val="18"/>
                <w:szCs w:val="18"/>
              </w:rPr>
            </w:pPr>
            <w:r>
              <w:rPr>
                <w:rFonts w:hint="eastAsia" w:hAnsi="宋体" w:cs="宋体"/>
                <w:sz w:val="18"/>
                <w:szCs w:val="18"/>
              </w:rPr>
              <w:t>技术措施</w:t>
            </w:r>
          </w:p>
        </w:tc>
      </w:tr>
      <w:tr w14:paraId="63387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564" w:type="dxa"/>
            <w:vMerge w:val="restart"/>
            <w:vAlign w:val="center"/>
          </w:tcPr>
          <w:p w14:paraId="23261421">
            <w:pPr>
              <w:pStyle w:val="64"/>
              <w:numPr>
                <w:ilvl w:val="3"/>
                <w:numId w:val="0"/>
              </w:numPr>
              <w:jc w:val="center"/>
              <w:rPr>
                <w:rFonts w:hint="eastAsia" w:hAnsi="宋体" w:cs="宋体"/>
                <w:sz w:val="18"/>
                <w:szCs w:val="18"/>
              </w:rPr>
            </w:pPr>
            <w:r>
              <w:rPr>
                <w:rFonts w:hint="eastAsia" w:hAnsi="宋体" w:cs="宋体"/>
                <w:sz w:val="18"/>
                <w:szCs w:val="18"/>
              </w:rPr>
              <w:t>植物生长环境重构技术</w:t>
            </w:r>
          </w:p>
        </w:tc>
        <w:tc>
          <w:tcPr>
            <w:tcW w:w="1349" w:type="dxa"/>
            <w:vMerge w:val="restart"/>
            <w:vAlign w:val="center"/>
          </w:tcPr>
          <w:p w14:paraId="06DEF0D0">
            <w:pPr>
              <w:pStyle w:val="64"/>
              <w:numPr>
                <w:ilvl w:val="3"/>
                <w:numId w:val="0"/>
              </w:numPr>
              <w:jc w:val="center"/>
              <w:rPr>
                <w:rFonts w:hint="eastAsia" w:hAnsi="宋体" w:cs="宋体"/>
                <w:sz w:val="18"/>
                <w:szCs w:val="18"/>
              </w:rPr>
            </w:pPr>
            <w:r>
              <w:rPr>
                <w:rFonts w:hint="eastAsia" w:hAnsi="宋体" w:cs="宋体"/>
                <w:sz w:val="18"/>
                <w:szCs w:val="18"/>
              </w:rPr>
              <w:t>坡面加固</w:t>
            </w:r>
          </w:p>
        </w:tc>
        <w:tc>
          <w:tcPr>
            <w:tcW w:w="3165" w:type="dxa"/>
            <w:gridSpan w:val="2"/>
            <w:vAlign w:val="center"/>
          </w:tcPr>
          <w:p w14:paraId="31C8FF3B">
            <w:pPr>
              <w:pStyle w:val="64"/>
              <w:numPr>
                <w:ilvl w:val="3"/>
                <w:numId w:val="0"/>
              </w:numPr>
              <w:jc w:val="center"/>
              <w:rPr>
                <w:rFonts w:hint="eastAsia" w:hAnsi="宋体" w:cs="宋体"/>
                <w:sz w:val="18"/>
                <w:szCs w:val="18"/>
              </w:rPr>
            </w:pPr>
            <w:r>
              <w:rPr>
                <w:rFonts w:hint="eastAsia" w:hAnsi="宋体" w:cs="宋体"/>
                <w:sz w:val="18"/>
                <w:szCs w:val="18"/>
              </w:rPr>
              <w:t>毯垫技术</w:t>
            </w:r>
          </w:p>
        </w:tc>
        <w:tc>
          <w:tcPr>
            <w:tcW w:w="3493" w:type="dxa"/>
            <w:vAlign w:val="center"/>
          </w:tcPr>
          <w:p w14:paraId="06F43F99">
            <w:pPr>
              <w:pStyle w:val="64"/>
              <w:numPr>
                <w:ilvl w:val="3"/>
                <w:numId w:val="0"/>
              </w:numPr>
              <w:jc w:val="center"/>
              <w:rPr>
                <w:rFonts w:hint="eastAsia" w:hAnsi="宋体" w:cs="宋体"/>
                <w:sz w:val="18"/>
                <w:szCs w:val="18"/>
              </w:rPr>
            </w:pPr>
            <w:r>
              <w:rPr>
                <w:rFonts w:hint="eastAsia" w:hAnsi="宋体" w:cs="宋体"/>
                <w:sz w:val="18"/>
                <w:szCs w:val="18"/>
              </w:rPr>
              <w:t>植物纤维毯</w:t>
            </w:r>
          </w:p>
        </w:tc>
      </w:tr>
      <w:tr w14:paraId="3C26F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564" w:type="dxa"/>
            <w:vMerge w:val="continue"/>
            <w:vAlign w:val="center"/>
          </w:tcPr>
          <w:p w14:paraId="08323C04">
            <w:pPr>
              <w:pStyle w:val="64"/>
              <w:numPr>
                <w:ilvl w:val="3"/>
                <w:numId w:val="0"/>
              </w:numPr>
              <w:jc w:val="center"/>
              <w:rPr>
                <w:rFonts w:hint="eastAsia" w:hAnsi="宋体" w:cs="宋体"/>
                <w:sz w:val="18"/>
                <w:szCs w:val="18"/>
              </w:rPr>
            </w:pPr>
          </w:p>
        </w:tc>
        <w:tc>
          <w:tcPr>
            <w:tcW w:w="1349" w:type="dxa"/>
            <w:vMerge w:val="continue"/>
            <w:vAlign w:val="center"/>
          </w:tcPr>
          <w:p w14:paraId="0A351902">
            <w:pPr>
              <w:pStyle w:val="64"/>
              <w:numPr>
                <w:ilvl w:val="3"/>
                <w:numId w:val="0"/>
              </w:numPr>
              <w:jc w:val="center"/>
              <w:rPr>
                <w:rFonts w:hint="eastAsia" w:hAnsi="宋体" w:cs="宋体"/>
                <w:sz w:val="18"/>
                <w:szCs w:val="18"/>
              </w:rPr>
            </w:pPr>
          </w:p>
        </w:tc>
        <w:tc>
          <w:tcPr>
            <w:tcW w:w="3165" w:type="dxa"/>
            <w:gridSpan w:val="2"/>
            <w:vAlign w:val="center"/>
          </w:tcPr>
          <w:p w14:paraId="320D1401">
            <w:pPr>
              <w:pStyle w:val="64"/>
              <w:numPr>
                <w:ilvl w:val="3"/>
                <w:numId w:val="0"/>
              </w:numPr>
              <w:jc w:val="center"/>
              <w:rPr>
                <w:rFonts w:hint="eastAsia" w:hAnsi="宋体" w:cs="宋体"/>
                <w:sz w:val="18"/>
                <w:szCs w:val="18"/>
              </w:rPr>
            </w:pPr>
            <w:r>
              <w:rPr>
                <w:rFonts w:hint="eastAsia" w:hAnsi="宋体" w:cs="宋体"/>
                <w:sz w:val="18"/>
                <w:szCs w:val="18"/>
              </w:rPr>
              <w:t>枕袋技术</w:t>
            </w:r>
          </w:p>
        </w:tc>
        <w:tc>
          <w:tcPr>
            <w:tcW w:w="3493" w:type="dxa"/>
            <w:vAlign w:val="center"/>
          </w:tcPr>
          <w:p w14:paraId="3AC53FA2">
            <w:pPr>
              <w:pStyle w:val="64"/>
              <w:numPr>
                <w:ilvl w:val="3"/>
                <w:numId w:val="0"/>
              </w:numPr>
              <w:jc w:val="center"/>
              <w:rPr>
                <w:rFonts w:hint="eastAsia" w:hAnsi="宋体" w:cs="宋体"/>
                <w:sz w:val="18"/>
                <w:szCs w:val="18"/>
              </w:rPr>
            </w:pPr>
            <w:r>
              <w:rPr>
                <w:rFonts w:hint="eastAsia" w:hAnsi="宋体" w:cs="宋体"/>
                <w:sz w:val="18"/>
                <w:szCs w:val="18"/>
              </w:rPr>
              <w:t>生态袋</w:t>
            </w:r>
          </w:p>
        </w:tc>
      </w:tr>
      <w:tr w14:paraId="73FB7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564" w:type="dxa"/>
            <w:vMerge w:val="restart"/>
            <w:vAlign w:val="center"/>
          </w:tcPr>
          <w:p w14:paraId="3E16425F">
            <w:pPr>
              <w:pStyle w:val="64"/>
              <w:numPr>
                <w:ilvl w:val="3"/>
                <w:numId w:val="0"/>
              </w:numPr>
              <w:jc w:val="center"/>
              <w:rPr>
                <w:rFonts w:hint="eastAsia" w:hAnsi="宋体" w:cs="宋体"/>
                <w:sz w:val="18"/>
                <w:szCs w:val="18"/>
              </w:rPr>
            </w:pPr>
            <w:r>
              <w:rPr>
                <w:rFonts w:hint="eastAsia" w:hAnsi="宋体" w:cs="宋体"/>
                <w:sz w:val="18"/>
                <w:szCs w:val="18"/>
              </w:rPr>
              <w:t>植被建植技术</w:t>
            </w:r>
          </w:p>
        </w:tc>
        <w:tc>
          <w:tcPr>
            <w:tcW w:w="1349" w:type="dxa"/>
            <w:vMerge w:val="restart"/>
            <w:vAlign w:val="center"/>
          </w:tcPr>
          <w:p w14:paraId="76FD143E">
            <w:pPr>
              <w:pStyle w:val="64"/>
              <w:numPr>
                <w:ilvl w:val="3"/>
                <w:numId w:val="0"/>
              </w:numPr>
              <w:jc w:val="center"/>
              <w:rPr>
                <w:rFonts w:hint="eastAsia" w:hAnsi="宋体" w:cs="宋体"/>
                <w:sz w:val="18"/>
                <w:szCs w:val="18"/>
              </w:rPr>
            </w:pPr>
            <w:r>
              <w:rPr>
                <w:rFonts w:hint="eastAsia" w:hAnsi="宋体" w:cs="宋体"/>
                <w:sz w:val="18"/>
                <w:szCs w:val="18"/>
              </w:rPr>
              <w:t>人工生态修复</w:t>
            </w:r>
          </w:p>
        </w:tc>
        <w:tc>
          <w:tcPr>
            <w:tcW w:w="1497" w:type="dxa"/>
            <w:vMerge w:val="restart"/>
            <w:vAlign w:val="center"/>
          </w:tcPr>
          <w:p w14:paraId="65FE97A4">
            <w:pPr>
              <w:pStyle w:val="64"/>
              <w:numPr>
                <w:ilvl w:val="3"/>
                <w:numId w:val="0"/>
              </w:numPr>
              <w:jc w:val="center"/>
              <w:rPr>
                <w:rFonts w:hint="eastAsia" w:hAnsi="宋体" w:cs="宋体"/>
                <w:sz w:val="18"/>
                <w:szCs w:val="18"/>
              </w:rPr>
            </w:pPr>
            <w:r>
              <w:rPr>
                <w:rFonts w:hint="eastAsia" w:hAnsi="宋体" w:cs="宋体"/>
                <w:sz w:val="18"/>
                <w:szCs w:val="18"/>
              </w:rPr>
              <w:t>播种</w:t>
            </w:r>
          </w:p>
        </w:tc>
        <w:tc>
          <w:tcPr>
            <w:tcW w:w="1668" w:type="dxa"/>
            <w:vMerge w:val="restart"/>
            <w:vAlign w:val="center"/>
          </w:tcPr>
          <w:p w14:paraId="730C5800">
            <w:pPr>
              <w:pStyle w:val="64"/>
              <w:numPr>
                <w:ilvl w:val="3"/>
                <w:numId w:val="0"/>
              </w:numPr>
              <w:jc w:val="center"/>
              <w:rPr>
                <w:rFonts w:hint="eastAsia" w:hAnsi="宋体" w:cs="宋体"/>
                <w:sz w:val="18"/>
                <w:szCs w:val="18"/>
              </w:rPr>
            </w:pPr>
            <w:r>
              <w:rPr>
                <w:rFonts w:hint="eastAsia" w:hAnsi="宋体" w:cs="宋体"/>
                <w:sz w:val="18"/>
                <w:szCs w:val="18"/>
              </w:rPr>
              <w:t>机械喷播</w:t>
            </w:r>
          </w:p>
        </w:tc>
        <w:tc>
          <w:tcPr>
            <w:tcW w:w="3493" w:type="dxa"/>
            <w:vAlign w:val="center"/>
          </w:tcPr>
          <w:p w14:paraId="3B98E7A5">
            <w:pPr>
              <w:pStyle w:val="64"/>
              <w:numPr>
                <w:ilvl w:val="3"/>
                <w:numId w:val="0"/>
              </w:numPr>
              <w:jc w:val="center"/>
              <w:rPr>
                <w:rFonts w:hint="eastAsia" w:hAnsi="宋体" w:cs="宋体"/>
                <w:sz w:val="18"/>
                <w:szCs w:val="18"/>
              </w:rPr>
            </w:pPr>
            <w:r>
              <w:rPr>
                <w:rFonts w:hint="eastAsia" w:hAnsi="宋体" w:cs="宋体"/>
                <w:sz w:val="18"/>
                <w:szCs w:val="18"/>
              </w:rPr>
              <w:t>挂网客土喷播</w:t>
            </w:r>
          </w:p>
        </w:tc>
      </w:tr>
      <w:tr w14:paraId="16F77C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564" w:type="dxa"/>
            <w:vMerge w:val="continue"/>
            <w:vAlign w:val="center"/>
          </w:tcPr>
          <w:p w14:paraId="1036279C">
            <w:pPr>
              <w:pStyle w:val="64"/>
              <w:numPr>
                <w:ilvl w:val="3"/>
                <w:numId w:val="0"/>
              </w:numPr>
              <w:jc w:val="center"/>
              <w:rPr>
                <w:rFonts w:hint="eastAsia" w:hAnsi="宋体" w:cs="宋体"/>
                <w:sz w:val="18"/>
                <w:szCs w:val="18"/>
              </w:rPr>
            </w:pPr>
          </w:p>
        </w:tc>
        <w:tc>
          <w:tcPr>
            <w:tcW w:w="1349" w:type="dxa"/>
            <w:vMerge w:val="continue"/>
            <w:vAlign w:val="center"/>
          </w:tcPr>
          <w:p w14:paraId="089A4BBD">
            <w:pPr>
              <w:pStyle w:val="64"/>
              <w:numPr>
                <w:ilvl w:val="3"/>
                <w:numId w:val="0"/>
              </w:numPr>
              <w:jc w:val="center"/>
              <w:rPr>
                <w:rFonts w:hint="eastAsia" w:hAnsi="宋体" w:cs="宋体"/>
                <w:sz w:val="18"/>
                <w:szCs w:val="18"/>
              </w:rPr>
            </w:pPr>
          </w:p>
        </w:tc>
        <w:tc>
          <w:tcPr>
            <w:tcW w:w="1497" w:type="dxa"/>
            <w:vMerge w:val="continue"/>
            <w:vAlign w:val="center"/>
          </w:tcPr>
          <w:p w14:paraId="225850C0">
            <w:pPr>
              <w:pStyle w:val="64"/>
              <w:numPr>
                <w:ilvl w:val="3"/>
                <w:numId w:val="0"/>
              </w:numPr>
              <w:jc w:val="center"/>
              <w:rPr>
                <w:rFonts w:hint="eastAsia" w:hAnsi="宋体" w:cs="宋体"/>
                <w:sz w:val="18"/>
                <w:szCs w:val="18"/>
              </w:rPr>
            </w:pPr>
          </w:p>
        </w:tc>
        <w:tc>
          <w:tcPr>
            <w:tcW w:w="1668" w:type="dxa"/>
            <w:vMerge w:val="continue"/>
            <w:vAlign w:val="center"/>
          </w:tcPr>
          <w:p w14:paraId="311EAD58">
            <w:pPr>
              <w:pStyle w:val="64"/>
              <w:numPr>
                <w:ilvl w:val="3"/>
                <w:numId w:val="0"/>
              </w:numPr>
              <w:jc w:val="center"/>
              <w:rPr>
                <w:rFonts w:hint="eastAsia" w:hAnsi="宋体" w:cs="宋体"/>
                <w:sz w:val="18"/>
                <w:szCs w:val="18"/>
              </w:rPr>
            </w:pPr>
          </w:p>
        </w:tc>
        <w:tc>
          <w:tcPr>
            <w:tcW w:w="3493" w:type="dxa"/>
            <w:vAlign w:val="center"/>
          </w:tcPr>
          <w:p w14:paraId="00ECC969">
            <w:pPr>
              <w:pStyle w:val="64"/>
              <w:numPr>
                <w:ilvl w:val="3"/>
                <w:numId w:val="0"/>
              </w:numPr>
              <w:jc w:val="center"/>
              <w:rPr>
                <w:rFonts w:hint="eastAsia" w:hAnsi="宋体" w:cs="宋体"/>
                <w:sz w:val="18"/>
                <w:szCs w:val="18"/>
              </w:rPr>
            </w:pPr>
            <w:r>
              <w:rPr>
                <w:rFonts w:hint="eastAsia" w:hAnsi="宋体" w:cs="宋体"/>
                <w:sz w:val="18"/>
                <w:szCs w:val="18"/>
              </w:rPr>
              <w:t>植被混凝土喷播</w:t>
            </w:r>
          </w:p>
        </w:tc>
      </w:tr>
      <w:tr w14:paraId="298BCF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564" w:type="dxa"/>
            <w:vMerge w:val="continue"/>
            <w:vAlign w:val="center"/>
          </w:tcPr>
          <w:p w14:paraId="2F783B78">
            <w:pPr>
              <w:pStyle w:val="64"/>
              <w:numPr>
                <w:ilvl w:val="3"/>
                <w:numId w:val="0"/>
              </w:numPr>
              <w:jc w:val="center"/>
              <w:rPr>
                <w:rFonts w:hint="eastAsia" w:hAnsi="宋体" w:cs="宋体"/>
                <w:sz w:val="18"/>
                <w:szCs w:val="18"/>
              </w:rPr>
            </w:pPr>
          </w:p>
        </w:tc>
        <w:tc>
          <w:tcPr>
            <w:tcW w:w="1349" w:type="dxa"/>
            <w:vMerge w:val="continue"/>
            <w:vAlign w:val="center"/>
          </w:tcPr>
          <w:p w14:paraId="328E3868">
            <w:pPr>
              <w:pStyle w:val="64"/>
              <w:numPr>
                <w:ilvl w:val="3"/>
                <w:numId w:val="0"/>
              </w:numPr>
              <w:jc w:val="center"/>
              <w:rPr>
                <w:rFonts w:hint="eastAsia" w:hAnsi="宋体" w:cs="宋体"/>
                <w:sz w:val="18"/>
                <w:szCs w:val="18"/>
              </w:rPr>
            </w:pPr>
          </w:p>
        </w:tc>
        <w:tc>
          <w:tcPr>
            <w:tcW w:w="1497" w:type="dxa"/>
            <w:vMerge w:val="restart"/>
            <w:vAlign w:val="center"/>
          </w:tcPr>
          <w:p w14:paraId="1516CCC1">
            <w:pPr>
              <w:pStyle w:val="64"/>
              <w:numPr>
                <w:ilvl w:val="3"/>
                <w:numId w:val="0"/>
              </w:numPr>
              <w:jc w:val="center"/>
              <w:rPr>
                <w:rFonts w:hint="eastAsia" w:hAnsi="宋体" w:cs="宋体"/>
                <w:sz w:val="18"/>
                <w:szCs w:val="18"/>
              </w:rPr>
            </w:pPr>
            <w:r>
              <w:rPr>
                <w:rFonts w:hint="eastAsia" w:hAnsi="宋体" w:cs="宋体"/>
                <w:sz w:val="18"/>
                <w:szCs w:val="18"/>
              </w:rPr>
              <w:t>栽植</w:t>
            </w:r>
          </w:p>
        </w:tc>
        <w:tc>
          <w:tcPr>
            <w:tcW w:w="1668" w:type="dxa"/>
            <w:vAlign w:val="center"/>
          </w:tcPr>
          <w:p w14:paraId="26B9D794">
            <w:pPr>
              <w:pStyle w:val="64"/>
              <w:numPr>
                <w:ilvl w:val="3"/>
                <w:numId w:val="0"/>
              </w:numPr>
              <w:jc w:val="center"/>
              <w:rPr>
                <w:rFonts w:hint="eastAsia" w:hAnsi="宋体" w:cs="宋体"/>
                <w:sz w:val="18"/>
                <w:szCs w:val="18"/>
              </w:rPr>
            </w:pPr>
            <w:r>
              <w:rPr>
                <w:rFonts w:hint="eastAsia" w:hAnsi="宋体" w:cs="宋体"/>
                <w:sz w:val="18"/>
                <w:szCs w:val="18"/>
              </w:rPr>
              <w:t>绿化栽植</w:t>
            </w:r>
          </w:p>
        </w:tc>
        <w:tc>
          <w:tcPr>
            <w:tcW w:w="3493" w:type="dxa"/>
            <w:vAlign w:val="center"/>
          </w:tcPr>
          <w:p w14:paraId="42900139">
            <w:pPr>
              <w:pStyle w:val="64"/>
              <w:numPr>
                <w:ilvl w:val="3"/>
                <w:numId w:val="0"/>
              </w:numPr>
              <w:jc w:val="center"/>
              <w:rPr>
                <w:rFonts w:hint="eastAsia" w:hAnsi="宋体" w:cs="宋体"/>
                <w:sz w:val="18"/>
                <w:szCs w:val="18"/>
              </w:rPr>
            </w:pPr>
            <w:r>
              <w:rPr>
                <w:rFonts w:hint="eastAsia" w:hAnsi="宋体" w:cs="宋体"/>
                <w:sz w:val="18"/>
                <w:szCs w:val="18"/>
              </w:rPr>
              <w:t>台阶栽植</w:t>
            </w:r>
          </w:p>
        </w:tc>
      </w:tr>
      <w:tr w14:paraId="32A8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564" w:type="dxa"/>
            <w:vMerge w:val="continue"/>
            <w:vAlign w:val="center"/>
          </w:tcPr>
          <w:p w14:paraId="73A7E151">
            <w:pPr>
              <w:pStyle w:val="64"/>
              <w:numPr>
                <w:ilvl w:val="3"/>
                <w:numId w:val="0"/>
              </w:numPr>
              <w:jc w:val="center"/>
              <w:rPr>
                <w:rFonts w:hint="eastAsia" w:hAnsi="宋体" w:cs="宋体"/>
                <w:sz w:val="18"/>
                <w:szCs w:val="18"/>
              </w:rPr>
            </w:pPr>
          </w:p>
        </w:tc>
        <w:tc>
          <w:tcPr>
            <w:tcW w:w="1349" w:type="dxa"/>
            <w:vMerge w:val="continue"/>
            <w:vAlign w:val="center"/>
          </w:tcPr>
          <w:p w14:paraId="0A7BDE3C">
            <w:pPr>
              <w:pStyle w:val="64"/>
              <w:numPr>
                <w:ilvl w:val="3"/>
                <w:numId w:val="0"/>
              </w:numPr>
              <w:jc w:val="center"/>
              <w:rPr>
                <w:rFonts w:hint="eastAsia" w:hAnsi="宋体" w:cs="宋体"/>
                <w:sz w:val="18"/>
                <w:szCs w:val="18"/>
              </w:rPr>
            </w:pPr>
          </w:p>
        </w:tc>
        <w:tc>
          <w:tcPr>
            <w:tcW w:w="1497" w:type="dxa"/>
            <w:vMerge w:val="continue"/>
            <w:vAlign w:val="center"/>
          </w:tcPr>
          <w:p w14:paraId="4D09565F">
            <w:pPr>
              <w:pStyle w:val="64"/>
              <w:numPr>
                <w:ilvl w:val="3"/>
                <w:numId w:val="0"/>
              </w:numPr>
              <w:jc w:val="center"/>
              <w:rPr>
                <w:rFonts w:hint="eastAsia" w:hAnsi="宋体" w:cs="宋体"/>
                <w:sz w:val="18"/>
                <w:szCs w:val="18"/>
              </w:rPr>
            </w:pPr>
          </w:p>
        </w:tc>
        <w:tc>
          <w:tcPr>
            <w:tcW w:w="1668" w:type="dxa"/>
            <w:vAlign w:val="center"/>
          </w:tcPr>
          <w:p w14:paraId="7A436BA6">
            <w:pPr>
              <w:pStyle w:val="64"/>
              <w:numPr>
                <w:ilvl w:val="3"/>
                <w:numId w:val="0"/>
              </w:numPr>
              <w:jc w:val="center"/>
              <w:rPr>
                <w:rFonts w:hint="eastAsia" w:hAnsi="宋体" w:cs="宋体"/>
                <w:sz w:val="18"/>
                <w:szCs w:val="18"/>
              </w:rPr>
            </w:pPr>
            <w:r>
              <w:rPr>
                <w:rFonts w:hint="eastAsia" w:hAnsi="宋体" w:cs="宋体"/>
                <w:sz w:val="18"/>
                <w:szCs w:val="18"/>
              </w:rPr>
              <w:t>藤本植物栽植</w:t>
            </w:r>
          </w:p>
        </w:tc>
        <w:tc>
          <w:tcPr>
            <w:tcW w:w="3493" w:type="dxa"/>
            <w:vAlign w:val="center"/>
          </w:tcPr>
          <w:p w14:paraId="0785CA27">
            <w:pPr>
              <w:pStyle w:val="64"/>
              <w:numPr>
                <w:ilvl w:val="3"/>
                <w:numId w:val="0"/>
              </w:numPr>
              <w:jc w:val="center"/>
              <w:rPr>
                <w:rFonts w:hint="eastAsia" w:hAnsi="宋体" w:cs="宋体"/>
                <w:sz w:val="18"/>
                <w:szCs w:val="18"/>
              </w:rPr>
            </w:pPr>
            <w:r>
              <w:rPr>
                <w:rFonts w:hint="eastAsia" w:hAnsi="宋体" w:cs="宋体"/>
                <w:sz w:val="18"/>
                <w:szCs w:val="18"/>
              </w:rPr>
              <w:t xml:space="preserve">藤立方技术 </w:t>
            </w:r>
          </w:p>
        </w:tc>
      </w:tr>
    </w:tbl>
    <w:p w14:paraId="134A804B">
      <w:pPr>
        <w:pStyle w:val="10"/>
        <w:ind w:firstLine="0" w:firstLineChars="0"/>
      </w:pPr>
    </w:p>
    <w:p w14:paraId="2C286FD3">
      <w:pPr>
        <w:pStyle w:val="23"/>
        <w:spacing w:before="156" w:after="156"/>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依据不同类型的边坡坡度、坡质，露天矿山高陡岩质边坡复绿技术适用条件参照附录A。</w:t>
      </w:r>
    </w:p>
    <w:p w14:paraId="2656BC6F">
      <w:pPr>
        <w:pStyle w:val="20"/>
        <w:outlineLvl w:val="1"/>
      </w:pPr>
      <w:r>
        <w:rPr>
          <w:rFonts w:hint="eastAsia"/>
        </w:rPr>
        <w:t>植物生长环境重构技术</w:t>
      </w:r>
    </w:p>
    <w:p w14:paraId="6887AC70">
      <w:pPr>
        <w:pStyle w:val="23"/>
        <w:spacing w:before="156" w:after="156"/>
      </w:pPr>
      <w:r>
        <w:rPr>
          <w:rFonts w:hint="eastAsia"/>
        </w:rPr>
        <w:t>植物纤维毯技术</w:t>
      </w:r>
    </w:p>
    <w:p w14:paraId="37EF34C8">
      <w:pPr>
        <w:pStyle w:val="25"/>
        <w:spacing w:before="156" w:after="156"/>
      </w:pPr>
      <w:r>
        <w:rPr>
          <w:rFonts w:hint="eastAsia" w:ascii="宋体" w:eastAsia="宋体"/>
        </w:rPr>
        <w:t>适用于坡度≤73°的中风化岩石边坡或防护边坡。</w:t>
      </w:r>
    </w:p>
    <w:p w14:paraId="6EC8AC4D">
      <w:pPr>
        <w:pStyle w:val="25"/>
        <w:spacing w:before="156" w:after="156"/>
        <w:rPr>
          <w:rFonts w:ascii="宋体" w:eastAsia="宋体"/>
        </w:rPr>
      </w:pPr>
      <w:r>
        <w:rPr>
          <w:rFonts w:hint="eastAsia" w:ascii="宋体" w:eastAsia="宋体"/>
        </w:rPr>
        <w:t>植物纤维毯材料应符合 JT/T 1108.3 的规定。</w:t>
      </w:r>
    </w:p>
    <w:p w14:paraId="23870966">
      <w:pPr>
        <w:pStyle w:val="25"/>
        <w:spacing w:before="156" w:after="156"/>
        <w:rPr>
          <w:rFonts w:ascii="宋体" w:eastAsia="宋体"/>
        </w:rPr>
      </w:pPr>
      <w:r>
        <w:rPr>
          <w:rFonts w:hint="eastAsia" w:ascii="宋体" w:eastAsia="宋体"/>
        </w:rPr>
        <w:t>应顺边坡等高线垂直方向自上而下铺设，坡顶应向上延伸≥80cm、坡脚应向下延伸≥80cm。</w:t>
      </w:r>
    </w:p>
    <w:p w14:paraId="0E80589D">
      <w:pPr>
        <w:pStyle w:val="25"/>
        <w:spacing w:before="156" w:after="156"/>
        <w:rPr>
          <w:rFonts w:ascii="宋体" w:eastAsia="宋体"/>
        </w:rPr>
      </w:pPr>
      <w:r>
        <w:rPr>
          <w:rFonts w:hint="eastAsia" w:ascii="宋体" w:eastAsia="宋体"/>
        </w:rPr>
        <w:t>相邻两卷之间相互搭接宽度≥10cm，搭接顺序按逆向风走向，且用锁扣绑扎固定。</w:t>
      </w:r>
    </w:p>
    <w:p w14:paraId="6CD4283E">
      <w:pPr>
        <w:pStyle w:val="25"/>
        <w:spacing w:before="156" w:after="156"/>
        <w:rPr>
          <w:rFonts w:hint="eastAsia" w:asciiTheme="minorEastAsia" w:hAnsiTheme="minorEastAsia" w:eastAsiaTheme="minorEastAsia" w:cstheme="minorEastAsia"/>
        </w:rPr>
      </w:pPr>
      <w:r>
        <w:rPr>
          <w:rFonts w:hint="eastAsia" w:ascii="宋体" w:eastAsia="宋体"/>
        </w:rPr>
        <w:t>为保持保水、保墒、保温、抗冲刷功能发挥与植被建植成效，毯垫铺设后即应进行浇水等措施。</w:t>
      </w:r>
    </w:p>
    <w:p w14:paraId="2218CEFB">
      <w:pPr>
        <w:pStyle w:val="23"/>
        <w:spacing w:before="156" w:after="156"/>
      </w:pPr>
      <w:r>
        <w:rPr>
          <w:rFonts w:hint="eastAsia"/>
        </w:rPr>
        <w:t>生态袋技术</w:t>
      </w:r>
    </w:p>
    <w:p w14:paraId="2CC941C9">
      <w:pPr>
        <w:pStyle w:val="25"/>
        <w:spacing w:before="156" w:after="156"/>
      </w:pPr>
      <w:r>
        <w:rPr>
          <w:rFonts w:hint="eastAsia" w:ascii="宋体" w:eastAsia="宋体"/>
        </w:rPr>
        <w:t>适用于坡度≤60°的中风化岩石边坡或防护边坡。</w:t>
      </w:r>
    </w:p>
    <w:p w14:paraId="3FED8440">
      <w:pPr>
        <w:pStyle w:val="25"/>
        <w:spacing w:before="156" w:after="156"/>
        <w:rPr>
          <w:rFonts w:ascii="宋体" w:eastAsia="宋体"/>
        </w:rPr>
      </w:pPr>
      <w:r>
        <w:rPr>
          <w:rFonts w:hint="eastAsia" w:ascii="宋体" w:eastAsia="宋体"/>
        </w:rPr>
        <w:t>生态袋制作材料应符合 GB/T 17639 和 GB/T 15789 的规定。</w:t>
      </w:r>
    </w:p>
    <w:p w14:paraId="15F768FD">
      <w:pPr>
        <w:pStyle w:val="25"/>
        <w:spacing w:before="156" w:after="156"/>
        <w:rPr>
          <w:rFonts w:ascii="宋体" w:eastAsia="宋体"/>
        </w:rPr>
      </w:pPr>
      <w:r>
        <w:rPr>
          <w:rFonts w:hint="eastAsia" w:ascii="宋体" w:eastAsia="宋体"/>
        </w:rPr>
        <w:t>实施工艺应按照边坡修整、清理，基质材料及配比，生态袋装基质土、封口，生态袋锚固或堆叠。</w:t>
      </w:r>
    </w:p>
    <w:p w14:paraId="4F836E4D">
      <w:pPr>
        <w:pStyle w:val="25"/>
        <w:spacing w:before="156" w:after="156"/>
        <w:rPr>
          <w:rFonts w:hint="eastAsia" w:asciiTheme="minorEastAsia" w:hAnsiTheme="minorEastAsia" w:eastAsiaTheme="minorEastAsia" w:cstheme="minorEastAsia"/>
        </w:rPr>
      </w:pPr>
      <w:r>
        <w:rPr>
          <w:rFonts w:hint="eastAsia" w:ascii="宋体" w:eastAsia="宋体"/>
        </w:rPr>
        <w:t>生态袋堆叠实施应配置联结扣、扎口线或扎口带等必要附件，陡坡结合平面网等使用。</w:t>
      </w:r>
    </w:p>
    <w:p w14:paraId="002B6940">
      <w:pPr>
        <w:pStyle w:val="20"/>
        <w:outlineLvl w:val="1"/>
      </w:pPr>
      <w:r>
        <w:rPr>
          <w:rFonts w:hint="eastAsia"/>
        </w:rPr>
        <w:t>植被建植技术</w:t>
      </w:r>
    </w:p>
    <w:p w14:paraId="1C717799">
      <w:pPr>
        <w:pStyle w:val="23"/>
        <w:spacing w:before="156" w:after="156"/>
      </w:pPr>
      <w:r>
        <w:rPr>
          <w:rFonts w:hint="eastAsia"/>
        </w:rPr>
        <w:t>一般规定</w:t>
      </w:r>
    </w:p>
    <w:p w14:paraId="4805D6AA">
      <w:pPr>
        <w:pStyle w:val="25"/>
        <w:spacing w:before="156" w:after="156"/>
        <w:rPr>
          <w:rFonts w:hint="eastAsia" w:asciiTheme="minorEastAsia" w:hAnsiTheme="minorEastAsia" w:eastAsiaTheme="minorEastAsia" w:cstheme="minorEastAsia"/>
        </w:rPr>
      </w:pPr>
      <w:r>
        <w:rPr>
          <w:rFonts w:hint="eastAsia"/>
        </w:rPr>
        <w:t>植被修复原则</w:t>
      </w:r>
    </w:p>
    <w:p w14:paraId="230914D2">
      <w:pPr>
        <w:pStyle w:val="41"/>
        <w:numPr>
          <w:ilvl w:val="0"/>
          <w:numId w:val="27"/>
        </w:numPr>
        <w:ind w:hanging="420"/>
      </w:pPr>
      <w:r>
        <w:rPr>
          <w:rFonts w:hint="eastAsia"/>
        </w:rPr>
        <w:t>结合矿场周边植被群落调查，为适生植物筛选提供依据；</w:t>
      </w:r>
    </w:p>
    <w:p w14:paraId="2E7086B2">
      <w:pPr>
        <w:pStyle w:val="41"/>
        <w:numPr>
          <w:ilvl w:val="0"/>
          <w:numId w:val="27"/>
        </w:numPr>
        <w:ind w:hanging="420"/>
      </w:pPr>
      <w:r>
        <w:rPr>
          <w:rFonts w:hint="eastAsia"/>
        </w:rPr>
        <w:t>应结合所调查的基本资料，筛选抗逆、改良土壤和固土能力强的植物品种</w:t>
      </w:r>
      <w:r>
        <w:t>；</w:t>
      </w:r>
    </w:p>
    <w:p w14:paraId="2DEC1C4D">
      <w:pPr>
        <w:pStyle w:val="41"/>
        <w:numPr>
          <w:ilvl w:val="0"/>
          <w:numId w:val="27"/>
        </w:numPr>
        <w:ind w:hanging="420"/>
      </w:pPr>
      <w:r>
        <w:rPr>
          <w:rFonts w:hint="eastAsia"/>
        </w:rPr>
        <w:t>应符合生物多样性和绿色可持续性原则；</w:t>
      </w:r>
    </w:p>
    <w:p w14:paraId="5606944E">
      <w:pPr>
        <w:pStyle w:val="41"/>
        <w:numPr>
          <w:ilvl w:val="0"/>
          <w:numId w:val="27"/>
        </w:numPr>
        <w:ind w:hanging="420"/>
      </w:pPr>
      <w:r>
        <w:rPr>
          <w:rFonts w:hint="eastAsia"/>
        </w:rPr>
        <w:t>遵循近自然景观再造原则。</w:t>
      </w:r>
    </w:p>
    <w:p w14:paraId="55746879">
      <w:pPr>
        <w:pStyle w:val="25"/>
        <w:spacing w:before="156" w:after="156"/>
        <w:rPr>
          <w:rFonts w:hint="eastAsia" w:asciiTheme="minorEastAsia" w:hAnsiTheme="minorEastAsia" w:eastAsiaTheme="minorEastAsia" w:cstheme="minorEastAsia"/>
        </w:rPr>
      </w:pPr>
      <w:r>
        <w:rPr>
          <w:rFonts w:hint="eastAsia"/>
        </w:rPr>
        <w:t>植物配置原则</w:t>
      </w:r>
    </w:p>
    <w:p w14:paraId="6DD8D8A0">
      <w:pPr>
        <w:pStyle w:val="41"/>
        <w:numPr>
          <w:ilvl w:val="0"/>
          <w:numId w:val="28"/>
        </w:numPr>
        <w:ind w:hanging="420"/>
      </w:pPr>
      <w:r>
        <w:rPr>
          <w:rFonts w:hint="eastAsia"/>
        </w:rPr>
        <w:t>宜与周边环境协调，草、灌、藤合理搭配，丰富生物多样性，构建立体生态防护系统，裂隙不发育的岩质边坡宜以草本植物和藤本植物为主，裂隙发育的岩质边坡宜以灌木为主；</w:t>
      </w:r>
    </w:p>
    <w:p w14:paraId="32FB56D4">
      <w:pPr>
        <w:pStyle w:val="41"/>
        <w:numPr>
          <w:ilvl w:val="0"/>
          <w:numId w:val="28"/>
        </w:numPr>
        <w:ind w:hanging="420"/>
      </w:pPr>
      <w:r>
        <w:rPr>
          <w:rFonts w:hint="eastAsia"/>
        </w:rPr>
        <w:t>根据现场调查情况，灌木选择宜常绿植物与落叶植物相结合、豆科植物与非豆科植物相结合，草本选择宜进行冷季型与暖季型植物的组合配置</w:t>
      </w:r>
      <w:r>
        <w:t>；</w:t>
      </w:r>
    </w:p>
    <w:p w14:paraId="6F3EE1A6">
      <w:pPr>
        <w:pStyle w:val="41"/>
        <w:numPr>
          <w:ilvl w:val="0"/>
          <w:numId w:val="28"/>
        </w:numPr>
        <w:ind w:hanging="420"/>
      </w:pPr>
      <w:r>
        <w:rPr>
          <w:rFonts w:hint="eastAsia"/>
        </w:rPr>
        <w:t>应遵循因地制宜、适地适树（草）原则，科学配置植物，合理构建植物群落，保持群落自我维持与正向演替的能力；</w:t>
      </w:r>
    </w:p>
    <w:p w14:paraId="5A6386F4">
      <w:pPr>
        <w:pStyle w:val="41"/>
        <w:numPr>
          <w:ilvl w:val="0"/>
          <w:numId w:val="28"/>
        </w:numPr>
        <w:ind w:hanging="420"/>
      </w:pPr>
      <w:r>
        <w:rPr>
          <w:rFonts w:hint="eastAsia"/>
        </w:rPr>
        <w:t>不应使用外来入侵物种，植物优先选用乡土树种和草种，乡土树种和草种遴选推荐按《国土空间生态保护修复工程乡土植物遴选指南》（TD/T  ****-2025）执行。</w:t>
      </w:r>
    </w:p>
    <w:p w14:paraId="373D1CFA">
      <w:pPr>
        <w:pStyle w:val="25"/>
        <w:spacing w:before="156" w:after="156"/>
      </w:pPr>
      <w:r>
        <w:rPr>
          <w:rFonts w:hint="eastAsia"/>
        </w:rPr>
        <w:t>植被修复种苗质量标准</w:t>
      </w:r>
    </w:p>
    <w:p w14:paraId="3E8D7099">
      <w:pPr>
        <w:pStyle w:val="41"/>
        <w:numPr>
          <w:ilvl w:val="0"/>
          <w:numId w:val="29"/>
        </w:numPr>
        <w:ind w:hanging="420"/>
      </w:pPr>
      <w:r>
        <w:rPr>
          <w:rFonts w:hint="eastAsia"/>
        </w:rPr>
        <w:t>种子质量</w:t>
      </w:r>
    </w:p>
    <w:p w14:paraId="532565E3">
      <w:pPr>
        <w:pStyle w:val="61"/>
        <w:widowControl w:val="0"/>
        <w:spacing w:line="324" w:lineRule="exact"/>
        <w:ind w:firstLine="840" w:firstLineChars="4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根据遴选、设计选定的植物来进行种质筛选，种子质量应满足 GB 7908 的规定。</w:t>
      </w:r>
    </w:p>
    <w:p w14:paraId="5CC29A2B">
      <w:pPr>
        <w:pStyle w:val="41"/>
        <w:numPr>
          <w:ilvl w:val="0"/>
          <w:numId w:val="29"/>
        </w:numPr>
        <w:ind w:hanging="420"/>
      </w:pPr>
      <w:r>
        <w:rPr>
          <w:rFonts w:hint="eastAsia"/>
        </w:rPr>
        <w:t>苗木质量</w:t>
      </w:r>
    </w:p>
    <w:p w14:paraId="30A14242">
      <w:pPr>
        <w:pStyle w:val="61"/>
        <w:widowControl w:val="0"/>
        <w:spacing w:line="324" w:lineRule="exact"/>
        <w:ind w:firstLine="840" w:firstLineChars="4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苗木要求应符合下列规定：</w:t>
      </w:r>
    </w:p>
    <w:p w14:paraId="3577A143">
      <w:pPr>
        <w:pStyle w:val="41"/>
        <w:numPr>
          <w:ilvl w:val="1"/>
          <w:numId w:val="29"/>
        </w:numPr>
        <w:tabs>
          <w:tab w:val="left" w:pos="1259"/>
        </w:tabs>
      </w:pPr>
      <w:r>
        <w:rPr>
          <w:rFonts w:hint="eastAsia"/>
        </w:rPr>
        <w:t>应优先选择容器苗，容器苗执行 LY 1000 的规定；</w:t>
      </w:r>
    </w:p>
    <w:p w14:paraId="49726586">
      <w:pPr>
        <w:pStyle w:val="41"/>
        <w:numPr>
          <w:ilvl w:val="1"/>
          <w:numId w:val="29"/>
        </w:numPr>
        <w:tabs>
          <w:tab w:val="left" w:pos="1259"/>
        </w:tabs>
      </w:pPr>
      <w:r>
        <w:rPr>
          <w:rFonts w:hint="eastAsia"/>
        </w:rPr>
        <w:t>裸根苗应使用 GB 6000 规定的</w:t>
      </w:r>
      <w:r>
        <w:rPr>
          <w:rFonts w:hint="eastAsia" w:hAnsi="宋体" w:cs="宋体"/>
        </w:rPr>
        <w:t>Ｉ</w:t>
      </w:r>
      <w:r>
        <w:rPr>
          <w:rFonts w:hint="eastAsia"/>
        </w:rPr>
        <w:t>级、</w:t>
      </w:r>
      <w:r>
        <w:rPr>
          <w:rFonts w:hint="eastAsia" w:ascii="仿宋" w:hAnsi="仿宋" w:eastAsia="仿宋" w:cs="仿宋"/>
        </w:rPr>
        <w:t>Ⅱ</w:t>
      </w:r>
      <w:r>
        <w:rPr>
          <w:rFonts w:hint="eastAsia"/>
        </w:rPr>
        <w:t>级标准；</w:t>
      </w:r>
    </w:p>
    <w:p w14:paraId="44ADABE2">
      <w:pPr>
        <w:pStyle w:val="41"/>
        <w:numPr>
          <w:ilvl w:val="1"/>
          <w:numId w:val="29"/>
        </w:numPr>
        <w:tabs>
          <w:tab w:val="left" w:pos="1259"/>
        </w:tabs>
        <w:rPr>
          <w:rFonts w:hint="eastAsia" w:asciiTheme="minorEastAsia" w:hAnsiTheme="minorEastAsia" w:eastAsiaTheme="minorEastAsia" w:cstheme="minorEastAsia"/>
          <w:szCs w:val="21"/>
        </w:rPr>
      </w:pPr>
      <w:r>
        <w:rPr>
          <w:rFonts w:hint="eastAsia"/>
        </w:rPr>
        <w:t>应优先选择本气候带区域培育苗木；</w:t>
      </w:r>
    </w:p>
    <w:p w14:paraId="55A7CDA6">
      <w:pPr>
        <w:pStyle w:val="41"/>
        <w:numPr>
          <w:ilvl w:val="1"/>
          <w:numId w:val="29"/>
        </w:numPr>
        <w:tabs>
          <w:tab w:val="left" w:pos="1259"/>
        </w:tabs>
        <w:rPr>
          <w:rFonts w:hint="eastAsia" w:asciiTheme="minorEastAsia" w:hAnsiTheme="minorEastAsia" w:eastAsiaTheme="minorEastAsia" w:cstheme="minorEastAsia"/>
          <w:szCs w:val="21"/>
        </w:rPr>
      </w:pPr>
      <w:r>
        <w:rPr>
          <w:rFonts w:hint="eastAsia"/>
        </w:rPr>
        <w:t>宜选择经抗旱、抗寒锻炼的苗木，慎重选择大水大肥催长的苗木；</w:t>
      </w:r>
    </w:p>
    <w:p w14:paraId="21893D43">
      <w:pPr>
        <w:pStyle w:val="41"/>
        <w:numPr>
          <w:ilvl w:val="1"/>
          <w:numId w:val="29"/>
        </w:numPr>
        <w:tabs>
          <w:tab w:val="left" w:pos="1259"/>
        </w:tabs>
        <w:rPr>
          <w:rFonts w:hint="eastAsia" w:asciiTheme="minorEastAsia" w:hAnsiTheme="minorEastAsia" w:eastAsiaTheme="minorEastAsia" w:cstheme="minorEastAsia"/>
          <w:szCs w:val="21"/>
        </w:rPr>
      </w:pPr>
      <w:r>
        <w:rPr>
          <w:rFonts w:hint="eastAsia"/>
        </w:rPr>
        <w:t>宜选择幼化处理的苗木；</w:t>
      </w:r>
    </w:p>
    <w:p w14:paraId="28FFF2A8">
      <w:pPr>
        <w:pStyle w:val="41"/>
        <w:numPr>
          <w:ilvl w:val="1"/>
          <w:numId w:val="29"/>
        </w:numPr>
        <w:tabs>
          <w:tab w:val="left" w:pos="1259"/>
        </w:tabs>
        <w:rPr>
          <w:rFonts w:hint="eastAsia" w:asciiTheme="minorEastAsia" w:hAnsiTheme="minorEastAsia" w:eastAsiaTheme="minorEastAsia" w:cstheme="minorEastAsia"/>
          <w:szCs w:val="21"/>
        </w:rPr>
      </w:pPr>
      <w:r>
        <w:rPr>
          <w:rFonts w:hint="eastAsia"/>
        </w:rPr>
        <w:t>禁止使用带有病虫害的苗木。</w:t>
      </w:r>
    </w:p>
    <w:p w14:paraId="7E0CDD29">
      <w:pPr>
        <w:pStyle w:val="25"/>
        <w:spacing w:before="156" w:after="156"/>
      </w:pPr>
      <w:r>
        <w:rPr>
          <w:rFonts w:hint="eastAsia"/>
        </w:rPr>
        <w:t>苗木栽植</w:t>
      </w:r>
    </w:p>
    <w:p w14:paraId="4E8D6EB2">
      <w:pPr>
        <w:pStyle w:val="41"/>
        <w:numPr>
          <w:ilvl w:val="0"/>
          <w:numId w:val="30"/>
        </w:numPr>
        <w:ind w:hanging="420"/>
      </w:pPr>
      <w:r>
        <w:rPr>
          <w:rFonts w:hint="eastAsia"/>
        </w:rPr>
        <w:t>栽植密度</w:t>
      </w:r>
    </w:p>
    <w:p w14:paraId="22DC85CC">
      <w:pPr>
        <w:pStyle w:val="61"/>
        <w:widowControl w:val="0"/>
        <w:spacing w:line="324" w:lineRule="exact"/>
        <w:ind w:firstLine="840" w:firstLineChars="4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根据高陡岩质边坡坡面立地条件，木本和草本植物栽植密度参照以下要求：</w:t>
      </w:r>
    </w:p>
    <w:p w14:paraId="0105A281">
      <w:pPr>
        <w:pStyle w:val="41"/>
        <w:numPr>
          <w:ilvl w:val="1"/>
          <w:numId w:val="29"/>
        </w:numPr>
        <w:tabs>
          <w:tab w:val="left" w:pos="1259"/>
        </w:tabs>
      </w:pPr>
      <w:r>
        <w:rPr>
          <w:rFonts w:hint="eastAsia"/>
        </w:rPr>
        <w:t>不宜栽植乔木；</w:t>
      </w:r>
    </w:p>
    <w:p w14:paraId="5037D59A">
      <w:pPr>
        <w:pStyle w:val="41"/>
        <w:numPr>
          <w:ilvl w:val="1"/>
          <w:numId w:val="29"/>
        </w:numPr>
        <w:tabs>
          <w:tab w:val="left" w:pos="1259"/>
        </w:tabs>
      </w:pPr>
      <w:r>
        <w:rPr>
          <w:rFonts w:hint="eastAsia"/>
        </w:rPr>
        <w:t>宜采用灌草藤结合，坡面灌木5000～10000株/hm</w:t>
      </w:r>
      <w:r>
        <w:rPr>
          <w:rFonts w:hint="eastAsia"/>
          <w:vertAlign w:val="superscript"/>
        </w:rPr>
        <w:t>2</w:t>
      </w:r>
      <w:r>
        <w:rPr>
          <w:rFonts w:hint="eastAsia"/>
        </w:rPr>
        <w:t>，坡面草本植物覆盖率≥80%，藤本植物覆盖率≥30%。</w:t>
      </w:r>
    </w:p>
    <w:p w14:paraId="090A4B44">
      <w:pPr>
        <w:pStyle w:val="41"/>
        <w:numPr>
          <w:ilvl w:val="0"/>
          <w:numId w:val="30"/>
        </w:numPr>
        <w:ind w:hanging="420"/>
      </w:pPr>
      <w:r>
        <w:rPr>
          <w:rFonts w:hint="eastAsia"/>
        </w:rPr>
        <w:t>栽植季节</w:t>
      </w:r>
    </w:p>
    <w:p w14:paraId="6AF6383B">
      <w:pPr>
        <w:pStyle w:val="61"/>
        <w:widowControl w:val="0"/>
        <w:spacing w:line="324" w:lineRule="exact"/>
        <w:ind w:firstLine="840" w:firstLineChars="4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土壤解冻后至上冻前，容器苗均可移栽，裸根苗宜在春节展叶前和秋季落叶后移栽。</w:t>
      </w:r>
    </w:p>
    <w:p w14:paraId="02D8290C">
      <w:pPr>
        <w:pStyle w:val="41"/>
        <w:numPr>
          <w:ilvl w:val="0"/>
          <w:numId w:val="30"/>
        </w:numPr>
        <w:ind w:hanging="420"/>
      </w:pPr>
      <w:r>
        <w:rPr>
          <w:rFonts w:hint="eastAsia"/>
        </w:rPr>
        <w:t>栽植要求</w:t>
      </w:r>
    </w:p>
    <w:p w14:paraId="39AB5D58">
      <w:pPr>
        <w:pStyle w:val="41"/>
        <w:numPr>
          <w:ilvl w:val="0"/>
          <w:numId w:val="31"/>
        </w:numPr>
      </w:pPr>
      <w:r>
        <w:rPr>
          <w:rFonts w:hint="eastAsia"/>
        </w:rPr>
        <w:t>移栽定植时，应对苗木进行剪梢、截干、修根、抹芽、苗根蘸浆等方法，也可以采用促根剂、蒸腾抑制剂和保水剂等处理苗木。</w:t>
      </w:r>
    </w:p>
    <w:p w14:paraId="7E28C458">
      <w:pPr>
        <w:pStyle w:val="41"/>
        <w:numPr>
          <w:ilvl w:val="0"/>
          <w:numId w:val="31"/>
        </w:numPr>
      </w:pPr>
      <w:r>
        <w:t>容器苗栽植时，应将不容易降解的容器除下。</w:t>
      </w:r>
    </w:p>
    <w:p w14:paraId="7D0170D5">
      <w:pPr>
        <w:pStyle w:val="41"/>
        <w:numPr>
          <w:ilvl w:val="0"/>
          <w:numId w:val="31"/>
        </w:numPr>
      </w:pPr>
      <w:r>
        <w:t>缓苗后，未成活的苗木，</w:t>
      </w:r>
      <w:r>
        <w:rPr>
          <w:rFonts w:hint="eastAsia"/>
        </w:rPr>
        <w:t>应</w:t>
      </w:r>
      <w:r>
        <w:t>及时补植。补植苗木应在高度、粗度等方面与周围苗木大小基本一致。</w:t>
      </w:r>
    </w:p>
    <w:p w14:paraId="3B5287CD">
      <w:pPr>
        <w:pStyle w:val="41"/>
        <w:numPr>
          <w:ilvl w:val="0"/>
          <w:numId w:val="30"/>
        </w:numPr>
        <w:ind w:hanging="420"/>
      </w:pPr>
      <w:r>
        <w:rPr>
          <w:rFonts w:hint="eastAsia"/>
        </w:rPr>
        <w:t>栽植期养护</w:t>
      </w:r>
    </w:p>
    <w:p w14:paraId="68309704">
      <w:pPr>
        <w:pStyle w:val="61"/>
        <w:widowControl w:val="0"/>
        <w:spacing w:line="324" w:lineRule="exact"/>
        <w:ind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苗木定植，应根据植物生理特性及其萌发生长需要，需在采场底盘或坡顶设置蓄水池，通过灌溉系统或人工措施及时灌水，在干旱半干旱和对植物措施要求标准高的区域应配套节水微灌措施。灌溉工程技术要求满足 GB/T 50363 的规定。</w:t>
      </w:r>
    </w:p>
    <w:p w14:paraId="2B1E6299">
      <w:pPr>
        <w:pStyle w:val="25"/>
        <w:spacing w:before="156" w:after="156"/>
      </w:pPr>
      <w:r>
        <w:rPr>
          <w:rFonts w:hint="eastAsia"/>
        </w:rPr>
        <w:t>种子播种</w:t>
      </w:r>
    </w:p>
    <w:p w14:paraId="47B961DF">
      <w:pPr>
        <w:pStyle w:val="61"/>
        <w:widowControl w:val="0"/>
        <w:spacing w:line="324" w:lineRule="exact"/>
        <w:ind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种子播种包含人工穴播、撒播与机械播种，播种技术措施应符合下列规定：</w:t>
      </w:r>
    </w:p>
    <w:p w14:paraId="2DEC7D22">
      <w:pPr>
        <w:pStyle w:val="41"/>
        <w:numPr>
          <w:ilvl w:val="0"/>
          <w:numId w:val="32"/>
        </w:numPr>
        <w:ind w:hanging="420"/>
      </w:pPr>
      <w:r>
        <w:rPr>
          <w:rFonts w:hint="eastAsia"/>
        </w:rPr>
        <w:t>人工撒播措施一般适宜灌草种子植被建植初期局部坡面覆盖，种子纯净度≥95％，发芽率≥70％。选用的草种宜生长迅速、保水保土能力强。播种量参照 GB∕T 38360 计算。宜把种子与细砂等拌和均匀后撒播，并覆种植土 1cm～2cm；</w:t>
      </w:r>
    </w:p>
    <w:p w14:paraId="64894203">
      <w:pPr>
        <w:pStyle w:val="41"/>
        <w:numPr>
          <w:ilvl w:val="0"/>
          <w:numId w:val="32"/>
        </w:numPr>
        <w:ind w:hanging="420"/>
      </w:pPr>
      <w:r>
        <w:rPr>
          <w:rFonts w:hint="eastAsia"/>
        </w:rPr>
        <w:t>人工穴播措施一般适宜乔灌种子局部坡面补植，植入穴内的种子数量，依据植物种类的不同每穴内数粒至数十粒不等均匀地播入种子，播种深度一般为种子横径的 2 倍～4 倍，再覆土镇压，覆土厚度为种子横径的 2 倍～4 倍；</w:t>
      </w:r>
    </w:p>
    <w:p w14:paraId="00B663EE">
      <w:pPr>
        <w:pStyle w:val="41"/>
        <w:numPr>
          <w:ilvl w:val="0"/>
          <w:numId w:val="32"/>
        </w:numPr>
        <w:ind w:hanging="420"/>
      </w:pPr>
      <w:r>
        <w:rPr>
          <w:rFonts w:hint="eastAsia"/>
        </w:rPr>
        <w:t>机械播种一般适宜植物建植初期坡面先锋植物营造，技术按机械喷播措施方法执行；</w:t>
      </w:r>
    </w:p>
    <w:p w14:paraId="70245815">
      <w:pPr>
        <w:pStyle w:val="41"/>
        <w:numPr>
          <w:ilvl w:val="0"/>
          <w:numId w:val="32"/>
        </w:numPr>
        <w:ind w:hanging="420"/>
      </w:pPr>
      <w:r>
        <w:rPr>
          <w:rFonts w:hint="eastAsia"/>
        </w:rPr>
        <w:t>播种量执行 GB/T 38360 中的规定。</w:t>
      </w:r>
    </w:p>
    <w:p w14:paraId="3D54076E">
      <w:pPr>
        <w:pStyle w:val="23"/>
        <w:spacing w:before="156" w:after="156"/>
        <w:rPr>
          <w:rFonts w:hint="eastAsia" w:asciiTheme="minorEastAsia" w:hAnsiTheme="minorEastAsia" w:eastAsiaTheme="minorEastAsia" w:cstheme="minorEastAsia"/>
        </w:rPr>
      </w:pPr>
      <w:r>
        <w:rPr>
          <w:rFonts w:hint="eastAsia"/>
        </w:rPr>
        <w:t>挂网客土喷播技术</w:t>
      </w:r>
    </w:p>
    <w:p w14:paraId="5BADD842">
      <w:pPr>
        <w:pStyle w:val="25"/>
        <w:spacing w:before="156" w:after="156"/>
        <w:rPr>
          <w:rFonts w:hint="eastAsia" w:ascii="宋体" w:hAnsi="宋体" w:eastAsia="宋体" w:cs="宋体"/>
        </w:rPr>
      </w:pPr>
      <w:r>
        <w:rPr>
          <w:rFonts w:hint="eastAsia" w:ascii="宋体" w:hAnsi="宋体" w:eastAsia="宋体" w:cs="宋体"/>
        </w:rPr>
        <w:t>喷播应在坡面加固技术的基础上进行。采用镀锌铁丝网等平面网加固技术时，平面网铺网和固定固件等有关技术要求应符合 CJJ/T 292 有关规定。</w:t>
      </w:r>
    </w:p>
    <w:p w14:paraId="374E38E3">
      <w:pPr>
        <w:pStyle w:val="25"/>
        <w:spacing w:before="156" w:after="156"/>
        <w:rPr>
          <w:rFonts w:hint="eastAsia" w:ascii="宋体" w:hAnsi="宋体" w:eastAsia="宋体" w:cs="宋体"/>
        </w:rPr>
      </w:pPr>
      <w:r>
        <w:rPr>
          <w:rFonts w:hint="eastAsia" w:ascii="宋体" w:hAnsi="宋体" w:eastAsia="宋体" w:cs="宋体"/>
        </w:rPr>
        <w:t>喷播基质的环保性能和相关指标应符合 GB 15618 的有关规定。</w:t>
      </w:r>
    </w:p>
    <w:p w14:paraId="4EE93F4B">
      <w:pPr>
        <w:pStyle w:val="25"/>
        <w:spacing w:before="156" w:after="156"/>
        <w:rPr>
          <w:rFonts w:hint="eastAsia" w:ascii="宋体" w:hAnsi="宋体" w:eastAsia="宋体" w:cs="宋体"/>
        </w:rPr>
      </w:pPr>
      <w:r>
        <w:rPr>
          <w:rFonts w:hint="eastAsia" w:ascii="宋体" w:hAnsi="宋体" w:eastAsia="宋体" w:cs="宋体"/>
        </w:rPr>
        <w:t>喷播基质厚度、离析度应符合 CJJ/T 292 的有关规定。</w:t>
      </w:r>
    </w:p>
    <w:p w14:paraId="652E107D">
      <w:pPr>
        <w:pStyle w:val="25"/>
        <w:spacing w:before="156" w:after="156"/>
        <w:rPr>
          <w:rFonts w:hint="eastAsia" w:ascii="宋体" w:hAnsi="宋体" w:eastAsia="宋体" w:cs="宋体"/>
        </w:rPr>
      </w:pPr>
      <w:r>
        <w:rPr>
          <w:rFonts w:hint="eastAsia" w:ascii="宋体" w:hAnsi="宋体" w:eastAsia="宋体" w:cs="宋体"/>
        </w:rPr>
        <w:t>喷播机类型应选择客土喷播机，喷播机械要求的基本参数及操作的技术要求、试验方法应符合 LY/T 1610 的有关规定。</w:t>
      </w:r>
    </w:p>
    <w:p w14:paraId="333B68FF">
      <w:pPr>
        <w:pStyle w:val="25"/>
        <w:spacing w:before="156" w:after="156"/>
        <w:rPr>
          <w:rFonts w:hint="eastAsia" w:ascii="宋体" w:hAnsi="宋体" w:eastAsia="宋体" w:cs="宋体"/>
        </w:rPr>
      </w:pPr>
      <w:r>
        <w:rPr>
          <w:rFonts w:hint="eastAsia" w:ascii="宋体" w:hAnsi="宋体" w:eastAsia="宋体" w:cs="宋体"/>
        </w:rPr>
        <w:t>喷播基质主要包含种植土、天然纤维、有机肥、复合肥及稳固剂等，喷播基质应符合以下规定：</w:t>
      </w:r>
    </w:p>
    <w:p w14:paraId="0937D376">
      <w:pPr>
        <w:pStyle w:val="41"/>
        <w:numPr>
          <w:ilvl w:val="0"/>
          <w:numId w:val="33"/>
        </w:numPr>
        <w:ind w:hanging="420"/>
      </w:pPr>
      <w:r>
        <w:rPr>
          <w:rFonts w:hint="eastAsia" w:asciiTheme="minorEastAsia" w:hAnsiTheme="minorEastAsia" w:eastAsiaTheme="minorEastAsia" w:cstheme="minorEastAsia"/>
          <w:szCs w:val="21"/>
        </w:rPr>
        <w:t>种植土应选用壤土（含砂壤土、轻壤土），土粒径</w:t>
      </w:r>
      <w:r>
        <w:rPr>
          <w:rFonts w:hint="eastAsia"/>
        </w:rPr>
        <w:t>≤</w:t>
      </w:r>
      <w:r>
        <w:rPr>
          <w:rFonts w:hint="eastAsia" w:asciiTheme="minorEastAsia" w:hAnsiTheme="minorEastAsia" w:eastAsiaTheme="minorEastAsia" w:cstheme="minorEastAsia"/>
          <w:szCs w:val="21"/>
        </w:rPr>
        <w:t>2cm，含水量</w:t>
      </w:r>
      <w:r>
        <w:rPr>
          <w:rFonts w:hint="eastAsia"/>
        </w:rPr>
        <w:t>≤</w:t>
      </w:r>
      <w:r>
        <w:rPr>
          <w:rFonts w:hint="eastAsia" w:asciiTheme="minorEastAsia" w:hAnsiTheme="minorEastAsia" w:eastAsiaTheme="minorEastAsia" w:cstheme="minorEastAsia"/>
          <w:szCs w:val="21"/>
        </w:rPr>
        <w:t>30%，选用时应将碎石、杂草、杂根等剔除，以免堵管；</w:t>
      </w:r>
    </w:p>
    <w:p w14:paraId="3DB7FAA8">
      <w:pPr>
        <w:pStyle w:val="41"/>
        <w:numPr>
          <w:ilvl w:val="0"/>
          <w:numId w:val="33"/>
        </w:numPr>
        <w:ind w:hanging="420"/>
      </w:pPr>
      <w:r>
        <w:rPr>
          <w:rFonts w:hint="eastAsia"/>
        </w:rPr>
        <w:t>天然纤维宜选用木纤维、秸秆、发酵处理后可抗虫害的锯木屑等物料，纤维粗度为 6mm～6.5mm，吸水性为 10 倍～12.5 倍；</w:t>
      </w:r>
    </w:p>
    <w:p w14:paraId="5617DFFD">
      <w:pPr>
        <w:pStyle w:val="41"/>
        <w:numPr>
          <w:ilvl w:val="0"/>
          <w:numId w:val="33"/>
        </w:numPr>
        <w:ind w:hanging="420"/>
      </w:pPr>
      <w:r>
        <w:rPr>
          <w:rFonts w:hint="eastAsia"/>
        </w:rPr>
        <w:t>稳固剂应选用成熟可靠，经过鉴定的产品。材料性能要求能够增强岩土体颗粒间的黏结性，环保无污染，适宜植被生长，且有较好的水稳性。稳固剂pH值 6～7，低黏度，可溶于水；</w:t>
      </w:r>
    </w:p>
    <w:p w14:paraId="6CF8C865">
      <w:pPr>
        <w:pStyle w:val="41"/>
        <w:numPr>
          <w:ilvl w:val="0"/>
          <w:numId w:val="33"/>
        </w:numPr>
        <w:ind w:hanging="420"/>
      </w:pPr>
      <w:r>
        <w:rPr>
          <w:rFonts w:hint="eastAsia"/>
        </w:rPr>
        <w:t>有机肥应符合 NY/T</w:t>
      </w:r>
      <w:r>
        <w:t> </w:t>
      </w:r>
      <w:r>
        <w:rPr>
          <w:rFonts w:hint="eastAsia"/>
        </w:rPr>
        <w:t xml:space="preserve"> </w:t>
      </w:r>
      <w:r>
        <w:t>525</w:t>
      </w:r>
      <w:r>
        <w:rPr>
          <w:rFonts w:hint="eastAsia"/>
        </w:rPr>
        <w:t xml:space="preserve"> 的规定；</w:t>
      </w:r>
    </w:p>
    <w:p w14:paraId="1F2CC294">
      <w:pPr>
        <w:pStyle w:val="41"/>
        <w:numPr>
          <w:ilvl w:val="0"/>
          <w:numId w:val="33"/>
        </w:numPr>
        <w:ind w:hanging="420"/>
      </w:pPr>
      <w:r>
        <w:rPr>
          <w:rFonts w:hint="eastAsia"/>
        </w:rPr>
        <w:t>复合肥应符合 GB/T 15063 的规定。</w:t>
      </w:r>
    </w:p>
    <w:p w14:paraId="13317339">
      <w:pPr>
        <w:pStyle w:val="25"/>
        <w:spacing w:before="156" w:after="156"/>
        <w:rPr>
          <w:rFonts w:hint="eastAsia" w:ascii="宋体" w:hAnsi="宋体" w:eastAsia="宋体" w:cs="宋体"/>
        </w:rPr>
      </w:pPr>
      <w:r>
        <w:rPr>
          <w:rFonts w:hint="eastAsia" w:ascii="宋体" w:hAnsi="宋体" w:eastAsia="宋体" w:cs="宋体"/>
        </w:rPr>
        <w:t>应按照边坡修整、网具铺设与固定、基层喷播、面层喷播、无纺布铺设与固定、出苗期与幼苗期浇水、追肥养护、补植补种的顺序施工。</w:t>
      </w:r>
    </w:p>
    <w:p w14:paraId="6B1E01CF">
      <w:pPr>
        <w:pStyle w:val="23"/>
        <w:spacing w:before="156" w:after="156"/>
        <w:rPr>
          <w:rFonts w:hint="eastAsia" w:asciiTheme="minorEastAsia" w:hAnsiTheme="minorEastAsia" w:eastAsiaTheme="minorEastAsia" w:cstheme="minorEastAsia"/>
        </w:rPr>
      </w:pPr>
      <w:r>
        <w:rPr>
          <w:rFonts w:hint="eastAsia"/>
        </w:rPr>
        <w:t>植被混凝土喷播技术</w:t>
      </w:r>
    </w:p>
    <w:p w14:paraId="79385390">
      <w:pPr>
        <w:pStyle w:val="25"/>
        <w:spacing w:before="156" w:after="156"/>
        <w:rPr>
          <w:rFonts w:hint="eastAsia" w:ascii="宋体" w:hAnsi="宋体" w:eastAsia="宋体" w:cs="宋体"/>
        </w:rPr>
      </w:pPr>
      <w:r>
        <w:rPr>
          <w:rFonts w:hint="eastAsia" w:ascii="宋体" w:hAnsi="宋体" w:eastAsia="宋体" w:cs="宋体"/>
        </w:rPr>
        <w:t>根据边坡坡率、坡高、坡向及岩土地质、气象等资料的调查，喷播需做专项设计技术方案的比较，经专家论证后实施。</w:t>
      </w:r>
    </w:p>
    <w:p w14:paraId="00EAB4C7">
      <w:pPr>
        <w:pStyle w:val="25"/>
        <w:spacing w:before="156" w:after="156"/>
        <w:rPr>
          <w:rFonts w:hint="eastAsia" w:ascii="宋体" w:hAnsi="宋体" w:eastAsia="宋体" w:cs="宋体"/>
        </w:rPr>
      </w:pPr>
      <w:r>
        <w:rPr>
          <w:rFonts w:hint="eastAsia" w:ascii="宋体" w:hAnsi="宋体" w:eastAsia="宋体" w:cs="宋体"/>
        </w:rPr>
        <w:t>应在现场试验段做测试喷播实验可行性论证后实施。</w:t>
      </w:r>
    </w:p>
    <w:p w14:paraId="4725D457">
      <w:pPr>
        <w:pStyle w:val="25"/>
        <w:spacing w:before="156" w:after="156"/>
        <w:rPr>
          <w:rFonts w:hint="eastAsia" w:ascii="宋体" w:hAnsi="宋体" w:eastAsia="宋体" w:cs="宋体"/>
        </w:rPr>
      </w:pPr>
      <w:r>
        <w:rPr>
          <w:rFonts w:hint="eastAsia" w:ascii="宋体" w:hAnsi="宋体" w:eastAsia="宋体" w:cs="宋体"/>
        </w:rPr>
        <w:t>结合矿山所处区域年平均降水量、主要降水分布月、月平均气温等气候资料，坡度大于 60</w:t>
      </w:r>
      <w:r>
        <w:rPr>
          <w:rFonts w:hint="eastAsia" w:asciiTheme="minorEastAsia" w:hAnsiTheme="minorEastAsia" w:eastAsiaTheme="minorEastAsia" w:cstheme="minorEastAsia"/>
        </w:rPr>
        <w:t>°的高陡边坡喷播宜与自动灌溉、施肥装置相结合配套使用，以确保植物等水分和养分供给。</w:t>
      </w:r>
    </w:p>
    <w:p w14:paraId="114FE13B">
      <w:pPr>
        <w:pStyle w:val="25"/>
        <w:spacing w:before="156" w:after="156"/>
        <w:rPr>
          <w:rFonts w:hint="eastAsia" w:asciiTheme="minorEastAsia" w:hAnsiTheme="minorEastAsia" w:eastAsiaTheme="minorEastAsia" w:cstheme="minorEastAsia"/>
        </w:rPr>
      </w:pPr>
      <w:r>
        <w:rPr>
          <w:rFonts w:hint="eastAsia" w:asciiTheme="minorEastAsia" w:hAnsiTheme="minorEastAsia" w:eastAsiaTheme="minorEastAsia" w:cstheme="minorEastAsia"/>
        </w:rPr>
        <w:t>植被混凝土的材料及其配制、喷植等技术要求应符合 NB/T 35082 有关规定。</w:t>
      </w:r>
    </w:p>
    <w:p w14:paraId="40804849">
      <w:pPr>
        <w:pStyle w:val="25"/>
        <w:spacing w:before="156" w:after="156"/>
        <w:rPr>
          <w:rFonts w:hint="eastAsia" w:asciiTheme="minorEastAsia" w:hAnsiTheme="minorEastAsia" w:eastAsiaTheme="minorEastAsia" w:cstheme="minorEastAsia"/>
        </w:rPr>
      </w:pPr>
      <w:r>
        <w:rPr>
          <w:rFonts w:hint="eastAsia" w:ascii="宋体" w:hAnsi="宋体" w:eastAsia="宋体" w:cs="宋体"/>
        </w:rPr>
        <w:t>应按照边坡修整、加筋网具铺设与固定、喷播或滴灌系统安装、植被混凝土配制、植被混凝土基层喷播、植被混凝土面层喷播、无纺布铺设与固定、苗期与生长期养护的顺序施工。</w:t>
      </w:r>
    </w:p>
    <w:p w14:paraId="1461E6AC">
      <w:pPr>
        <w:pStyle w:val="23"/>
        <w:spacing w:before="156" w:after="156"/>
      </w:pPr>
      <w:r>
        <w:rPr>
          <w:rFonts w:hint="eastAsia"/>
        </w:rPr>
        <w:t>台阶栽植技术</w:t>
      </w:r>
    </w:p>
    <w:p w14:paraId="0ADB1946">
      <w:pPr>
        <w:pStyle w:val="25"/>
        <w:spacing w:before="156" w:after="156"/>
        <w:rPr>
          <w:rFonts w:hint="eastAsia" w:ascii="宋体" w:hAnsi="宋体" w:eastAsia="宋体" w:cs="宋体"/>
        </w:rPr>
      </w:pPr>
      <w:r>
        <w:rPr>
          <w:rFonts w:hint="eastAsia" w:ascii="宋体" w:hAnsi="宋体" w:eastAsia="宋体" w:cs="宋体"/>
        </w:rPr>
        <w:t>应先按一定距离在边坡上修筑台阶。在台阶外侧砌墙，墙后回填种植土；宜在台阶平台上按一定距离开凿线性种植槽，种植槽的尺寸宽 80cm～120cm、深 60cm～100cm，在槽内换填种植土。</w:t>
      </w:r>
    </w:p>
    <w:p w14:paraId="12653C2B">
      <w:pPr>
        <w:pStyle w:val="25"/>
        <w:spacing w:before="156" w:after="156"/>
        <w:rPr>
          <w:rFonts w:hint="eastAsia" w:ascii="宋体" w:hAnsi="宋体" w:eastAsia="宋体" w:cs="宋体"/>
        </w:rPr>
      </w:pPr>
      <w:r>
        <w:rPr>
          <w:rFonts w:hint="eastAsia" w:ascii="宋体" w:hAnsi="宋体" w:eastAsia="宋体" w:cs="宋体"/>
        </w:rPr>
        <w:t>种植土质量符合 GB/T 33891 有关规定外，应对种植土进行改良，采用过筛等方式剔除危害植物生长的一切杂质及垃圾，进行底肥加施，包括微生物有机肥和无机化肥；对土壤进行消毒，包括除杂草、杀虫、杀菌，采用化学药剂喷施；对覆土区域掺加保水剂。</w:t>
      </w:r>
    </w:p>
    <w:p w14:paraId="50C1F7C4">
      <w:pPr>
        <w:pStyle w:val="25"/>
        <w:spacing w:before="156" w:after="156"/>
        <w:rPr>
          <w:rFonts w:hint="eastAsia" w:asciiTheme="minorEastAsia" w:hAnsiTheme="minorEastAsia" w:eastAsiaTheme="minorEastAsia" w:cstheme="minorEastAsia"/>
        </w:rPr>
      </w:pPr>
      <w:r>
        <w:rPr>
          <w:rFonts w:hint="eastAsia" w:ascii="宋体" w:hAnsi="宋体" w:eastAsia="宋体" w:cs="宋体"/>
        </w:rPr>
        <w:t>应栽植灌、草、藤本容器苗，树种选择应常绿和落叶树种搭配合理，形成景观层次丰富、垂直结构合理的植物群落。</w:t>
      </w:r>
    </w:p>
    <w:p w14:paraId="3C4AF23F">
      <w:pPr>
        <w:pStyle w:val="23"/>
        <w:spacing w:before="156" w:after="156"/>
      </w:pPr>
      <w:r>
        <w:rPr>
          <w:rFonts w:hint="eastAsia"/>
        </w:rPr>
        <w:t>藤立方技术</w:t>
      </w:r>
    </w:p>
    <w:p w14:paraId="223C1EC6">
      <w:pPr>
        <w:pStyle w:val="25"/>
        <w:spacing w:before="156" w:after="156"/>
        <w:rPr>
          <w:rFonts w:hint="eastAsia" w:asciiTheme="minorEastAsia" w:hAnsiTheme="minorEastAsia" w:eastAsiaTheme="minorEastAsia" w:cstheme="minorEastAsia"/>
        </w:rPr>
      </w:pPr>
      <w:r>
        <w:rPr>
          <w:rFonts w:hint="eastAsia" w:asciiTheme="minorEastAsia" w:hAnsiTheme="minorEastAsia" w:eastAsiaTheme="minorEastAsia" w:cstheme="minorEastAsia"/>
        </w:rPr>
        <w:t>藤立方技术主要包括藤本植物筛选、配置与栽植，基质配置，生态种植槽构筑，攀爬结构选型等，其技术要点应符合下列规定：</w:t>
      </w:r>
    </w:p>
    <w:p w14:paraId="77755B22">
      <w:pPr>
        <w:pStyle w:val="41"/>
        <w:numPr>
          <w:ilvl w:val="0"/>
          <w:numId w:val="34"/>
        </w:numPr>
        <w:ind w:hanging="420"/>
      </w:pPr>
      <w:r>
        <w:rPr>
          <w:rFonts w:hint="eastAsia"/>
        </w:rPr>
        <w:t>藤本植物筛选。筛选抗逆性强、适生性好的多年生吸附类与缠绕类木本藤本植物，筛选品种南方推荐常春油麻藤、何首乌、忍冬、五叶地锦、爬山虎、凌霄、意大利络石、扶芳藤、藤本月季、南蛇藤，北方推荐爬山虎、凌霄、五叶地锦、忍冬、意大利络石、山荞麦、藤本月季、南蛇藤；</w:t>
      </w:r>
    </w:p>
    <w:p w14:paraId="6C3612F2">
      <w:pPr>
        <w:pStyle w:val="41"/>
        <w:numPr>
          <w:ilvl w:val="0"/>
          <w:numId w:val="34"/>
        </w:numPr>
        <w:ind w:hanging="420"/>
      </w:pPr>
      <w:r>
        <w:rPr>
          <w:rFonts w:hint="eastAsia"/>
        </w:rPr>
        <w:t>藤本植物配置。依据不同边坡坡段的立地条件情况，为使藤本植物攀爬生长势均匀，重塑藤本植物异质性景观，采用常绿与落叶、速生与慢生、喜阳与耐荫品种混植；</w:t>
      </w:r>
    </w:p>
    <w:p w14:paraId="7181C7D2">
      <w:pPr>
        <w:pStyle w:val="41"/>
        <w:numPr>
          <w:ilvl w:val="0"/>
          <w:numId w:val="34"/>
        </w:numPr>
        <w:ind w:hanging="420"/>
      </w:pPr>
      <w:r>
        <w:rPr>
          <w:rFonts w:hint="eastAsia"/>
        </w:rPr>
        <w:t>藤本植物移栽、定植。为保障藤本植物移栽成活率及快速生长，不宜选用裸根苗，应选用2～3年生须根系发达的控根容器苗，容器材质、规格可选择直径*高为15cm*20cm的无纺布袋苗。定植在各级边坡坡脚以“列植”方式为主，坡面适宜坡段以围堰或种植箱形式的“点植”相结合，定植密度 3～5株/m，以“上爬下垂”模式主动复绿边坡；</w:t>
      </w:r>
    </w:p>
    <w:p w14:paraId="1ADBB183">
      <w:pPr>
        <w:pStyle w:val="41"/>
        <w:numPr>
          <w:ilvl w:val="0"/>
          <w:numId w:val="34"/>
        </w:numPr>
        <w:ind w:hanging="420"/>
      </w:pPr>
      <w:r>
        <w:rPr>
          <w:rFonts w:hint="eastAsia"/>
        </w:rPr>
        <w:t>基质配制。藤本种植基质主要由有机肥与耕植土以 6：4（体积比）比例配制而成，其中有机肥中的有机质的质量分数≥50%（干基计）、总养分的质量分数≥6.0%、有效活菌数≥2.0亿/g，具备保水、保肥、透气、pH值适中等特性，为藤本植物快速攀附生长提供长效土壤肥力；</w:t>
      </w:r>
    </w:p>
    <w:p w14:paraId="7935A98E">
      <w:pPr>
        <w:pStyle w:val="41"/>
        <w:numPr>
          <w:ilvl w:val="0"/>
          <w:numId w:val="34"/>
        </w:numPr>
        <w:ind w:hanging="420"/>
      </w:pPr>
      <w:r>
        <w:rPr>
          <w:rFonts w:hint="eastAsia"/>
        </w:rPr>
        <w:t>生态种植槽构筑。种植槽构造应有效提高藤本植物攀附生长的长效性，种植槽容量尺寸应满足≥5年藤本植物根系生长空间，种植槽槽壁厚度≥30cm，槽内高度≥50cm、宽度≥50cm，种植槽结构用材可依据边坡立地条件、项目交通条件及材质就近原则，选择在坡脚或平台内侧设置生态袋种植槽、石笼种植槽、砖砌种植槽等，也可在坡面微地形适宜坡段，布设种植箱或燕巢式种植槽，以提高≥20m单级边坡植被覆盖度；</w:t>
      </w:r>
    </w:p>
    <w:p w14:paraId="1AB6AAEB">
      <w:pPr>
        <w:pStyle w:val="41"/>
        <w:numPr>
          <w:ilvl w:val="0"/>
          <w:numId w:val="34"/>
        </w:numPr>
        <w:ind w:hanging="420"/>
      </w:pPr>
      <w:r>
        <w:rPr>
          <w:rFonts w:hint="eastAsia"/>
        </w:rPr>
        <w:t>攀爬结构布设与固定。根据边坡坡质、坡度及边坡坡面凹凸起伏的不同类型，设置相适宜的镀锌铁丝网、包塑铁丝网及藤本攀爬网或牵引绳，牵引缠绕类藤本植物攀附坡面生长。攀爬结构人工引导措施应固定于稳固的岩壁上，随坡形设置，不得紧贴岩壁，悬空不应大于 50cm；遇突出岩体时可设置垫块，保持与岩壁的间距。结构固定可参照平面网固定相关要求；</w:t>
      </w:r>
    </w:p>
    <w:p w14:paraId="6CC7B66F">
      <w:pPr>
        <w:pStyle w:val="41"/>
        <w:numPr>
          <w:ilvl w:val="0"/>
          <w:numId w:val="34"/>
        </w:numPr>
        <w:ind w:hanging="420"/>
      </w:pPr>
      <w:r>
        <w:rPr>
          <w:rFonts w:hint="eastAsia"/>
        </w:rPr>
        <w:t>为实现边坡快速复绿目标，促进植被自然演替，藤立方技术实施应配套运用藤本植物、生态种植槽、藤本种植基质、攀爬结构等技术工艺、工法。藤立方系统结构构造可参考图2。</w:t>
      </w:r>
    </w:p>
    <w:p w14:paraId="44AEC1F3">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drawing>
          <wp:inline distT="0" distB="0" distL="114300" distR="114300">
            <wp:extent cx="4335780" cy="2549525"/>
            <wp:effectExtent l="0" t="0" r="7620" b="10795"/>
            <wp:docPr id="3" name="图片 3" descr="C:/Users/Lenovo/Desktop/2025.10.png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enovo/Desktop/2025.10.png2025.10"/>
                    <pic:cNvPicPr>
                      <a:picLocks noChangeAspect="1"/>
                    </pic:cNvPicPr>
                  </pic:nvPicPr>
                  <pic:blipFill>
                    <a:blip r:embed="rId14"/>
                    <a:srcRect t="-1448" r="365" b="10028"/>
                    <a:stretch>
                      <a:fillRect/>
                    </a:stretch>
                  </pic:blipFill>
                  <pic:spPr>
                    <a:xfrm>
                      <a:off x="0" y="0"/>
                      <a:ext cx="4335780" cy="2549525"/>
                    </a:xfrm>
                    <a:prstGeom prst="rect">
                      <a:avLst/>
                    </a:prstGeom>
                  </pic:spPr>
                </pic:pic>
              </a:graphicData>
            </a:graphic>
          </wp:inline>
        </w:drawing>
      </w:r>
    </w:p>
    <w:p w14:paraId="7F536A67">
      <w:pPr>
        <w:pStyle w:val="36"/>
        <w:rPr>
          <w:rFonts w:hint="eastAsia" w:asciiTheme="minorEastAsia" w:hAnsiTheme="minorEastAsia" w:eastAsiaTheme="minorEastAsia" w:cstheme="minorEastAsia"/>
          <w:szCs w:val="21"/>
        </w:rPr>
      </w:pPr>
      <w:r>
        <w:rPr>
          <w:rFonts w:hint="eastAsia"/>
        </w:rPr>
        <w:t>藤立方系统结构构造</w:t>
      </w:r>
    </w:p>
    <w:p w14:paraId="3E25FD89">
      <w:pPr>
        <w:widowControl/>
        <w:jc w:val="left"/>
        <w:rPr>
          <w:rFonts w:hint="eastAsia" w:asciiTheme="minorEastAsia" w:hAnsiTheme="minorEastAsia" w:eastAsiaTheme="minorEastAsia" w:cstheme="minorEastAsia"/>
          <w:kern w:val="0"/>
          <w:szCs w:val="21"/>
        </w:rPr>
      </w:pPr>
    </w:p>
    <w:p w14:paraId="527C3E05">
      <w:pPr>
        <w:pStyle w:val="25"/>
        <w:spacing w:before="156" w:after="156"/>
      </w:pPr>
      <w:r>
        <w:rPr>
          <w:rFonts w:hint="eastAsia" w:ascii="宋体" w:hAnsi="宋体" w:eastAsia="宋体" w:cs="宋体"/>
        </w:rPr>
        <w:t>应按照边坡清理、攀爬结构铺设与固定、生态种植槽砌筑、基质配置与回填、藤本植物移栽定植、灌溉系统安装、基槽防草布或深色土工布覆盖、植被养护的顺序施工。</w:t>
      </w:r>
    </w:p>
    <w:p w14:paraId="03642A13">
      <w:pPr>
        <w:pStyle w:val="19"/>
        <w:outlineLvl w:val="0"/>
      </w:pPr>
      <w:bookmarkStart w:id="11" w:name="_Toc5308"/>
      <w:r>
        <w:rPr>
          <w:rFonts w:hint="eastAsia"/>
        </w:rPr>
        <w:fldChar w:fldCharType="begin"/>
      </w:r>
      <w:r>
        <w:rPr>
          <w:rFonts w:hint="eastAsia"/>
        </w:rPr>
        <w:instrText xml:space="preserve"> HYPERLINK \l _Toc24886 </w:instrText>
      </w:r>
      <w:r>
        <w:rPr>
          <w:rFonts w:hint="eastAsia"/>
        </w:rPr>
        <w:fldChar w:fldCharType="separate"/>
      </w:r>
      <w:r>
        <w:rPr>
          <w:rFonts w:hint="eastAsia"/>
        </w:rPr>
        <w:t>监测与管护技术</w:t>
      </w:r>
      <w:r>
        <w:rPr>
          <w:rFonts w:hint="eastAsia"/>
        </w:rPr>
        <w:fldChar w:fldCharType="end"/>
      </w:r>
      <w:bookmarkEnd w:id="11"/>
    </w:p>
    <w:p w14:paraId="34AECFBA">
      <w:pPr>
        <w:pStyle w:val="20"/>
        <w:outlineLvl w:val="1"/>
        <w:rPr>
          <w:rFonts w:hint="eastAsia" w:asciiTheme="minorEastAsia" w:hAnsiTheme="minorEastAsia" w:eastAsiaTheme="minorEastAsia" w:cstheme="minorEastAsia"/>
        </w:rPr>
      </w:pPr>
      <w:r>
        <w:rPr>
          <w:rFonts w:hint="eastAsia"/>
        </w:rPr>
        <w:t>监测工程</w:t>
      </w:r>
    </w:p>
    <w:p w14:paraId="3163EE95">
      <w:pPr>
        <w:pStyle w:val="23"/>
        <w:spacing w:before="156" w:after="156"/>
        <w:outlineLvl w:val="2"/>
      </w:pPr>
      <w:r>
        <w:rPr>
          <w:rFonts w:hint="eastAsia"/>
        </w:rPr>
        <w:t>监测评价目的</w:t>
      </w:r>
    </w:p>
    <w:p w14:paraId="61C4A610">
      <w:pPr>
        <w:pStyle w:val="56"/>
        <w:ind w:firstLine="42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为露天矿山高陡岩质边坡生态修复等过程监管、适应性管理和验收提供科学依据。</w:t>
      </w:r>
    </w:p>
    <w:p w14:paraId="5023AF25">
      <w:pPr>
        <w:pStyle w:val="56"/>
        <w:ind w:firstLine="420"/>
        <w:rPr>
          <w:rFonts w:hint="eastAsia" w:asciiTheme="minorEastAsia" w:hAnsiTheme="minorEastAsia" w:eastAsiaTheme="minorEastAsia" w:cstheme="minorEastAsia"/>
          <w:szCs w:val="21"/>
        </w:rPr>
      </w:pPr>
    </w:p>
    <w:p w14:paraId="0402F789">
      <w:pPr>
        <w:pStyle w:val="23"/>
        <w:spacing w:before="156" w:after="156"/>
        <w:outlineLvl w:val="2"/>
      </w:pPr>
      <w:r>
        <w:rPr>
          <w:rFonts w:hint="eastAsia"/>
        </w:rPr>
        <w:t>监测范围</w:t>
      </w:r>
    </w:p>
    <w:p w14:paraId="00DEF520">
      <w:pPr>
        <w:pStyle w:val="56"/>
        <w:ind w:firstLine="42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充分体现矿场自然生态系统完整性,统筹考虑矿山所在的自然地理单元和生态功能空间，以露天矿山高陡岩质边坡生态修复工作实施区域范围为主，可适当扩展到矿场周边区域。</w:t>
      </w:r>
    </w:p>
    <w:p w14:paraId="046E8281">
      <w:pPr>
        <w:pStyle w:val="23"/>
        <w:spacing w:before="156" w:after="156"/>
        <w:outlineLvl w:val="2"/>
        <w:rPr>
          <w:rFonts w:hint="eastAsia" w:asciiTheme="minorEastAsia" w:hAnsiTheme="minorEastAsia" w:eastAsiaTheme="minorEastAsia" w:cstheme="minorEastAsia"/>
        </w:rPr>
      </w:pPr>
      <w:r>
        <w:rPr>
          <w:rFonts w:hint="eastAsia"/>
        </w:rPr>
        <w:t>监测内容</w:t>
      </w:r>
    </w:p>
    <w:p w14:paraId="1E9132FB">
      <w:pPr>
        <w:pStyle w:val="25"/>
        <w:spacing w:before="156" w:after="156"/>
        <w:outlineLvl w:val="3"/>
        <w:rPr>
          <w:rFonts w:hint="eastAsia" w:ascii="宋体" w:hAnsi="宋体" w:eastAsia="宋体" w:cs="宋体"/>
        </w:rPr>
      </w:pPr>
      <w:r>
        <w:rPr>
          <w:rFonts w:hint="eastAsia" w:ascii="宋体" w:hAnsi="宋体" w:eastAsia="宋体" w:cs="宋体"/>
        </w:rPr>
        <w:t>边坡稳定性主要监测项目可参考表3中的规定。</w:t>
      </w:r>
    </w:p>
    <w:p w14:paraId="435D9B49">
      <w:pPr>
        <w:pStyle w:val="38"/>
        <w:rPr>
          <w:rFonts w:hint="eastAsia" w:hAnsi="黑体" w:cs="黑体"/>
          <w:szCs w:val="21"/>
        </w:rPr>
      </w:pPr>
      <w:r>
        <w:rPr>
          <w:rFonts w:hint="eastAsia" w:hAnsi="黑体" w:cs="黑体"/>
          <w:szCs w:val="21"/>
        </w:rPr>
        <w:t>矿山高陡岩质边坡监测项目</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773"/>
        <w:gridCol w:w="5897"/>
      </w:tblGrid>
      <w:tr w14:paraId="64180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bottom w:val="single" w:color="auto" w:sz="8" w:space="0"/>
            </w:tcBorders>
            <w:vAlign w:val="center"/>
          </w:tcPr>
          <w:p w14:paraId="791B20BC">
            <w:pPr>
              <w:pStyle w:val="56"/>
              <w:widowControl w:val="0"/>
              <w:ind w:firstLine="0" w:firstLineChars="0"/>
              <w:jc w:val="center"/>
              <w:rPr>
                <w:rFonts w:hint="eastAsia" w:hAnsi="宋体" w:cs="宋体"/>
                <w:sz w:val="18"/>
                <w:szCs w:val="18"/>
              </w:rPr>
            </w:pPr>
            <w:r>
              <w:rPr>
                <w:rFonts w:hint="eastAsia" w:hAnsi="宋体" w:cs="宋体"/>
                <w:sz w:val="18"/>
                <w:szCs w:val="18"/>
              </w:rPr>
              <w:t>序号</w:t>
            </w:r>
          </w:p>
        </w:tc>
        <w:tc>
          <w:tcPr>
            <w:tcW w:w="1773" w:type="dxa"/>
            <w:tcBorders>
              <w:bottom w:val="single" w:color="auto" w:sz="8" w:space="0"/>
            </w:tcBorders>
            <w:vAlign w:val="center"/>
          </w:tcPr>
          <w:p w14:paraId="20C3D352">
            <w:pPr>
              <w:pStyle w:val="56"/>
              <w:widowControl w:val="0"/>
              <w:ind w:firstLine="0" w:firstLineChars="0"/>
              <w:jc w:val="center"/>
              <w:rPr>
                <w:rFonts w:hint="eastAsia" w:hAnsi="宋体" w:cs="宋体"/>
                <w:sz w:val="18"/>
                <w:szCs w:val="18"/>
              </w:rPr>
            </w:pPr>
            <w:r>
              <w:rPr>
                <w:rFonts w:hint="eastAsia" w:hAnsi="宋体" w:cs="宋体"/>
                <w:sz w:val="18"/>
                <w:szCs w:val="18"/>
              </w:rPr>
              <w:t>监测项目</w:t>
            </w:r>
          </w:p>
        </w:tc>
        <w:tc>
          <w:tcPr>
            <w:tcW w:w="5897" w:type="dxa"/>
            <w:tcBorders>
              <w:bottom w:val="single" w:color="auto" w:sz="8" w:space="0"/>
            </w:tcBorders>
            <w:vAlign w:val="center"/>
          </w:tcPr>
          <w:p w14:paraId="138EB08E">
            <w:pPr>
              <w:pStyle w:val="56"/>
              <w:widowControl w:val="0"/>
              <w:ind w:firstLine="0" w:firstLineChars="0"/>
              <w:jc w:val="center"/>
              <w:rPr>
                <w:rFonts w:hint="eastAsia" w:hAnsi="宋体" w:cs="宋体"/>
                <w:sz w:val="18"/>
                <w:szCs w:val="18"/>
              </w:rPr>
            </w:pPr>
            <w:r>
              <w:rPr>
                <w:rFonts w:hint="eastAsia" w:hAnsi="宋体" w:cs="宋体"/>
                <w:sz w:val="18"/>
                <w:szCs w:val="18"/>
              </w:rPr>
              <w:t>检测内容、目的</w:t>
            </w:r>
          </w:p>
        </w:tc>
      </w:tr>
      <w:tr w14:paraId="04C6D4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8" w:space="0"/>
            </w:tcBorders>
            <w:vAlign w:val="center"/>
          </w:tcPr>
          <w:p w14:paraId="07F19056">
            <w:pPr>
              <w:pStyle w:val="56"/>
              <w:widowControl w:val="0"/>
              <w:ind w:firstLine="0" w:firstLineChars="0"/>
              <w:jc w:val="center"/>
              <w:rPr>
                <w:rFonts w:hint="eastAsia" w:hAnsi="宋体" w:cs="宋体"/>
                <w:sz w:val="18"/>
                <w:szCs w:val="18"/>
              </w:rPr>
            </w:pPr>
            <w:r>
              <w:rPr>
                <w:rFonts w:hint="eastAsia" w:hAnsi="宋体" w:cs="宋体"/>
                <w:sz w:val="18"/>
                <w:szCs w:val="18"/>
              </w:rPr>
              <w:t>1</w:t>
            </w:r>
          </w:p>
        </w:tc>
        <w:tc>
          <w:tcPr>
            <w:tcW w:w="1773" w:type="dxa"/>
            <w:tcBorders>
              <w:top w:val="single" w:color="auto" w:sz="8" w:space="0"/>
            </w:tcBorders>
            <w:vAlign w:val="center"/>
          </w:tcPr>
          <w:p w14:paraId="593AF22E">
            <w:pPr>
              <w:pStyle w:val="56"/>
              <w:widowControl w:val="0"/>
              <w:ind w:firstLine="0" w:firstLineChars="0"/>
              <w:jc w:val="center"/>
              <w:rPr>
                <w:rFonts w:hint="eastAsia" w:hAnsi="宋体" w:cs="宋体"/>
                <w:sz w:val="18"/>
                <w:szCs w:val="18"/>
              </w:rPr>
            </w:pPr>
            <w:r>
              <w:rPr>
                <w:rFonts w:hint="eastAsia" w:hAnsi="宋体" w:cs="宋体"/>
                <w:sz w:val="18"/>
                <w:szCs w:val="18"/>
              </w:rPr>
              <w:t>裂缝监测</w:t>
            </w:r>
          </w:p>
        </w:tc>
        <w:tc>
          <w:tcPr>
            <w:tcW w:w="5897" w:type="dxa"/>
            <w:tcBorders>
              <w:top w:val="single" w:color="auto" w:sz="8" w:space="0"/>
            </w:tcBorders>
            <w:vAlign w:val="center"/>
          </w:tcPr>
          <w:p w14:paraId="4569BEBB">
            <w:pPr>
              <w:pStyle w:val="56"/>
              <w:widowControl w:val="0"/>
              <w:ind w:firstLine="0" w:firstLineChars="0"/>
              <w:jc w:val="center"/>
              <w:rPr>
                <w:rFonts w:hint="eastAsia" w:hAnsi="宋体" w:cs="宋体"/>
                <w:sz w:val="18"/>
                <w:szCs w:val="18"/>
              </w:rPr>
            </w:pPr>
            <w:r>
              <w:rPr>
                <w:rFonts w:hint="eastAsia" w:hAnsi="宋体" w:cs="宋体"/>
                <w:sz w:val="18"/>
                <w:szCs w:val="18"/>
              </w:rPr>
              <w:t>地表裂缝</w:t>
            </w:r>
          </w:p>
        </w:tc>
      </w:tr>
      <w:tr w14:paraId="4B07E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AD76C37">
            <w:pPr>
              <w:pStyle w:val="56"/>
              <w:widowControl w:val="0"/>
              <w:ind w:firstLine="0" w:firstLineChars="0"/>
              <w:jc w:val="center"/>
              <w:rPr>
                <w:rFonts w:hint="eastAsia" w:hAnsi="宋体" w:cs="宋体"/>
                <w:sz w:val="18"/>
                <w:szCs w:val="18"/>
              </w:rPr>
            </w:pPr>
            <w:r>
              <w:rPr>
                <w:rFonts w:hint="eastAsia" w:hAnsi="宋体" w:cs="宋体"/>
                <w:sz w:val="18"/>
                <w:szCs w:val="18"/>
              </w:rPr>
              <w:t>2</w:t>
            </w:r>
          </w:p>
        </w:tc>
        <w:tc>
          <w:tcPr>
            <w:tcW w:w="1773" w:type="dxa"/>
            <w:vAlign w:val="center"/>
          </w:tcPr>
          <w:p w14:paraId="155F6A60">
            <w:pPr>
              <w:pStyle w:val="56"/>
              <w:widowControl w:val="0"/>
              <w:ind w:firstLine="0" w:firstLineChars="0"/>
              <w:jc w:val="center"/>
              <w:rPr>
                <w:rFonts w:hint="eastAsia" w:hAnsi="宋体" w:cs="宋体"/>
                <w:sz w:val="18"/>
                <w:szCs w:val="18"/>
              </w:rPr>
            </w:pPr>
            <w:r>
              <w:rPr>
                <w:rFonts w:hint="eastAsia" w:hAnsi="宋体" w:cs="宋体"/>
                <w:sz w:val="18"/>
                <w:szCs w:val="18"/>
              </w:rPr>
              <w:t>位移监测</w:t>
            </w:r>
          </w:p>
        </w:tc>
        <w:tc>
          <w:tcPr>
            <w:tcW w:w="5897" w:type="dxa"/>
            <w:vAlign w:val="center"/>
          </w:tcPr>
          <w:p w14:paraId="0880AA0A">
            <w:pPr>
              <w:pStyle w:val="56"/>
              <w:widowControl w:val="0"/>
              <w:ind w:firstLine="0" w:firstLineChars="0"/>
              <w:jc w:val="center"/>
              <w:rPr>
                <w:rFonts w:hint="eastAsia" w:hAnsi="宋体" w:cs="宋体"/>
                <w:sz w:val="18"/>
                <w:szCs w:val="18"/>
              </w:rPr>
            </w:pPr>
            <w:r>
              <w:rPr>
                <w:rFonts w:hint="eastAsia" w:hAnsi="宋体" w:cs="宋体"/>
                <w:sz w:val="18"/>
                <w:szCs w:val="18"/>
              </w:rPr>
              <w:t>地表位移、地下（深部）位移</w:t>
            </w:r>
          </w:p>
        </w:tc>
      </w:tr>
      <w:tr w14:paraId="51BCC6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09563BBD">
            <w:pPr>
              <w:pStyle w:val="56"/>
              <w:widowControl w:val="0"/>
              <w:ind w:firstLine="0" w:firstLineChars="0"/>
              <w:jc w:val="center"/>
              <w:rPr>
                <w:rFonts w:hint="eastAsia" w:hAnsi="宋体" w:cs="宋体"/>
                <w:sz w:val="18"/>
                <w:szCs w:val="18"/>
              </w:rPr>
            </w:pPr>
            <w:r>
              <w:rPr>
                <w:rFonts w:hint="eastAsia" w:hAnsi="宋体" w:cs="宋体"/>
                <w:sz w:val="18"/>
                <w:szCs w:val="18"/>
              </w:rPr>
              <w:t>3</w:t>
            </w:r>
          </w:p>
        </w:tc>
        <w:tc>
          <w:tcPr>
            <w:tcW w:w="1773" w:type="dxa"/>
            <w:vAlign w:val="center"/>
          </w:tcPr>
          <w:p w14:paraId="4C3E7536">
            <w:pPr>
              <w:pStyle w:val="56"/>
              <w:widowControl w:val="0"/>
              <w:ind w:firstLine="0" w:firstLineChars="0"/>
              <w:jc w:val="center"/>
              <w:rPr>
                <w:rFonts w:hint="eastAsia" w:hAnsi="宋体" w:cs="宋体"/>
                <w:sz w:val="18"/>
                <w:szCs w:val="18"/>
              </w:rPr>
            </w:pPr>
            <w:r>
              <w:rPr>
                <w:rFonts w:hint="eastAsia" w:hAnsi="宋体" w:cs="宋体"/>
                <w:sz w:val="18"/>
                <w:szCs w:val="18"/>
              </w:rPr>
              <w:t>应力监测</w:t>
            </w:r>
          </w:p>
        </w:tc>
        <w:tc>
          <w:tcPr>
            <w:tcW w:w="5897" w:type="dxa"/>
            <w:vAlign w:val="center"/>
          </w:tcPr>
          <w:p w14:paraId="13237143">
            <w:pPr>
              <w:pStyle w:val="56"/>
              <w:widowControl w:val="0"/>
              <w:ind w:firstLine="0" w:firstLineChars="0"/>
              <w:jc w:val="center"/>
              <w:rPr>
                <w:rFonts w:hint="eastAsia" w:hAnsi="宋体" w:cs="宋体"/>
                <w:sz w:val="18"/>
                <w:szCs w:val="18"/>
              </w:rPr>
            </w:pPr>
            <w:r>
              <w:rPr>
                <w:rFonts w:hint="eastAsia" w:hAnsi="宋体" w:cs="宋体"/>
                <w:sz w:val="18"/>
                <w:szCs w:val="18"/>
              </w:rPr>
              <w:t>内部应力</w:t>
            </w:r>
          </w:p>
        </w:tc>
      </w:tr>
      <w:tr w14:paraId="175CA8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20E2D7C">
            <w:pPr>
              <w:pStyle w:val="56"/>
              <w:widowControl w:val="0"/>
              <w:ind w:firstLine="0" w:firstLineChars="0"/>
              <w:jc w:val="center"/>
              <w:rPr>
                <w:rFonts w:hint="eastAsia" w:hAnsi="宋体" w:cs="宋体"/>
                <w:sz w:val="18"/>
                <w:szCs w:val="18"/>
              </w:rPr>
            </w:pPr>
            <w:r>
              <w:rPr>
                <w:rFonts w:hint="eastAsia" w:hAnsi="宋体" w:cs="宋体"/>
                <w:sz w:val="18"/>
                <w:szCs w:val="18"/>
              </w:rPr>
              <w:t>4</w:t>
            </w:r>
          </w:p>
        </w:tc>
        <w:tc>
          <w:tcPr>
            <w:tcW w:w="1773" w:type="dxa"/>
            <w:vAlign w:val="center"/>
          </w:tcPr>
          <w:p w14:paraId="04F3DCA5">
            <w:pPr>
              <w:pStyle w:val="56"/>
              <w:widowControl w:val="0"/>
              <w:ind w:firstLine="0" w:firstLineChars="0"/>
              <w:jc w:val="center"/>
              <w:rPr>
                <w:rFonts w:hint="eastAsia" w:hAnsi="宋体" w:cs="宋体"/>
                <w:sz w:val="18"/>
                <w:szCs w:val="18"/>
              </w:rPr>
            </w:pPr>
            <w:r>
              <w:rPr>
                <w:rFonts w:hint="eastAsia" w:hAnsi="宋体" w:cs="宋体"/>
                <w:sz w:val="18"/>
                <w:szCs w:val="18"/>
              </w:rPr>
              <w:t>声发射监测</w:t>
            </w:r>
          </w:p>
        </w:tc>
        <w:tc>
          <w:tcPr>
            <w:tcW w:w="5897" w:type="dxa"/>
            <w:vAlign w:val="center"/>
          </w:tcPr>
          <w:p w14:paraId="1A645D51">
            <w:pPr>
              <w:pStyle w:val="56"/>
              <w:widowControl w:val="0"/>
              <w:ind w:firstLine="0" w:firstLineChars="0"/>
              <w:jc w:val="center"/>
              <w:rPr>
                <w:rFonts w:hint="eastAsia" w:hAnsi="宋体" w:cs="宋体"/>
                <w:sz w:val="18"/>
                <w:szCs w:val="18"/>
              </w:rPr>
            </w:pPr>
            <w:r>
              <w:rPr>
                <w:rFonts w:hint="eastAsia" w:hAnsi="宋体" w:cs="宋体"/>
                <w:sz w:val="18"/>
                <w:szCs w:val="18"/>
              </w:rPr>
              <w:t>岩石破裂</w:t>
            </w:r>
          </w:p>
        </w:tc>
      </w:tr>
      <w:tr w14:paraId="246CE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8C54333">
            <w:pPr>
              <w:pStyle w:val="56"/>
              <w:widowControl w:val="0"/>
              <w:ind w:firstLine="0" w:firstLineChars="0"/>
              <w:jc w:val="center"/>
              <w:rPr>
                <w:rFonts w:hint="eastAsia" w:hAnsi="宋体" w:cs="宋体"/>
                <w:sz w:val="18"/>
                <w:szCs w:val="18"/>
              </w:rPr>
            </w:pPr>
            <w:r>
              <w:rPr>
                <w:rFonts w:hint="eastAsia" w:hAnsi="宋体" w:cs="宋体"/>
                <w:sz w:val="18"/>
                <w:szCs w:val="18"/>
              </w:rPr>
              <w:t>5</w:t>
            </w:r>
          </w:p>
        </w:tc>
        <w:tc>
          <w:tcPr>
            <w:tcW w:w="1773" w:type="dxa"/>
            <w:vAlign w:val="center"/>
          </w:tcPr>
          <w:p w14:paraId="22AFDD3C">
            <w:pPr>
              <w:pStyle w:val="56"/>
              <w:widowControl w:val="0"/>
              <w:ind w:firstLine="0" w:firstLineChars="0"/>
              <w:jc w:val="center"/>
              <w:rPr>
                <w:rFonts w:hint="eastAsia" w:hAnsi="宋体" w:cs="宋体"/>
                <w:sz w:val="18"/>
                <w:szCs w:val="18"/>
              </w:rPr>
            </w:pPr>
            <w:r>
              <w:rPr>
                <w:rFonts w:hint="eastAsia" w:hAnsi="宋体" w:cs="宋体"/>
                <w:sz w:val="18"/>
                <w:szCs w:val="18"/>
              </w:rPr>
              <w:t>宏观变形迹象监测</w:t>
            </w:r>
          </w:p>
        </w:tc>
        <w:tc>
          <w:tcPr>
            <w:tcW w:w="5897" w:type="dxa"/>
            <w:vAlign w:val="center"/>
          </w:tcPr>
          <w:p w14:paraId="4FC71B3E">
            <w:pPr>
              <w:pStyle w:val="56"/>
              <w:widowControl w:val="0"/>
              <w:ind w:firstLine="0" w:firstLineChars="0"/>
              <w:jc w:val="center"/>
              <w:rPr>
                <w:rFonts w:hint="eastAsia" w:hAnsi="宋体" w:cs="宋体"/>
                <w:sz w:val="18"/>
                <w:szCs w:val="18"/>
              </w:rPr>
            </w:pPr>
            <w:r>
              <w:rPr>
                <w:rFonts w:hint="eastAsia" w:hAnsi="宋体" w:cs="宋体"/>
                <w:sz w:val="18"/>
                <w:szCs w:val="18"/>
              </w:rPr>
              <w:t>裂缝扩展、建筑物变形等各种异常现象</w:t>
            </w:r>
          </w:p>
        </w:tc>
      </w:tr>
    </w:tbl>
    <w:p w14:paraId="0114BBBB">
      <w:pPr>
        <w:pStyle w:val="56"/>
        <w:ind w:firstLine="0" w:firstLineChars="0"/>
        <w:rPr>
          <w:rFonts w:hint="eastAsia" w:hAnsi="宋体" w:cs="宋体"/>
          <w:szCs w:val="21"/>
        </w:rPr>
      </w:pPr>
    </w:p>
    <w:p w14:paraId="1372A830">
      <w:pPr>
        <w:pStyle w:val="25"/>
        <w:spacing w:before="156" w:after="156"/>
        <w:outlineLvl w:val="3"/>
        <w:rPr>
          <w:rFonts w:hint="eastAsia" w:ascii="宋体" w:hAnsi="宋体" w:eastAsia="宋体" w:cs="宋体"/>
        </w:rPr>
      </w:pPr>
      <w:r>
        <w:rPr>
          <w:rFonts w:hint="eastAsia" w:ascii="宋体" w:hAnsi="宋体" w:eastAsia="宋体" w:cs="宋体"/>
        </w:rPr>
        <w:t>水环境监测主要监测采场底盘地表水、地下水水位和水质恢复情况以及高陡边坡水环境治理设施运行情况。</w:t>
      </w:r>
    </w:p>
    <w:p w14:paraId="30AAF635">
      <w:pPr>
        <w:pStyle w:val="25"/>
        <w:spacing w:before="156" w:after="156"/>
        <w:outlineLvl w:val="3"/>
        <w:rPr>
          <w:rFonts w:hint="eastAsia" w:ascii="宋体" w:hAnsi="宋体" w:eastAsia="宋体" w:cs="宋体"/>
        </w:rPr>
      </w:pPr>
      <w:r>
        <w:rPr>
          <w:rFonts w:hint="eastAsia" w:ascii="宋体" w:hAnsi="宋体" w:eastAsia="宋体" w:cs="宋体"/>
        </w:rPr>
        <w:t>土壤环境监测主要针对土壤性状、分布、面积、土壤肥力、理化性质及植物量等进行监测，高陡边坡生态修复后重点监测土壤环境修复情况、水土流失情况以及植物立地条件土壤质量。</w:t>
      </w:r>
    </w:p>
    <w:p w14:paraId="29B41A25">
      <w:pPr>
        <w:pStyle w:val="25"/>
        <w:spacing w:before="156" w:after="156"/>
        <w:outlineLvl w:val="3"/>
        <w:rPr>
          <w:rFonts w:hint="eastAsia" w:ascii="宋体" w:hAnsi="宋体" w:eastAsia="宋体" w:cs="宋体"/>
        </w:rPr>
      </w:pPr>
      <w:r>
        <w:rPr>
          <w:rFonts w:hint="eastAsia" w:ascii="宋体" w:hAnsi="宋体" w:eastAsia="宋体" w:cs="宋体"/>
        </w:rPr>
        <w:t>植被监测主要针对边坡不同地形坡度、立地条件，对植物群落组成、结构、密度、盖度、优势种、植物成活率、高度、冠幅、基径等进行监测。</w:t>
      </w:r>
    </w:p>
    <w:p w14:paraId="7D5BD930">
      <w:pPr>
        <w:pStyle w:val="25"/>
        <w:spacing w:before="156" w:after="156"/>
        <w:outlineLvl w:val="3"/>
        <w:rPr>
          <w:rFonts w:hint="eastAsia" w:ascii="宋体" w:hAnsi="宋体" w:eastAsia="宋体" w:cs="宋体"/>
        </w:rPr>
      </w:pPr>
      <w:r>
        <w:rPr>
          <w:rFonts w:hint="eastAsia" w:ascii="宋体" w:hAnsi="宋体" w:eastAsia="宋体" w:cs="宋体"/>
        </w:rPr>
        <w:t>基础设施监测主要监测已修复的支护加固、截排水、构筑物、灌溉、养护等设施的安全运行、利用情况。</w:t>
      </w:r>
    </w:p>
    <w:p w14:paraId="47A80388">
      <w:pPr>
        <w:pStyle w:val="23"/>
        <w:spacing w:before="156" w:after="156"/>
        <w:outlineLvl w:val="2"/>
        <w:rPr>
          <w:rFonts w:hint="eastAsia" w:asciiTheme="minorEastAsia" w:hAnsiTheme="minorEastAsia" w:eastAsiaTheme="minorEastAsia" w:cstheme="minorEastAsia"/>
        </w:rPr>
      </w:pPr>
      <w:r>
        <w:rPr>
          <w:rFonts w:hint="eastAsia"/>
        </w:rPr>
        <w:t>监测方法</w:t>
      </w:r>
    </w:p>
    <w:p w14:paraId="139C48A8">
      <w:pPr>
        <w:pStyle w:val="25"/>
        <w:spacing w:before="156" w:after="156"/>
        <w:outlineLvl w:val="3"/>
        <w:rPr>
          <w:rFonts w:hint="eastAsia" w:ascii="宋体" w:hAnsi="宋体" w:eastAsia="宋体" w:cs="宋体"/>
        </w:rPr>
      </w:pPr>
      <w:r>
        <w:rPr>
          <w:rFonts w:hint="eastAsia" w:ascii="宋体" w:hAnsi="宋体" w:eastAsia="宋体" w:cs="宋体"/>
        </w:rPr>
        <w:t>边坡稳定性监测方法主要有土压力测量法、位移测量法、现场测试法、振弦测量法、光纤测量法、降雨量测量法、合成孔径雷达监测法(SAR)。</w:t>
      </w:r>
    </w:p>
    <w:p w14:paraId="6D9C1D1C">
      <w:pPr>
        <w:pStyle w:val="25"/>
        <w:spacing w:before="156" w:after="156"/>
        <w:outlineLvl w:val="3"/>
        <w:rPr>
          <w:rFonts w:hint="eastAsia" w:ascii="宋体" w:hAnsi="宋体" w:eastAsia="宋体" w:cs="宋体"/>
        </w:rPr>
      </w:pPr>
      <w:r>
        <w:rPr>
          <w:rFonts w:hint="eastAsia" w:ascii="宋体" w:hAnsi="宋体" w:eastAsia="宋体" w:cs="宋体"/>
        </w:rPr>
        <w:t>水环境监测方法主要有仪器和化学分析法、生物方法及遥感监测法。</w:t>
      </w:r>
    </w:p>
    <w:p w14:paraId="1915B156">
      <w:pPr>
        <w:pStyle w:val="25"/>
        <w:spacing w:before="156" w:after="156"/>
        <w:outlineLvl w:val="3"/>
        <w:rPr>
          <w:rFonts w:hint="eastAsia" w:ascii="宋体" w:hAnsi="宋体" w:eastAsia="宋体" w:cs="宋体"/>
        </w:rPr>
      </w:pPr>
      <w:r>
        <w:rPr>
          <w:rFonts w:hint="eastAsia" w:ascii="宋体" w:hAnsi="宋体" w:eastAsia="宋体" w:cs="宋体"/>
        </w:rPr>
        <w:t>土壤环境监测方法主要有现场测量法、现场测试法、遥感监测法、采样送检测试法。</w:t>
      </w:r>
    </w:p>
    <w:p w14:paraId="7040F4F3">
      <w:pPr>
        <w:pStyle w:val="25"/>
        <w:spacing w:before="156" w:after="156"/>
        <w:outlineLvl w:val="3"/>
        <w:rPr>
          <w:rFonts w:hint="eastAsia" w:ascii="宋体" w:hAnsi="宋体" w:eastAsia="宋体" w:cs="宋体"/>
        </w:rPr>
      </w:pPr>
      <w:r>
        <w:rPr>
          <w:rFonts w:hint="eastAsia" w:ascii="宋体" w:hAnsi="宋体" w:eastAsia="宋体" w:cs="宋体"/>
        </w:rPr>
        <w:t>植物群落监测方法主要有遥感监测法（包括遥感影像、无人机航拍）、现场调查法。</w:t>
      </w:r>
    </w:p>
    <w:p w14:paraId="0701FDC6">
      <w:pPr>
        <w:pStyle w:val="25"/>
        <w:spacing w:before="156" w:after="156"/>
        <w:outlineLvl w:val="3"/>
        <w:rPr>
          <w:rFonts w:hint="eastAsia" w:ascii="宋体" w:hAnsi="宋体" w:eastAsia="宋体" w:cs="宋体"/>
        </w:rPr>
      </w:pPr>
      <w:r>
        <w:rPr>
          <w:rFonts w:hint="eastAsia" w:ascii="宋体" w:hAnsi="宋体" w:eastAsia="宋体" w:cs="宋体"/>
        </w:rPr>
        <w:t>基础设施监测方法主要有人工巡视监测法、自动监测法。</w:t>
      </w:r>
    </w:p>
    <w:p w14:paraId="72715331">
      <w:pPr>
        <w:pStyle w:val="25"/>
        <w:spacing w:before="156" w:after="156"/>
        <w:outlineLvl w:val="3"/>
      </w:pPr>
      <w:r>
        <w:rPr>
          <w:rFonts w:hint="eastAsia" w:ascii="宋体" w:hAnsi="宋体" w:eastAsia="宋体" w:cs="宋体"/>
        </w:rPr>
        <w:t>常用矿山高陡岩质边坡监测方法可参照附录B。</w:t>
      </w:r>
    </w:p>
    <w:p w14:paraId="00917CD6">
      <w:pPr>
        <w:pStyle w:val="23"/>
        <w:spacing w:before="156" w:after="156"/>
        <w:outlineLvl w:val="2"/>
        <w:rPr>
          <w:rFonts w:hint="eastAsia" w:asciiTheme="minorEastAsia" w:hAnsiTheme="minorEastAsia" w:eastAsiaTheme="minorEastAsia" w:cstheme="minorEastAsia"/>
        </w:rPr>
      </w:pPr>
      <w:r>
        <w:rPr>
          <w:rFonts w:hint="eastAsia"/>
        </w:rPr>
        <w:t>监测点布设与监测频次</w:t>
      </w:r>
    </w:p>
    <w:p w14:paraId="686EBEEF">
      <w:pPr>
        <w:pStyle w:val="25"/>
        <w:spacing w:before="156" w:after="156"/>
        <w:outlineLvl w:val="3"/>
        <w:rPr>
          <w:rFonts w:hint="eastAsia" w:ascii="宋体" w:hAnsi="宋体" w:eastAsia="宋体" w:cs="宋体"/>
        </w:rPr>
      </w:pPr>
      <w:r>
        <w:rPr>
          <w:rFonts w:hint="eastAsia" w:ascii="宋体" w:hAnsi="宋体" w:eastAsia="宋体" w:cs="宋体"/>
        </w:rPr>
        <w:t>以矿山高陡边坡为单元，布设边坡稳定性监测点、水环境监测点、土壤环境监测点、植物群落监测点不应少于 1个。</w:t>
      </w:r>
    </w:p>
    <w:p w14:paraId="7B9FC292">
      <w:pPr>
        <w:pStyle w:val="25"/>
        <w:spacing w:before="156" w:after="156"/>
        <w:outlineLvl w:val="3"/>
        <w:rPr>
          <w:rFonts w:hint="eastAsia" w:ascii="宋体" w:hAnsi="宋体" w:eastAsia="宋体" w:cs="宋体"/>
        </w:rPr>
      </w:pPr>
      <w:r>
        <w:rPr>
          <w:rFonts w:hint="eastAsia" w:ascii="宋体" w:hAnsi="宋体" w:eastAsia="宋体" w:cs="宋体"/>
        </w:rPr>
        <w:t>边坡稳定性监测频次参照DZ/T0287执行。</w:t>
      </w:r>
    </w:p>
    <w:p w14:paraId="3AF847FC">
      <w:pPr>
        <w:pStyle w:val="25"/>
        <w:spacing w:before="156" w:after="156"/>
        <w:outlineLvl w:val="3"/>
        <w:rPr>
          <w:rFonts w:hint="eastAsia" w:ascii="宋体" w:hAnsi="宋体" w:eastAsia="宋体" w:cs="宋体"/>
        </w:rPr>
      </w:pPr>
      <w:r>
        <w:rPr>
          <w:rFonts w:hint="eastAsia" w:ascii="宋体" w:hAnsi="宋体" w:eastAsia="宋体" w:cs="宋体"/>
        </w:rPr>
        <w:t>水环境监测频次为 2次／年，丰水期、枯水期各一次。</w:t>
      </w:r>
    </w:p>
    <w:p w14:paraId="61EE6C95">
      <w:pPr>
        <w:pStyle w:val="25"/>
        <w:spacing w:before="156" w:after="156"/>
        <w:outlineLvl w:val="3"/>
        <w:rPr>
          <w:rFonts w:hint="eastAsia" w:ascii="宋体" w:hAnsi="宋体" w:eastAsia="宋体" w:cs="宋体"/>
        </w:rPr>
      </w:pPr>
      <w:r>
        <w:rPr>
          <w:rFonts w:hint="eastAsia" w:ascii="宋体" w:hAnsi="宋体" w:eastAsia="宋体" w:cs="宋体"/>
        </w:rPr>
        <w:t xml:space="preserve">土壤环境一般为 1次／年，植物群落可根据植被生长季和气候条件动态调整，监测频次一般 </w:t>
      </w:r>
      <w:r>
        <w:rPr>
          <w:rFonts w:hint="eastAsia"/>
        </w:rPr>
        <w:t>≥</w:t>
      </w:r>
      <w:r>
        <w:rPr>
          <w:rFonts w:hint="eastAsia" w:ascii="宋体" w:hAnsi="宋体" w:eastAsia="宋体" w:cs="宋体"/>
        </w:rPr>
        <w:t>1次／年，干旱或病虫害高发期可加密监测。</w:t>
      </w:r>
    </w:p>
    <w:p w14:paraId="12C86866">
      <w:pPr>
        <w:pStyle w:val="20"/>
        <w:outlineLvl w:val="1"/>
      </w:pPr>
      <w:r>
        <w:rPr>
          <w:rFonts w:hint="eastAsia"/>
        </w:rPr>
        <w:t>管护工程</w:t>
      </w:r>
    </w:p>
    <w:p w14:paraId="2D59C37C">
      <w:pPr>
        <w:pStyle w:val="23"/>
        <w:spacing w:before="156" w:after="156"/>
        <w:outlineLvl w:val="2"/>
        <w:rPr>
          <w:rFonts w:hint="eastAsia" w:ascii="宋体" w:hAnsi="宋体" w:eastAsia="宋体" w:cs="宋体"/>
        </w:rPr>
      </w:pPr>
      <w:r>
        <w:rPr>
          <w:rFonts w:hint="eastAsia" w:ascii="宋体" w:hAnsi="宋体" w:eastAsia="宋体" w:cs="宋体"/>
        </w:rPr>
        <w:t>边坡植被建植初期及工程验收合格后，为保证植物正常生长、群落正向演替，需采取相应的管护措施。管护工程措施包括植被管护和基础设施维护。</w:t>
      </w:r>
    </w:p>
    <w:p w14:paraId="67AD28E3">
      <w:pPr>
        <w:pStyle w:val="23"/>
        <w:spacing w:before="156" w:after="156"/>
        <w:outlineLvl w:val="2"/>
        <w:rPr>
          <w:rFonts w:hint="eastAsia" w:ascii="宋体" w:hAnsi="宋体" w:eastAsia="宋体" w:cs="宋体"/>
        </w:rPr>
      </w:pPr>
      <w:r>
        <w:rPr>
          <w:rFonts w:hint="eastAsia" w:ascii="宋体" w:hAnsi="宋体" w:eastAsia="宋体" w:cs="宋体"/>
        </w:rPr>
        <w:t>对灌溉、截排水沟、沉砂池、蓄水池、泵控设备等基础设施进行定期维护，发现基础设施运行不正常或损毁，应及时修复或更换。</w:t>
      </w:r>
    </w:p>
    <w:p w14:paraId="7906792F">
      <w:pPr>
        <w:pStyle w:val="23"/>
        <w:spacing w:before="156" w:after="156"/>
        <w:outlineLvl w:val="2"/>
      </w:pPr>
      <w:r>
        <w:rPr>
          <w:rFonts w:hint="eastAsia" w:ascii="宋体" w:hAnsi="宋体" w:eastAsia="宋体" w:cs="宋体"/>
        </w:rPr>
        <w:t>植被管护包括苗期遮盖物覆盖、灌溉、施肥、刈割、修剪、平茬、补苗、补种、防治病虫害等技术措施。</w:t>
      </w:r>
    </w:p>
    <w:p w14:paraId="0863EF6C">
      <w:pPr>
        <w:pStyle w:val="25"/>
        <w:spacing w:before="156" w:after="156"/>
      </w:pPr>
      <w:r>
        <w:rPr>
          <w:rFonts w:hint="eastAsia" w:ascii="宋体" w:hAnsi="宋体" w:eastAsia="宋体" w:cs="宋体"/>
        </w:rPr>
        <w:t>苗期遮盖物覆盖技术要点应符合下列规定：</w:t>
      </w:r>
    </w:p>
    <w:p w14:paraId="7CE4B2B6">
      <w:pPr>
        <w:pStyle w:val="41"/>
        <w:numPr>
          <w:ilvl w:val="0"/>
          <w:numId w:val="35"/>
        </w:numPr>
        <w:ind w:hanging="420"/>
      </w:pPr>
      <w:r>
        <w:rPr>
          <w:rFonts w:hint="eastAsia"/>
        </w:rPr>
        <w:t>播种后应及时进行坡面覆盖，并宜选用生态型环保可降解等遮盖材料。</w:t>
      </w:r>
    </w:p>
    <w:p w14:paraId="6CA8DDF6">
      <w:pPr>
        <w:pStyle w:val="41"/>
        <w:numPr>
          <w:ilvl w:val="0"/>
          <w:numId w:val="35"/>
        </w:numPr>
        <w:ind w:hanging="420"/>
      </w:pPr>
      <w:r>
        <w:rPr>
          <w:rFonts w:hint="eastAsia"/>
        </w:rPr>
        <w:t>根据不同的区域气候因素，以保湿为主的遮盖材料宜选用草帘、无纺布等，以遮阳、防冲刷为主的遮盖材料宜选用无纺布、遮阳网等，以防杂草为主的遮盖材料可选用地膜、草帘等物理除草材料。</w:t>
      </w:r>
    </w:p>
    <w:p w14:paraId="25580B4C">
      <w:pPr>
        <w:pStyle w:val="41"/>
        <w:numPr>
          <w:ilvl w:val="0"/>
          <w:numId w:val="35"/>
        </w:numPr>
        <w:ind w:hanging="420"/>
      </w:pPr>
      <w:r>
        <w:rPr>
          <w:rFonts w:hint="eastAsia"/>
        </w:rPr>
        <w:t>覆盖应从上至下，左右搭设部分应严密，并用竹签或木方固定覆盖物。</w:t>
      </w:r>
    </w:p>
    <w:p w14:paraId="3DB62FDC">
      <w:pPr>
        <w:pStyle w:val="41"/>
        <w:numPr>
          <w:ilvl w:val="0"/>
          <w:numId w:val="35"/>
        </w:numPr>
        <w:ind w:hanging="420"/>
      </w:pPr>
      <w:r>
        <w:rPr>
          <w:rFonts w:hint="eastAsia"/>
        </w:rPr>
        <w:t>视不同季节、气候条件，在不影响植物生长情况下，覆盖物可予以保留，影响植物光照、生长空间，及时揭除覆盖物。</w:t>
      </w:r>
    </w:p>
    <w:p w14:paraId="1156EF2E">
      <w:pPr>
        <w:pStyle w:val="25"/>
        <w:spacing w:before="156" w:after="156"/>
      </w:pPr>
      <w:r>
        <w:rPr>
          <w:rFonts w:hint="eastAsia" w:ascii="宋体" w:hAnsi="宋体" w:eastAsia="宋体" w:cs="宋体"/>
        </w:rPr>
        <w:t>灌溉技术要点应符合下列规定：</w:t>
      </w:r>
    </w:p>
    <w:p w14:paraId="4F226C89">
      <w:pPr>
        <w:pStyle w:val="41"/>
        <w:numPr>
          <w:ilvl w:val="0"/>
          <w:numId w:val="36"/>
        </w:numPr>
        <w:ind w:hanging="420"/>
      </w:pPr>
      <w:r>
        <w:rPr>
          <w:rFonts w:hint="eastAsia"/>
        </w:rPr>
        <w:t>应根据复绿坡面的边坡坡度和生境条件，选择喷灌、滴灌和微灌等节水灌溉方式，坡度≥60°可采用滴灌和微灌，坡度＜60°可采用喷灌。</w:t>
      </w:r>
    </w:p>
    <w:p w14:paraId="76AA9FC7">
      <w:pPr>
        <w:pStyle w:val="41"/>
        <w:numPr>
          <w:ilvl w:val="0"/>
          <w:numId w:val="36"/>
        </w:numPr>
        <w:ind w:hanging="420"/>
      </w:pPr>
      <w:r>
        <w:rPr>
          <w:rFonts w:hint="eastAsia"/>
        </w:rPr>
        <w:t>喷灌、滴灌工程布设应符合GB/T 50363和GB/T 50085的规定，微灌工程布设应符合GB/T  50485的规定。</w:t>
      </w:r>
    </w:p>
    <w:p w14:paraId="0AC09799">
      <w:pPr>
        <w:pStyle w:val="41"/>
        <w:numPr>
          <w:ilvl w:val="0"/>
          <w:numId w:val="36"/>
        </w:numPr>
        <w:ind w:hanging="420"/>
      </w:pPr>
      <w:r>
        <w:rPr>
          <w:rFonts w:hint="eastAsia"/>
        </w:rPr>
        <w:t>应根据矿区所处气候带及边坡小气候条件，植被灌溉措施应遵循因地制宜、</w:t>
      </w:r>
      <w:r>
        <w:rPr>
          <w:rFonts w:hint="eastAsia" w:asciiTheme="minorEastAsia" w:hAnsiTheme="minorEastAsia" w:eastAsiaTheme="minorEastAsia" w:cstheme="minorEastAsia"/>
          <w:szCs w:val="21"/>
        </w:rPr>
        <w:t>因时制宜</w:t>
      </w:r>
      <w:r>
        <w:rPr>
          <w:rFonts w:hint="eastAsia"/>
        </w:rPr>
        <w:t>原则，在年降水量</w:t>
      </w:r>
      <w:r>
        <w:rPr>
          <w:rFonts w:hint="eastAsia" w:hAnsi="宋体" w:cs="宋体"/>
          <w:szCs w:val="21"/>
        </w:rPr>
        <w:t>＞800mm的</w:t>
      </w:r>
      <w:r>
        <w:rPr>
          <w:rFonts w:hint="eastAsia"/>
        </w:rPr>
        <w:t>湿润地区，可在夏季干旱季节，视坡面土壤墒情与植物叶片耐度情况，及时灌溉补充。在年降水量 400mm～800mm的半湿润地区，在植物生长期内，为提高植物自身缺少耐性，适配植物抗蒸腾剂的使用，在水肥一体式灌溉相结合方式及时补充水分、养分，保障植物的成活率和正常生长。在年降水量 200mm～400mm的半干旱地区及降水量＜200mm的干旱地区，重点筛选、配置耐干旱耐热的藤本植物及旱生乡土草本、灌木植物，主要保证种子萌发、幼苗成活期期间的水分供应，植被生长期结合植物抗蒸腾剂等调节剂的使用，在灌溉有限的条件下，保证植物的存活率。</w:t>
      </w:r>
    </w:p>
    <w:p w14:paraId="19847744">
      <w:pPr>
        <w:pStyle w:val="41"/>
        <w:numPr>
          <w:ilvl w:val="0"/>
          <w:numId w:val="36"/>
        </w:numPr>
        <w:ind w:hanging="420"/>
      </w:pPr>
      <w:r>
        <w:rPr>
          <w:rFonts w:hint="eastAsia"/>
        </w:rPr>
        <w:t>坡面灌溉时应避开日光暴晒及高温时段。</w:t>
      </w:r>
    </w:p>
    <w:p w14:paraId="09E02567">
      <w:pPr>
        <w:pStyle w:val="25"/>
        <w:spacing w:before="156" w:after="156"/>
      </w:pPr>
      <w:r>
        <w:rPr>
          <w:rFonts w:hint="eastAsia" w:ascii="宋体" w:hAnsi="宋体" w:eastAsia="宋体" w:cs="宋体"/>
        </w:rPr>
        <w:t>施肥技术要点应符合下列规定：</w:t>
      </w:r>
    </w:p>
    <w:p w14:paraId="77078EA5">
      <w:pPr>
        <w:pStyle w:val="41"/>
        <w:numPr>
          <w:ilvl w:val="0"/>
          <w:numId w:val="37"/>
        </w:numPr>
        <w:ind w:hanging="420"/>
      </w:pPr>
      <w:r>
        <w:rPr>
          <w:rFonts w:hint="eastAsia"/>
        </w:rPr>
        <w:t>秋季施基肥，施加以缓释肥为主的有机肥，植物生长季追肥，施加以化肥为主的复合肥。</w:t>
      </w:r>
    </w:p>
    <w:p w14:paraId="77F852EA">
      <w:pPr>
        <w:pStyle w:val="41"/>
        <w:numPr>
          <w:ilvl w:val="0"/>
          <w:numId w:val="37"/>
        </w:numPr>
        <w:ind w:hanging="420"/>
      </w:pPr>
      <w:r>
        <w:rPr>
          <w:rFonts w:hint="eastAsia"/>
        </w:rPr>
        <w:t>坡脚或平台基槽进行翻耕，回填有机肥并拌匀，施用量可推荐使用 2～3kg/m。坡面主要以人工撒施或水肥一体化方式施用复合肥为主，人工撒施时间应选择在下雨前，一般生长季视植物生长情况，施用 1～3次，单次施用量可推荐使用 350～500kg/ha。</w:t>
      </w:r>
    </w:p>
    <w:p w14:paraId="0C91C855">
      <w:pPr>
        <w:pStyle w:val="25"/>
        <w:spacing w:before="156" w:after="156"/>
      </w:pPr>
      <w:r>
        <w:rPr>
          <w:rFonts w:hint="eastAsia" w:ascii="宋体" w:hAnsi="宋体" w:eastAsia="宋体" w:cs="宋体"/>
        </w:rPr>
        <w:t>刈割、修剪、平茬技术要点应符合下列规定：</w:t>
      </w:r>
    </w:p>
    <w:p w14:paraId="4FBF18F4">
      <w:pPr>
        <w:pStyle w:val="41"/>
        <w:numPr>
          <w:ilvl w:val="0"/>
          <w:numId w:val="38"/>
        </w:numPr>
        <w:ind w:hanging="420"/>
      </w:pPr>
      <w:r>
        <w:rPr>
          <w:rFonts w:hint="eastAsia"/>
        </w:rPr>
        <w:t>目的植物群落为灌草型时，应控制草本植物的过度生长，在草本植物生长旺盛期采用</w:t>
      </w:r>
      <w:r>
        <w:rPr>
          <w:rFonts w:hint="eastAsia" w:hAnsi="宋体" w:cs="宋体"/>
        </w:rPr>
        <w:t>刈割措施，即用园艺工具在灌木植物以枝干为中心的四周截剪大部分草本枝叶，给出苗、幼苗或快速生长期的灌木苗提供生长空间，以使草、灌生长少受干扰达到伴生状态</w:t>
      </w:r>
      <w:r>
        <w:rPr>
          <w:rFonts w:hint="eastAsia"/>
        </w:rPr>
        <w:t>。</w:t>
      </w:r>
    </w:p>
    <w:p w14:paraId="712D2BB1">
      <w:pPr>
        <w:pStyle w:val="41"/>
        <w:numPr>
          <w:ilvl w:val="0"/>
          <w:numId w:val="38"/>
        </w:numPr>
        <w:ind w:hanging="420"/>
      </w:pPr>
      <w:r>
        <w:rPr>
          <w:rFonts w:hint="eastAsia"/>
        </w:rPr>
        <w:t>为使灌木、藤本植物树势生长正常，在植物休眠期内，一般为落叶树种落叶后，采用园艺工具短截病枝、弱枝等平衡树势修剪。</w:t>
      </w:r>
    </w:p>
    <w:p w14:paraId="6CF22A72">
      <w:pPr>
        <w:pStyle w:val="41"/>
        <w:numPr>
          <w:ilvl w:val="0"/>
          <w:numId w:val="38"/>
        </w:numPr>
        <w:ind w:hanging="420"/>
      </w:pPr>
      <w:r>
        <w:rPr>
          <w:rFonts w:hint="eastAsia"/>
        </w:rPr>
        <w:t>为加快灌木扩冠生长及平衡根系与枝干的生长势，可采用枝条截顶等</w:t>
      </w:r>
      <w:r>
        <w:rPr>
          <w:rFonts w:hint="eastAsia" w:hAnsi="宋体" w:cs="宋体"/>
        </w:rPr>
        <w:t>平茬技术手段，消除灌木顶端优势，让枝条萌发更多侧枝，建植坡面稳固的植被生态系统。</w:t>
      </w:r>
    </w:p>
    <w:p w14:paraId="21534F14">
      <w:pPr>
        <w:pStyle w:val="25"/>
        <w:spacing w:before="156" w:after="156"/>
      </w:pPr>
      <w:r>
        <w:rPr>
          <w:rFonts w:hint="eastAsia" w:ascii="宋体" w:hAnsi="宋体" w:eastAsia="宋体" w:cs="宋体"/>
        </w:rPr>
        <w:t>补苗、补种技术要点应符合下列规定：</w:t>
      </w:r>
    </w:p>
    <w:p w14:paraId="140D68E4">
      <w:pPr>
        <w:pStyle w:val="41"/>
        <w:numPr>
          <w:ilvl w:val="0"/>
          <w:numId w:val="39"/>
        </w:numPr>
        <w:ind w:hanging="420"/>
      </w:pPr>
      <w:r>
        <w:rPr>
          <w:rFonts w:hint="eastAsia"/>
        </w:rPr>
        <w:t>补苗时间可选择春、秋两季，补栽即浇定根水。藤本植物补苗按定植时规格要求执行，坡面灌木补苗应选择须根系发达、植株饱满的容器苗，补植时拆除容器袋，开挖基材土壤层穴栽，回填基材土壤。</w:t>
      </w:r>
    </w:p>
    <w:p w14:paraId="617DB643">
      <w:pPr>
        <w:pStyle w:val="41"/>
        <w:numPr>
          <w:ilvl w:val="0"/>
          <w:numId w:val="39"/>
        </w:numPr>
        <w:ind w:hanging="420"/>
      </w:pPr>
      <w:r>
        <w:rPr>
          <w:rFonts w:hint="eastAsia"/>
        </w:rPr>
        <w:t>补种主要以草、灌种子为主，补种前做消毒、催芽处理，种子拌砂混合均匀，人工撒种于坡面。</w:t>
      </w:r>
    </w:p>
    <w:p w14:paraId="2EC61476">
      <w:pPr>
        <w:pStyle w:val="25"/>
        <w:spacing w:before="156" w:after="156"/>
      </w:pPr>
      <w:r>
        <w:rPr>
          <w:rFonts w:hint="eastAsia" w:ascii="宋体" w:hAnsi="宋体" w:eastAsia="宋体" w:cs="宋体"/>
        </w:rPr>
        <w:t>防治病虫害技术要点应符合下列规定：</w:t>
      </w:r>
    </w:p>
    <w:p w14:paraId="000BD0D5">
      <w:pPr>
        <w:pStyle w:val="41"/>
        <w:numPr>
          <w:ilvl w:val="0"/>
          <w:numId w:val="40"/>
        </w:numPr>
        <w:ind w:hanging="420"/>
      </w:pPr>
      <w:r>
        <w:rPr>
          <w:rFonts w:hint="eastAsia"/>
        </w:rPr>
        <w:t>根据高陡岩石边坡坡面生境特殊情况，病虫害以防为主，从植物品种的筛选、配置就需考虑植物病害问题，优先抗逆性强、适生性好，且组配相生物种，从种植源头控制感染病害的发生概率。</w:t>
      </w:r>
    </w:p>
    <w:p w14:paraId="60572650">
      <w:pPr>
        <w:pStyle w:val="41"/>
        <w:numPr>
          <w:ilvl w:val="0"/>
          <w:numId w:val="40"/>
        </w:numPr>
        <w:ind w:hanging="420"/>
      </w:pPr>
      <w:r>
        <w:rPr>
          <w:rFonts w:hint="eastAsia"/>
        </w:rPr>
        <w:t>以精细化植被日常养护控病害发生，在养护浇水加入微生物菌群，通过灌溉系统，进入植被根系与土壤层，提高植物自身抗病能力。</w:t>
      </w:r>
    </w:p>
    <w:p w14:paraId="0A65A7FB">
      <w:pPr>
        <w:pStyle w:val="41"/>
        <w:numPr>
          <w:ilvl w:val="0"/>
          <w:numId w:val="40"/>
        </w:numPr>
        <w:ind w:hanging="420"/>
        <w:rPr>
          <w:rFonts w:hint="eastAsia" w:asciiTheme="minorEastAsia" w:hAnsiTheme="minorEastAsia" w:eastAsiaTheme="minorEastAsia" w:cstheme="minorEastAsia"/>
          <w:szCs w:val="21"/>
        </w:rPr>
      </w:pPr>
      <w:r>
        <w:rPr>
          <w:rFonts w:hint="eastAsia"/>
        </w:rPr>
        <w:t>通过人工养护巡查，发现植物枝叶等部位，已有明显感染病害，针对高陡坡面实施实际难度，可采用高压远程喷雾设备等措施。根据不同病害的药物匹配技术，主要按园林绿化及农业用药物技术要求执行。</w:t>
      </w:r>
    </w:p>
    <w:p w14:paraId="78E9EBEC">
      <w:pPr>
        <w:pStyle w:val="23"/>
        <w:spacing w:before="156" w:after="156"/>
        <w:outlineLvl w:val="2"/>
      </w:pPr>
      <w:r>
        <w:rPr>
          <w:rFonts w:hint="eastAsia" w:ascii="宋体" w:hAnsi="宋体" w:eastAsia="宋体" w:cs="宋体"/>
        </w:rPr>
        <w:t>成活期养护截止至竣工验收，可根据矿山自然生态条件和修复成效，确定边坡后期日常管护时间，一般日常管护时间为 3</w:t>
      </w:r>
      <w:r>
        <w:rPr>
          <w:rFonts w:hint="eastAsia"/>
        </w:rPr>
        <w:t>～5</w:t>
      </w:r>
      <w:r>
        <w:rPr>
          <w:rFonts w:hint="eastAsia" w:ascii="宋体" w:hAnsi="宋体" w:eastAsia="宋体" w:cs="宋体"/>
        </w:rPr>
        <w:t xml:space="preserve"> 年。</w:t>
      </w:r>
    </w:p>
    <w:p w14:paraId="410CAF3A">
      <w:pPr>
        <w:pStyle w:val="10"/>
        <w:ind w:firstLine="0" w:firstLineChars="0"/>
      </w:pPr>
    </w:p>
    <w:p w14:paraId="1EAB0C87">
      <w:pPr>
        <w:pStyle w:val="10"/>
        <w:ind w:firstLine="0" w:firstLineChars="0"/>
      </w:pPr>
    </w:p>
    <w:p w14:paraId="230C6352">
      <w:pPr>
        <w:pStyle w:val="10"/>
        <w:ind w:firstLine="0" w:firstLineChars="0"/>
      </w:pPr>
    </w:p>
    <w:p w14:paraId="2D4B172F">
      <w:pPr>
        <w:pStyle w:val="10"/>
        <w:ind w:firstLine="0" w:firstLineChars="0"/>
      </w:pPr>
    </w:p>
    <w:p w14:paraId="34C52A1C">
      <w:pPr>
        <w:pStyle w:val="10"/>
        <w:ind w:firstLine="0" w:firstLineChars="0"/>
      </w:pPr>
    </w:p>
    <w:p w14:paraId="0AED4B51">
      <w:pPr>
        <w:pStyle w:val="10"/>
        <w:ind w:firstLine="0" w:firstLineChars="0"/>
      </w:pPr>
    </w:p>
    <w:p w14:paraId="4C6F1F6B">
      <w:pPr>
        <w:pStyle w:val="45"/>
      </w:pPr>
      <w:bookmarkStart w:id="12" w:name="_Toc12556"/>
      <w:r>
        <w:br w:type="textWrapping"/>
      </w:r>
      <w:bookmarkStart w:id="13" w:name="_Toc450293166"/>
      <w:r>
        <w:rPr>
          <w:rFonts w:hint="eastAsia"/>
        </w:rPr>
        <w:t>（资料性）</w:t>
      </w:r>
      <w:r>
        <w:br w:type="textWrapping"/>
      </w:r>
      <w:bookmarkEnd w:id="13"/>
      <w:r>
        <w:rPr>
          <w:rFonts w:hint="eastAsia"/>
        </w:rPr>
        <w:t>矿山高陡岩质边坡复绿技术适用条件表</w:t>
      </w:r>
      <w:bookmarkEnd w:id="12"/>
    </w:p>
    <w:p w14:paraId="5E15202A">
      <w:pPr>
        <w:pStyle w:val="10"/>
        <w:ind w:firstLine="0" w:firstLineChars="0"/>
      </w:pPr>
      <w:r>
        <w:rPr>
          <w:rFonts w:hint="eastAsia"/>
        </w:rPr>
        <w:t>矿山高陡岩质边坡复绿技术适用条件表见表A.1。</w:t>
      </w:r>
    </w:p>
    <w:p w14:paraId="6B7FD25B">
      <w:pPr>
        <w:pStyle w:val="10"/>
        <w:ind w:firstLine="0" w:firstLineChars="0"/>
        <w:jc w:val="center"/>
        <w:rPr>
          <w:b/>
          <w:bCs/>
        </w:rPr>
      </w:pPr>
      <w:r>
        <w:rPr>
          <w:rFonts w:hint="eastAsia"/>
          <w:b/>
          <w:bCs/>
        </w:rPr>
        <w:t>表A.1  矿山高陡岩质边坡复绿技术适用条件表</w:t>
      </w:r>
    </w:p>
    <w:tbl>
      <w:tblPr>
        <w:tblStyle w:val="12"/>
        <w:tblW w:w="939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
      <w:tblGrid>
        <w:gridCol w:w="478"/>
        <w:gridCol w:w="1384"/>
        <w:gridCol w:w="2973"/>
        <w:gridCol w:w="3078"/>
        <w:gridCol w:w="1478"/>
      </w:tblGrid>
      <w:tr w14:paraId="6D684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25" w:hRule="atLeast"/>
          <w:tblHeader/>
          <w:jc w:val="center"/>
        </w:trPr>
        <w:tc>
          <w:tcPr>
            <w:tcW w:w="478" w:type="dxa"/>
            <w:tcBorders>
              <w:top w:val="single" w:color="auto" w:sz="8" w:space="0"/>
              <w:left w:val="single" w:color="auto" w:sz="8" w:space="0"/>
              <w:bottom w:val="single" w:color="auto" w:sz="8" w:space="0"/>
            </w:tcBorders>
            <w:vAlign w:val="center"/>
          </w:tcPr>
          <w:p w14:paraId="21B5EADE">
            <w:pPr>
              <w:pStyle w:val="62"/>
              <w:spacing w:line="240" w:lineRule="exact"/>
              <w:rPr>
                <w:rFonts w:hint="eastAsia" w:hAnsi="宋体" w:cs="宋体"/>
                <w:szCs w:val="18"/>
              </w:rPr>
            </w:pPr>
            <w:r>
              <w:rPr>
                <w:rFonts w:hint="eastAsia" w:hAnsi="宋体" w:cs="宋体"/>
                <w:szCs w:val="18"/>
              </w:rPr>
              <w:t>序号</w:t>
            </w:r>
          </w:p>
        </w:tc>
        <w:tc>
          <w:tcPr>
            <w:tcW w:w="1384" w:type="dxa"/>
            <w:tcBorders>
              <w:top w:val="single" w:color="auto" w:sz="8" w:space="0"/>
              <w:bottom w:val="single" w:color="auto" w:sz="8" w:space="0"/>
            </w:tcBorders>
            <w:vAlign w:val="center"/>
          </w:tcPr>
          <w:p w14:paraId="5AFFF939">
            <w:pPr>
              <w:pStyle w:val="62"/>
              <w:spacing w:line="240" w:lineRule="exact"/>
              <w:rPr>
                <w:rFonts w:hint="eastAsia" w:hAnsi="宋体" w:cs="宋体"/>
                <w:szCs w:val="18"/>
              </w:rPr>
            </w:pPr>
            <w:r>
              <w:rPr>
                <w:rFonts w:hint="eastAsia" w:hAnsi="宋体" w:cs="宋体"/>
                <w:szCs w:val="18"/>
              </w:rPr>
              <w:t>边坡坡度</w:t>
            </w:r>
          </w:p>
        </w:tc>
        <w:tc>
          <w:tcPr>
            <w:tcW w:w="2973" w:type="dxa"/>
            <w:tcBorders>
              <w:top w:val="single" w:color="auto" w:sz="8" w:space="0"/>
              <w:bottom w:val="single" w:color="auto" w:sz="8" w:space="0"/>
            </w:tcBorders>
            <w:vAlign w:val="center"/>
          </w:tcPr>
          <w:p w14:paraId="2908F0DA">
            <w:pPr>
              <w:pStyle w:val="62"/>
              <w:spacing w:line="240" w:lineRule="exact"/>
              <w:rPr>
                <w:rFonts w:hint="eastAsia" w:hAnsi="宋体" w:cs="宋体"/>
                <w:szCs w:val="18"/>
              </w:rPr>
            </w:pPr>
            <w:r>
              <w:rPr>
                <w:rFonts w:hint="eastAsia" w:hAnsi="宋体" w:cs="宋体"/>
                <w:szCs w:val="18"/>
              </w:rPr>
              <w:t>边坡坡质</w:t>
            </w:r>
          </w:p>
        </w:tc>
        <w:tc>
          <w:tcPr>
            <w:tcW w:w="3078" w:type="dxa"/>
            <w:tcBorders>
              <w:top w:val="single" w:color="auto" w:sz="8" w:space="0"/>
              <w:bottom w:val="single" w:color="auto" w:sz="8" w:space="0"/>
            </w:tcBorders>
            <w:vAlign w:val="center"/>
          </w:tcPr>
          <w:p w14:paraId="570C994F">
            <w:pPr>
              <w:pStyle w:val="62"/>
              <w:spacing w:line="240" w:lineRule="exact"/>
              <w:rPr>
                <w:rFonts w:hint="eastAsia" w:hAnsi="宋体" w:cs="宋体"/>
                <w:szCs w:val="18"/>
              </w:rPr>
            </w:pPr>
            <w:r>
              <w:rPr>
                <w:rFonts w:hint="eastAsia" w:hAnsi="宋体" w:cs="宋体"/>
                <w:szCs w:val="18"/>
              </w:rPr>
              <w:t>生态修复技术</w:t>
            </w:r>
          </w:p>
        </w:tc>
        <w:tc>
          <w:tcPr>
            <w:tcW w:w="1478" w:type="dxa"/>
            <w:tcBorders>
              <w:top w:val="single" w:color="auto" w:sz="8" w:space="0"/>
              <w:bottom w:val="single" w:color="auto" w:sz="8" w:space="0"/>
              <w:right w:val="single" w:color="auto" w:sz="8" w:space="0"/>
            </w:tcBorders>
            <w:vAlign w:val="center"/>
          </w:tcPr>
          <w:p w14:paraId="19625BCB">
            <w:pPr>
              <w:pStyle w:val="62"/>
              <w:spacing w:line="240" w:lineRule="exact"/>
              <w:rPr>
                <w:rFonts w:hint="eastAsia" w:hAnsi="宋体" w:cs="宋体"/>
                <w:szCs w:val="18"/>
              </w:rPr>
            </w:pPr>
            <w:r>
              <w:rPr>
                <w:rFonts w:hint="eastAsia" w:hAnsi="宋体" w:cs="宋体"/>
                <w:szCs w:val="18"/>
              </w:rPr>
              <w:t>植物群落类型</w:t>
            </w:r>
          </w:p>
        </w:tc>
      </w:tr>
      <w:tr w14:paraId="43E9A4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25" w:hRule="atLeast"/>
          <w:jc w:val="center"/>
        </w:trPr>
        <w:tc>
          <w:tcPr>
            <w:tcW w:w="478" w:type="dxa"/>
            <w:vMerge w:val="restart"/>
            <w:tcBorders>
              <w:left w:val="single" w:color="auto" w:sz="8" w:space="0"/>
            </w:tcBorders>
            <w:vAlign w:val="center"/>
          </w:tcPr>
          <w:p w14:paraId="54FAE1C0">
            <w:pPr>
              <w:pStyle w:val="62"/>
              <w:spacing w:line="240" w:lineRule="exact"/>
              <w:rPr>
                <w:rFonts w:hint="eastAsia" w:hAnsi="宋体" w:cs="宋体"/>
                <w:szCs w:val="18"/>
              </w:rPr>
            </w:pPr>
            <w:r>
              <w:rPr>
                <w:rFonts w:hint="eastAsia" w:hAnsi="宋体" w:cs="宋体"/>
                <w:szCs w:val="18"/>
              </w:rPr>
              <w:t>1</w:t>
            </w:r>
          </w:p>
        </w:tc>
        <w:tc>
          <w:tcPr>
            <w:tcW w:w="1384" w:type="dxa"/>
            <w:vMerge w:val="restart"/>
            <w:vAlign w:val="center"/>
          </w:tcPr>
          <w:p w14:paraId="37B373AB">
            <w:pPr>
              <w:pStyle w:val="62"/>
              <w:spacing w:line="240" w:lineRule="exact"/>
              <w:rPr>
                <w:rFonts w:hint="eastAsia" w:hAnsi="宋体" w:cs="宋体"/>
                <w:szCs w:val="18"/>
              </w:rPr>
            </w:pPr>
            <w:r>
              <w:rPr>
                <w:rFonts w:hint="eastAsia" w:hAnsi="宋体" w:cs="宋体"/>
                <w:szCs w:val="18"/>
              </w:rPr>
              <w:t>40°＜α≤60°</w:t>
            </w:r>
          </w:p>
        </w:tc>
        <w:tc>
          <w:tcPr>
            <w:tcW w:w="2973" w:type="dxa"/>
            <w:vAlign w:val="center"/>
          </w:tcPr>
          <w:p w14:paraId="7A6936B1">
            <w:pPr>
              <w:pStyle w:val="62"/>
              <w:spacing w:line="240" w:lineRule="exact"/>
              <w:jc w:val="both"/>
              <w:rPr>
                <w:rFonts w:hint="eastAsia" w:hAnsi="宋体" w:cs="宋体"/>
                <w:szCs w:val="18"/>
              </w:rPr>
            </w:pPr>
            <w:r>
              <w:rPr>
                <w:rFonts w:hint="eastAsia" w:hAnsi="宋体" w:cs="宋体"/>
                <w:szCs w:val="18"/>
              </w:rPr>
              <w:t>中、微风化岩石（裂隙发育）</w:t>
            </w:r>
          </w:p>
        </w:tc>
        <w:tc>
          <w:tcPr>
            <w:tcW w:w="3078" w:type="dxa"/>
            <w:vAlign w:val="center"/>
          </w:tcPr>
          <w:p w14:paraId="316420C2">
            <w:pPr>
              <w:pStyle w:val="62"/>
              <w:spacing w:line="240" w:lineRule="exact"/>
              <w:jc w:val="both"/>
              <w:rPr>
                <w:rFonts w:hint="eastAsia" w:hAnsi="宋体" w:cs="宋体"/>
                <w:szCs w:val="18"/>
              </w:rPr>
            </w:pPr>
            <w:r>
              <w:rPr>
                <w:rFonts w:hint="eastAsia" w:hAnsi="宋体" w:cs="宋体"/>
                <w:szCs w:val="18"/>
              </w:rPr>
              <w:t>挂网客土喷播；藤立方技术</w:t>
            </w:r>
          </w:p>
        </w:tc>
        <w:tc>
          <w:tcPr>
            <w:tcW w:w="1478" w:type="dxa"/>
            <w:vMerge w:val="restart"/>
            <w:tcBorders>
              <w:right w:val="single" w:color="auto" w:sz="8" w:space="0"/>
            </w:tcBorders>
            <w:vAlign w:val="center"/>
          </w:tcPr>
          <w:p w14:paraId="69498113">
            <w:pPr>
              <w:pStyle w:val="62"/>
              <w:spacing w:line="240" w:lineRule="exact"/>
              <w:rPr>
                <w:rFonts w:hint="eastAsia" w:hAnsi="宋体" w:cs="宋体"/>
                <w:szCs w:val="18"/>
              </w:rPr>
            </w:pPr>
            <w:r>
              <w:rPr>
                <w:rFonts w:hint="eastAsia" w:hAnsi="宋体" w:cs="宋体"/>
                <w:szCs w:val="18"/>
              </w:rPr>
              <w:t>藤本型/灌草型/灌草藤型</w:t>
            </w:r>
          </w:p>
        </w:tc>
      </w:tr>
      <w:tr w14:paraId="5C2EFC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25" w:hRule="atLeast"/>
          <w:jc w:val="center"/>
        </w:trPr>
        <w:tc>
          <w:tcPr>
            <w:tcW w:w="478" w:type="dxa"/>
            <w:vMerge w:val="continue"/>
            <w:tcBorders>
              <w:left w:val="single" w:color="auto" w:sz="8" w:space="0"/>
            </w:tcBorders>
            <w:vAlign w:val="center"/>
          </w:tcPr>
          <w:p w14:paraId="755879DE">
            <w:pPr>
              <w:pStyle w:val="62"/>
              <w:spacing w:line="240" w:lineRule="exact"/>
              <w:rPr>
                <w:rFonts w:hint="eastAsia" w:hAnsi="宋体" w:cs="宋体"/>
                <w:szCs w:val="18"/>
              </w:rPr>
            </w:pPr>
          </w:p>
        </w:tc>
        <w:tc>
          <w:tcPr>
            <w:tcW w:w="1384" w:type="dxa"/>
            <w:vMerge w:val="continue"/>
            <w:vAlign w:val="center"/>
          </w:tcPr>
          <w:p w14:paraId="5E4842C4">
            <w:pPr>
              <w:pStyle w:val="62"/>
              <w:spacing w:line="240" w:lineRule="exact"/>
              <w:rPr>
                <w:rFonts w:hint="eastAsia" w:hAnsi="宋体" w:cs="宋体"/>
                <w:szCs w:val="18"/>
              </w:rPr>
            </w:pPr>
          </w:p>
        </w:tc>
        <w:tc>
          <w:tcPr>
            <w:tcW w:w="2973" w:type="dxa"/>
            <w:vAlign w:val="center"/>
          </w:tcPr>
          <w:p w14:paraId="153642A1">
            <w:pPr>
              <w:pStyle w:val="62"/>
              <w:spacing w:line="240" w:lineRule="exact"/>
              <w:jc w:val="both"/>
              <w:rPr>
                <w:rFonts w:hint="eastAsia" w:hAnsi="宋体" w:cs="宋体"/>
                <w:szCs w:val="18"/>
              </w:rPr>
            </w:pPr>
            <w:r>
              <w:rPr>
                <w:rFonts w:hint="eastAsia" w:hAnsi="宋体" w:cs="宋体"/>
                <w:szCs w:val="18"/>
              </w:rPr>
              <w:t>中、微风化岩石（裂隙不发育）</w:t>
            </w:r>
          </w:p>
        </w:tc>
        <w:tc>
          <w:tcPr>
            <w:tcW w:w="3078" w:type="dxa"/>
            <w:vAlign w:val="center"/>
          </w:tcPr>
          <w:p w14:paraId="5DA6E3C4">
            <w:pPr>
              <w:pStyle w:val="62"/>
              <w:spacing w:line="240" w:lineRule="exact"/>
              <w:jc w:val="both"/>
              <w:rPr>
                <w:rFonts w:hint="eastAsia" w:hAnsi="宋体" w:cs="宋体"/>
                <w:szCs w:val="18"/>
              </w:rPr>
            </w:pPr>
            <w:r>
              <w:rPr>
                <w:rFonts w:hint="eastAsia" w:hAnsi="宋体" w:cs="宋体"/>
                <w:szCs w:val="18"/>
              </w:rPr>
              <w:t>台阶栽植；藤立方技术</w:t>
            </w:r>
          </w:p>
        </w:tc>
        <w:tc>
          <w:tcPr>
            <w:tcW w:w="1478" w:type="dxa"/>
            <w:vMerge w:val="continue"/>
            <w:tcBorders>
              <w:right w:val="single" w:color="auto" w:sz="8" w:space="0"/>
            </w:tcBorders>
            <w:vAlign w:val="center"/>
          </w:tcPr>
          <w:p w14:paraId="667CC8C4">
            <w:pPr>
              <w:pStyle w:val="62"/>
              <w:spacing w:line="240" w:lineRule="exact"/>
              <w:rPr>
                <w:rFonts w:hint="eastAsia" w:hAnsi="宋体" w:cs="宋体"/>
                <w:szCs w:val="18"/>
              </w:rPr>
            </w:pPr>
          </w:p>
        </w:tc>
      </w:tr>
      <w:tr w14:paraId="4732E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25" w:hRule="atLeast"/>
          <w:jc w:val="center"/>
        </w:trPr>
        <w:tc>
          <w:tcPr>
            <w:tcW w:w="478" w:type="dxa"/>
            <w:vMerge w:val="continue"/>
            <w:tcBorders>
              <w:left w:val="single" w:color="auto" w:sz="8" w:space="0"/>
            </w:tcBorders>
            <w:vAlign w:val="center"/>
          </w:tcPr>
          <w:p w14:paraId="11AC646F">
            <w:pPr>
              <w:pStyle w:val="62"/>
              <w:spacing w:line="240" w:lineRule="exact"/>
              <w:rPr>
                <w:rFonts w:hint="eastAsia" w:hAnsi="宋体" w:cs="宋体"/>
                <w:szCs w:val="18"/>
              </w:rPr>
            </w:pPr>
          </w:p>
        </w:tc>
        <w:tc>
          <w:tcPr>
            <w:tcW w:w="1384" w:type="dxa"/>
            <w:vMerge w:val="continue"/>
            <w:vAlign w:val="center"/>
          </w:tcPr>
          <w:p w14:paraId="1D95A6BB">
            <w:pPr>
              <w:pStyle w:val="62"/>
              <w:spacing w:line="240" w:lineRule="exact"/>
              <w:rPr>
                <w:rFonts w:hint="eastAsia" w:hAnsi="宋体" w:cs="宋体"/>
                <w:szCs w:val="18"/>
              </w:rPr>
            </w:pPr>
          </w:p>
        </w:tc>
        <w:tc>
          <w:tcPr>
            <w:tcW w:w="2973" w:type="dxa"/>
            <w:vAlign w:val="center"/>
          </w:tcPr>
          <w:p w14:paraId="112A1473">
            <w:pPr>
              <w:pStyle w:val="62"/>
              <w:spacing w:line="240" w:lineRule="exact"/>
              <w:jc w:val="both"/>
              <w:rPr>
                <w:rFonts w:hint="eastAsia" w:hAnsi="宋体" w:cs="宋体"/>
                <w:szCs w:val="18"/>
              </w:rPr>
            </w:pPr>
            <w:r>
              <w:rPr>
                <w:rFonts w:hint="eastAsia" w:hAnsi="宋体" w:cs="宋体"/>
                <w:szCs w:val="18"/>
              </w:rPr>
              <w:t>［中、微风化岩石］+格构梁</w:t>
            </w:r>
          </w:p>
        </w:tc>
        <w:tc>
          <w:tcPr>
            <w:tcW w:w="3078" w:type="dxa"/>
            <w:vAlign w:val="center"/>
          </w:tcPr>
          <w:p w14:paraId="165F4251">
            <w:pPr>
              <w:pStyle w:val="62"/>
              <w:spacing w:line="240" w:lineRule="exact"/>
              <w:jc w:val="both"/>
              <w:rPr>
                <w:rFonts w:hint="eastAsia" w:hAnsi="宋体" w:cs="宋体"/>
                <w:szCs w:val="18"/>
              </w:rPr>
            </w:pPr>
            <w:r>
              <w:rPr>
                <w:rFonts w:hint="eastAsia" w:hAnsi="宋体" w:cs="宋体"/>
                <w:szCs w:val="18"/>
              </w:rPr>
              <w:t>植被混凝土喷播；生态袋+挂网客土喷播；藤立方技术</w:t>
            </w:r>
          </w:p>
        </w:tc>
        <w:tc>
          <w:tcPr>
            <w:tcW w:w="1478" w:type="dxa"/>
            <w:vMerge w:val="continue"/>
            <w:tcBorders>
              <w:right w:val="single" w:color="auto" w:sz="8" w:space="0"/>
            </w:tcBorders>
            <w:vAlign w:val="center"/>
          </w:tcPr>
          <w:p w14:paraId="5F7FDC4A">
            <w:pPr>
              <w:pStyle w:val="62"/>
              <w:spacing w:line="240" w:lineRule="exact"/>
              <w:rPr>
                <w:rFonts w:hint="eastAsia" w:hAnsi="宋体" w:cs="宋体"/>
                <w:szCs w:val="18"/>
              </w:rPr>
            </w:pPr>
          </w:p>
        </w:tc>
      </w:tr>
      <w:tr w14:paraId="24B245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25" w:hRule="atLeast"/>
          <w:jc w:val="center"/>
        </w:trPr>
        <w:tc>
          <w:tcPr>
            <w:tcW w:w="478" w:type="dxa"/>
            <w:vMerge w:val="restart"/>
            <w:tcBorders>
              <w:left w:val="single" w:color="auto" w:sz="8" w:space="0"/>
            </w:tcBorders>
            <w:vAlign w:val="center"/>
          </w:tcPr>
          <w:p w14:paraId="0791FCA1">
            <w:pPr>
              <w:pStyle w:val="62"/>
              <w:spacing w:line="240" w:lineRule="exact"/>
              <w:rPr>
                <w:rFonts w:hint="eastAsia" w:hAnsi="宋体" w:cs="宋体"/>
                <w:szCs w:val="18"/>
              </w:rPr>
            </w:pPr>
            <w:r>
              <w:rPr>
                <w:rFonts w:hint="eastAsia" w:hAnsi="宋体" w:cs="宋体"/>
                <w:szCs w:val="18"/>
              </w:rPr>
              <w:t>2</w:t>
            </w:r>
          </w:p>
        </w:tc>
        <w:tc>
          <w:tcPr>
            <w:tcW w:w="1384" w:type="dxa"/>
            <w:vMerge w:val="restart"/>
            <w:vAlign w:val="center"/>
          </w:tcPr>
          <w:p w14:paraId="069566F0">
            <w:pPr>
              <w:pStyle w:val="62"/>
              <w:spacing w:line="240" w:lineRule="exact"/>
              <w:rPr>
                <w:rFonts w:hint="eastAsia" w:hAnsi="宋体" w:cs="宋体"/>
                <w:szCs w:val="18"/>
              </w:rPr>
            </w:pPr>
            <w:r>
              <w:rPr>
                <w:rFonts w:hint="eastAsia" w:hAnsi="宋体" w:cs="宋体"/>
                <w:szCs w:val="18"/>
              </w:rPr>
              <w:t>60°＜α≤73°</w:t>
            </w:r>
          </w:p>
        </w:tc>
        <w:tc>
          <w:tcPr>
            <w:tcW w:w="2973" w:type="dxa"/>
            <w:vAlign w:val="center"/>
          </w:tcPr>
          <w:p w14:paraId="2C9AAC60">
            <w:pPr>
              <w:pStyle w:val="62"/>
              <w:spacing w:line="240" w:lineRule="exact"/>
              <w:jc w:val="both"/>
              <w:rPr>
                <w:rFonts w:hint="eastAsia" w:hAnsi="宋体" w:cs="宋体"/>
                <w:szCs w:val="18"/>
              </w:rPr>
            </w:pPr>
            <w:r>
              <w:rPr>
                <w:rFonts w:hint="eastAsia" w:hAnsi="宋体" w:cs="宋体"/>
                <w:szCs w:val="18"/>
              </w:rPr>
              <w:t>中、微风化岩石（裂隙发育）</w:t>
            </w:r>
          </w:p>
        </w:tc>
        <w:tc>
          <w:tcPr>
            <w:tcW w:w="3078" w:type="dxa"/>
            <w:vAlign w:val="center"/>
          </w:tcPr>
          <w:p w14:paraId="44D3B8A4">
            <w:pPr>
              <w:pStyle w:val="62"/>
              <w:spacing w:line="240" w:lineRule="exact"/>
              <w:jc w:val="both"/>
              <w:rPr>
                <w:rFonts w:hint="eastAsia" w:hAnsi="宋体" w:cs="宋体"/>
                <w:szCs w:val="18"/>
              </w:rPr>
            </w:pPr>
            <w:r>
              <w:rPr>
                <w:rFonts w:hint="eastAsia" w:hAnsi="宋体" w:cs="宋体"/>
                <w:szCs w:val="18"/>
              </w:rPr>
              <w:t>藤立方技术；植被混凝土喷播</w:t>
            </w:r>
          </w:p>
        </w:tc>
        <w:tc>
          <w:tcPr>
            <w:tcW w:w="1478" w:type="dxa"/>
            <w:vMerge w:val="restart"/>
            <w:tcBorders>
              <w:right w:val="single" w:color="auto" w:sz="8" w:space="0"/>
            </w:tcBorders>
            <w:vAlign w:val="center"/>
          </w:tcPr>
          <w:p w14:paraId="095F3649">
            <w:pPr>
              <w:pStyle w:val="62"/>
              <w:spacing w:line="240" w:lineRule="exact"/>
              <w:rPr>
                <w:rFonts w:hint="eastAsia" w:hAnsi="宋体" w:cs="宋体"/>
                <w:szCs w:val="18"/>
              </w:rPr>
            </w:pPr>
            <w:r>
              <w:rPr>
                <w:rFonts w:hint="eastAsia" w:hAnsi="宋体" w:cs="宋体"/>
                <w:szCs w:val="18"/>
              </w:rPr>
              <w:t>藤本型/灌草型/灌草藤型</w:t>
            </w:r>
          </w:p>
        </w:tc>
      </w:tr>
      <w:tr w14:paraId="234E71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25" w:hRule="atLeast"/>
          <w:jc w:val="center"/>
        </w:trPr>
        <w:tc>
          <w:tcPr>
            <w:tcW w:w="478" w:type="dxa"/>
            <w:vMerge w:val="continue"/>
            <w:tcBorders>
              <w:left w:val="single" w:color="auto" w:sz="8" w:space="0"/>
            </w:tcBorders>
            <w:vAlign w:val="center"/>
          </w:tcPr>
          <w:p w14:paraId="66277EF8">
            <w:pPr>
              <w:pStyle w:val="62"/>
              <w:spacing w:line="240" w:lineRule="exact"/>
              <w:rPr>
                <w:rFonts w:hint="eastAsia" w:hAnsi="宋体" w:cs="宋体"/>
                <w:szCs w:val="18"/>
              </w:rPr>
            </w:pPr>
          </w:p>
        </w:tc>
        <w:tc>
          <w:tcPr>
            <w:tcW w:w="1384" w:type="dxa"/>
            <w:vMerge w:val="continue"/>
            <w:vAlign w:val="center"/>
          </w:tcPr>
          <w:p w14:paraId="143EE5BC">
            <w:pPr>
              <w:pStyle w:val="62"/>
              <w:spacing w:line="240" w:lineRule="exact"/>
              <w:rPr>
                <w:rFonts w:hint="eastAsia" w:hAnsi="宋体" w:cs="宋体"/>
                <w:szCs w:val="18"/>
              </w:rPr>
            </w:pPr>
          </w:p>
        </w:tc>
        <w:tc>
          <w:tcPr>
            <w:tcW w:w="2973" w:type="dxa"/>
            <w:vAlign w:val="center"/>
          </w:tcPr>
          <w:p w14:paraId="4C001784">
            <w:pPr>
              <w:pStyle w:val="62"/>
              <w:spacing w:line="240" w:lineRule="exact"/>
              <w:jc w:val="both"/>
              <w:rPr>
                <w:rFonts w:hint="eastAsia" w:hAnsi="宋体" w:cs="宋体"/>
                <w:szCs w:val="18"/>
              </w:rPr>
            </w:pPr>
            <w:r>
              <w:rPr>
                <w:rFonts w:hint="eastAsia" w:hAnsi="宋体" w:cs="宋体"/>
                <w:szCs w:val="18"/>
              </w:rPr>
              <w:t>中、微风化岩石（裂隙不发育）</w:t>
            </w:r>
          </w:p>
        </w:tc>
        <w:tc>
          <w:tcPr>
            <w:tcW w:w="3078" w:type="dxa"/>
            <w:vAlign w:val="center"/>
          </w:tcPr>
          <w:p w14:paraId="3A9301F6">
            <w:pPr>
              <w:pStyle w:val="62"/>
              <w:spacing w:line="240" w:lineRule="exact"/>
              <w:jc w:val="both"/>
              <w:rPr>
                <w:rFonts w:hint="eastAsia" w:hAnsi="宋体" w:cs="宋体"/>
                <w:szCs w:val="18"/>
              </w:rPr>
            </w:pPr>
            <w:r>
              <w:rPr>
                <w:rFonts w:hint="eastAsia" w:hAnsi="宋体" w:cs="宋体"/>
                <w:szCs w:val="18"/>
              </w:rPr>
              <w:t>台阶栽植；藤立方技术</w:t>
            </w:r>
          </w:p>
        </w:tc>
        <w:tc>
          <w:tcPr>
            <w:tcW w:w="1478" w:type="dxa"/>
            <w:vMerge w:val="continue"/>
            <w:tcBorders>
              <w:right w:val="single" w:color="auto" w:sz="8" w:space="0"/>
            </w:tcBorders>
            <w:vAlign w:val="center"/>
          </w:tcPr>
          <w:p w14:paraId="34BF207F">
            <w:pPr>
              <w:pStyle w:val="62"/>
              <w:spacing w:line="240" w:lineRule="exact"/>
              <w:rPr>
                <w:rFonts w:hint="eastAsia" w:hAnsi="宋体" w:cs="宋体"/>
                <w:szCs w:val="18"/>
              </w:rPr>
            </w:pPr>
          </w:p>
        </w:tc>
      </w:tr>
      <w:tr w14:paraId="5263F8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25" w:hRule="atLeast"/>
          <w:jc w:val="center"/>
        </w:trPr>
        <w:tc>
          <w:tcPr>
            <w:tcW w:w="478" w:type="dxa"/>
            <w:vMerge w:val="restart"/>
            <w:tcBorders>
              <w:left w:val="single" w:color="auto" w:sz="8" w:space="0"/>
            </w:tcBorders>
            <w:vAlign w:val="center"/>
          </w:tcPr>
          <w:p w14:paraId="136D618F">
            <w:pPr>
              <w:pStyle w:val="62"/>
              <w:spacing w:line="240" w:lineRule="exact"/>
              <w:rPr>
                <w:rFonts w:hint="eastAsia" w:hAnsi="宋体" w:cs="宋体"/>
                <w:szCs w:val="18"/>
              </w:rPr>
            </w:pPr>
            <w:r>
              <w:rPr>
                <w:rFonts w:hint="eastAsia" w:hAnsi="宋体" w:cs="宋体"/>
                <w:szCs w:val="18"/>
              </w:rPr>
              <w:t>3</w:t>
            </w:r>
          </w:p>
        </w:tc>
        <w:tc>
          <w:tcPr>
            <w:tcW w:w="1384" w:type="dxa"/>
            <w:vMerge w:val="restart"/>
            <w:vAlign w:val="center"/>
          </w:tcPr>
          <w:p w14:paraId="664469E3">
            <w:pPr>
              <w:pStyle w:val="62"/>
              <w:spacing w:line="240" w:lineRule="exact"/>
              <w:rPr>
                <w:rFonts w:hint="eastAsia" w:hAnsi="宋体" w:cs="宋体"/>
                <w:szCs w:val="18"/>
              </w:rPr>
            </w:pPr>
            <w:r>
              <w:rPr>
                <w:rFonts w:hint="eastAsia" w:hAnsi="宋体" w:cs="宋体"/>
                <w:szCs w:val="18"/>
              </w:rPr>
              <w:t>α＞73°</w:t>
            </w:r>
          </w:p>
        </w:tc>
        <w:tc>
          <w:tcPr>
            <w:tcW w:w="2973" w:type="dxa"/>
            <w:vAlign w:val="center"/>
          </w:tcPr>
          <w:p w14:paraId="699F197B">
            <w:pPr>
              <w:pStyle w:val="62"/>
              <w:spacing w:line="240" w:lineRule="exact"/>
              <w:jc w:val="both"/>
              <w:rPr>
                <w:rFonts w:hint="eastAsia" w:hAnsi="宋体" w:cs="宋体"/>
                <w:szCs w:val="18"/>
              </w:rPr>
            </w:pPr>
            <w:r>
              <w:rPr>
                <w:rFonts w:hint="eastAsia" w:hAnsi="宋体" w:cs="宋体"/>
                <w:szCs w:val="18"/>
              </w:rPr>
              <w:t>中、微风化岩石（裂隙发育）</w:t>
            </w:r>
          </w:p>
        </w:tc>
        <w:tc>
          <w:tcPr>
            <w:tcW w:w="3078" w:type="dxa"/>
            <w:vAlign w:val="center"/>
          </w:tcPr>
          <w:p w14:paraId="17A172BB">
            <w:pPr>
              <w:pStyle w:val="62"/>
              <w:spacing w:line="240" w:lineRule="exact"/>
              <w:jc w:val="both"/>
              <w:rPr>
                <w:rFonts w:hint="eastAsia" w:hAnsi="宋体" w:cs="宋体"/>
                <w:szCs w:val="18"/>
              </w:rPr>
            </w:pPr>
            <w:r>
              <w:rPr>
                <w:rFonts w:hint="eastAsia" w:hAnsi="宋体" w:cs="宋体"/>
                <w:szCs w:val="18"/>
              </w:rPr>
              <w:t>植被混凝土喷播+藤立方技术；藤立方技术</w:t>
            </w:r>
          </w:p>
        </w:tc>
        <w:tc>
          <w:tcPr>
            <w:tcW w:w="1478" w:type="dxa"/>
            <w:vMerge w:val="restart"/>
            <w:tcBorders>
              <w:right w:val="single" w:color="auto" w:sz="8" w:space="0"/>
            </w:tcBorders>
            <w:vAlign w:val="center"/>
          </w:tcPr>
          <w:p w14:paraId="27BB2AC1">
            <w:pPr>
              <w:pStyle w:val="62"/>
              <w:spacing w:line="240" w:lineRule="exact"/>
              <w:rPr>
                <w:rFonts w:hint="eastAsia" w:hAnsi="宋体" w:cs="宋体"/>
                <w:szCs w:val="18"/>
              </w:rPr>
            </w:pPr>
            <w:r>
              <w:rPr>
                <w:rFonts w:hint="eastAsia" w:hAnsi="宋体" w:cs="宋体"/>
                <w:szCs w:val="18"/>
              </w:rPr>
              <w:t>藤本型/灌草型</w:t>
            </w:r>
          </w:p>
        </w:tc>
      </w:tr>
      <w:tr w14:paraId="1DB7AE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25" w:hRule="atLeast"/>
          <w:jc w:val="center"/>
        </w:trPr>
        <w:tc>
          <w:tcPr>
            <w:tcW w:w="478" w:type="dxa"/>
            <w:vMerge w:val="continue"/>
            <w:tcBorders>
              <w:left w:val="single" w:color="auto" w:sz="8" w:space="0"/>
            </w:tcBorders>
            <w:vAlign w:val="center"/>
          </w:tcPr>
          <w:p w14:paraId="60336899">
            <w:pPr>
              <w:pStyle w:val="62"/>
              <w:spacing w:line="240" w:lineRule="exact"/>
              <w:rPr>
                <w:rFonts w:hint="eastAsia" w:hAnsi="宋体" w:cs="宋体"/>
                <w:szCs w:val="18"/>
              </w:rPr>
            </w:pPr>
          </w:p>
        </w:tc>
        <w:tc>
          <w:tcPr>
            <w:tcW w:w="1384" w:type="dxa"/>
            <w:vMerge w:val="continue"/>
            <w:vAlign w:val="center"/>
          </w:tcPr>
          <w:p w14:paraId="2F40A886">
            <w:pPr>
              <w:pStyle w:val="62"/>
              <w:spacing w:line="240" w:lineRule="exact"/>
              <w:rPr>
                <w:rFonts w:hint="eastAsia" w:hAnsi="宋体" w:cs="宋体"/>
                <w:szCs w:val="18"/>
              </w:rPr>
            </w:pPr>
          </w:p>
        </w:tc>
        <w:tc>
          <w:tcPr>
            <w:tcW w:w="2973" w:type="dxa"/>
            <w:vAlign w:val="center"/>
          </w:tcPr>
          <w:p w14:paraId="5E8DE895">
            <w:pPr>
              <w:pStyle w:val="62"/>
              <w:spacing w:line="240" w:lineRule="exact"/>
              <w:jc w:val="both"/>
              <w:rPr>
                <w:rFonts w:hint="eastAsia" w:hAnsi="宋体" w:cs="宋体"/>
                <w:szCs w:val="18"/>
              </w:rPr>
            </w:pPr>
            <w:r>
              <w:rPr>
                <w:rFonts w:hint="eastAsia" w:hAnsi="宋体" w:cs="宋体"/>
                <w:szCs w:val="18"/>
              </w:rPr>
              <w:t>中、微风化岩石（裂隙不发育）</w:t>
            </w:r>
          </w:p>
        </w:tc>
        <w:tc>
          <w:tcPr>
            <w:tcW w:w="3078" w:type="dxa"/>
            <w:vAlign w:val="center"/>
          </w:tcPr>
          <w:p w14:paraId="0520760C">
            <w:pPr>
              <w:pStyle w:val="62"/>
              <w:spacing w:line="240" w:lineRule="exact"/>
              <w:jc w:val="both"/>
              <w:rPr>
                <w:rFonts w:hint="eastAsia" w:hAnsi="宋体" w:cs="宋体"/>
                <w:szCs w:val="18"/>
              </w:rPr>
            </w:pPr>
            <w:r>
              <w:rPr>
                <w:rFonts w:hint="eastAsia" w:hAnsi="宋体" w:cs="宋体"/>
                <w:szCs w:val="18"/>
              </w:rPr>
              <w:t>台阶栽植；藤立方技术</w:t>
            </w:r>
          </w:p>
        </w:tc>
        <w:tc>
          <w:tcPr>
            <w:tcW w:w="1478" w:type="dxa"/>
            <w:vMerge w:val="continue"/>
            <w:tcBorders>
              <w:right w:val="single" w:color="auto" w:sz="8" w:space="0"/>
            </w:tcBorders>
            <w:vAlign w:val="center"/>
          </w:tcPr>
          <w:p w14:paraId="495D5CA3">
            <w:pPr>
              <w:pStyle w:val="62"/>
              <w:spacing w:line="240" w:lineRule="exact"/>
              <w:rPr>
                <w:rFonts w:hint="eastAsia" w:hAnsi="宋体" w:cs="宋体"/>
                <w:szCs w:val="18"/>
              </w:rPr>
            </w:pPr>
          </w:p>
        </w:tc>
      </w:tr>
    </w:tbl>
    <w:p w14:paraId="2AAD99A6">
      <w:pPr>
        <w:pStyle w:val="56"/>
        <w:ind w:firstLine="0" w:firstLineChars="0"/>
        <w:jc w:val="center"/>
        <w:rPr>
          <w:rFonts w:hint="eastAsia" w:ascii="黑体" w:hAnsi="黑体" w:eastAsia="黑体" w:cs="黑体"/>
          <w:sz w:val="28"/>
          <w:szCs w:val="28"/>
        </w:rPr>
      </w:pPr>
    </w:p>
    <w:p w14:paraId="60EC3D89">
      <w:pPr>
        <w:pStyle w:val="56"/>
        <w:ind w:firstLine="0" w:firstLineChars="0"/>
        <w:jc w:val="center"/>
        <w:rPr>
          <w:rFonts w:hint="eastAsia" w:ascii="黑体" w:hAnsi="黑体" w:eastAsia="黑体" w:cs="黑体"/>
          <w:sz w:val="28"/>
          <w:szCs w:val="28"/>
        </w:rPr>
      </w:pPr>
    </w:p>
    <w:p w14:paraId="62018E81">
      <w:pPr>
        <w:pStyle w:val="56"/>
        <w:ind w:firstLine="0" w:firstLineChars="0"/>
        <w:jc w:val="center"/>
        <w:rPr>
          <w:rFonts w:hint="eastAsia" w:ascii="黑体" w:hAnsi="黑体" w:eastAsia="黑体" w:cs="黑体"/>
          <w:sz w:val="28"/>
          <w:szCs w:val="28"/>
        </w:rPr>
      </w:pPr>
    </w:p>
    <w:p w14:paraId="70C4CD9E">
      <w:pPr>
        <w:pStyle w:val="56"/>
        <w:ind w:firstLine="0" w:firstLineChars="0"/>
        <w:jc w:val="center"/>
        <w:rPr>
          <w:rFonts w:hint="eastAsia" w:ascii="黑体" w:hAnsi="黑体" w:eastAsia="黑体" w:cs="黑体"/>
          <w:sz w:val="28"/>
          <w:szCs w:val="28"/>
        </w:rPr>
      </w:pPr>
    </w:p>
    <w:p w14:paraId="49110FAC">
      <w:pPr>
        <w:pStyle w:val="56"/>
        <w:ind w:firstLine="0" w:firstLineChars="0"/>
        <w:jc w:val="center"/>
        <w:rPr>
          <w:rFonts w:hint="eastAsia" w:ascii="黑体" w:hAnsi="黑体" w:eastAsia="黑体" w:cs="黑体"/>
          <w:sz w:val="28"/>
          <w:szCs w:val="28"/>
        </w:rPr>
      </w:pPr>
    </w:p>
    <w:p w14:paraId="2E931B44">
      <w:pPr>
        <w:pStyle w:val="56"/>
        <w:ind w:firstLine="0" w:firstLineChars="0"/>
        <w:jc w:val="center"/>
        <w:rPr>
          <w:rFonts w:hint="eastAsia" w:ascii="黑体" w:hAnsi="黑体" w:eastAsia="黑体" w:cs="黑体"/>
          <w:sz w:val="28"/>
          <w:szCs w:val="28"/>
        </w:rPr>
      </w:pPr>
    </w:p>
    <w:p w14:paraId="5C89DB1D">
      <w:pPr>
        <w:pStyle w:val="56"/>
        <w:ind w:firstLine="0" w:firstLineChars="0"/>
        <w:jc w:val="center"/>
        <w:rPr>
          <w:rFonts w:hint="eastAsia" w:ascii="黑体" w:hAnsi="黑体" w:eastAsia="黑体" w:cs="黑体"/>
          <w:sz w:val="28"/>
          <w:szCs w:val="28"/>
        </w:rPr>
      </w:pPr>
    </w:p>
    <w:p w14:paraId="2FA7D874">
      <w:pPr>
        <w:pStyle w:val="56"/>
        <w:ind w:firstLine="0" w:firstLineChars="0"/>
        <w:jc w:val="center"/>
        <w:rPr>
          <w:rFonts w:hint="eastAsia" w:ascii="黑体" w:hAnsi="黑体" w:eastAsia="黑体" w:cs="黑体"/>
          <w:sz w:val="28"/>
          <w:szCs w:val="28"/>
        </w:rPr>
      </w:pPr>
    </w:p>
    <w:p w14:paraId="5527A9B7">
      <w:pPr>
        <w:pStyle w:val="56"/>
        <w:ind w:firstLine="0" w:firstLineChars="0"/>
        <w:jc w:val="center"/>
        <w:rPr>
          <w:rFonts w:hint="eastAsia" w:ascii="黑体" w:hAnsi="黑体" w:eastAsia="黑体" w:cs="黑体"/>
          <w:sz w:val="28"/>
          <w:szCs w:val="28"/>
        </w:rPr>
      </w:pPr>
    </w:p>
    <w:p w14:paraId="6DA6A792">
      <w:pPr>
        <w:pStyle w:val="56"/>
        <w:ind w:firstLine="0" w:firstLineChars="0"/>
        <w:jc w:val="center"/>
        <w:rPr>
          <w:rFonts w:hint="eastAsia" w:ascii="黑体" w:hAnsi="黑体" w:eastAsia="黑体" w:cs="黑体"/>
          <w:sz w:val="28"/>
          <w:szCs w:val="28"/>
        </w:rPr>
      </w:pPr>
    </w:p>
    <w:p w14:paraId="2D7780EE">
      <w:pPr>
        <w:pStyle w:val="56"/>
        <w:ind w:firstLine="0" w:firstLineChars="0"/>
      </w:pPr>
    </w:p>
    <w:p w14:paraId="5C99EBB9">
      <w:pPr>
        <w:pStyle w:val="45"/>
      </w:pPr>
      <w:bookmarkStart w:id="14" w:name="_Toc25828"/>
      <w:r>
        <w:br w:type="textWrapping"/>
      </w:r>
      <w:r>
        <w:rPr>
          <w:rFonts w:hint="eastAsia"/>
        </w:rPr>
        <w:t>（资料性）</w:t>
      </w:r>
      <w:r>
        <w:br w:type="textWrapping"/>
      </w:r>
      <w:r>
        <w:rPr>
          <w:rFonts w:hint="eastAsia"/>
        </w:rPr>
        <w:t>矿山高陡岩质边坡生态修复监测方法</w:t>
      </w:r>
      <w:bookmarkEnd w:id="14"/>
    </w:p>
    <w:p w14:paraId="17F4FA11">
      <w:pPr>
        <w:pStyle w:val="10"/>
        <w:ind w:firstLine="0" w:firstLineChars="0"/>
      </w:pPr>
      <w:r>
        <w:rPr>
          <w:rFonts w:hint="eastAsia"/>
        </w:rPr>
        <w:t>矿山高陡岩质边坡生态修复监测方法见表B.1。</w:t>
      </w:r>
    </w:p>
    <w:p w14:paraId="2C2A1A32">
      <w:pPr>
        <w:pStyle w:val="10"/>
        <w:ind w:firstLine="0" w:firstLineChars="0"/>
        <w:jc w:val="center"/>
      </w:pPr>
      <w:r>
        <w:rPr>
          <w:rFonts w:hint="eastAsia"/>
          <w:b/>
          <w:bCs/>
        </w:rPr>
        <w:t>表B.1  矿山高陡岩质边坡生态修复监测方法</w:t>
      </w:r>
    </w:p>
    <w:tbl>
      <w:tblPr>
        <w:tblStyle w:val="12"/>
        <w:tblW w:w="4994" w:type="pct"/>
        <w:tblInd w:w="0" w:type="dxa"/>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autofit"/>
        <w:tblCellMar>
          <w:top w:w="0" w:type="dxa"/>
          <w:left w:w="108" w:type="dxa"/>
          <w:bottom w:w="0" w:type="dxa"/>
          <w:right w:w="108" w:type="dxa"/>
        </w:tblCellMar>
      </w:tblPr>
      <w:tblGrid>
        <w:gridCol w:w="1048"/>
        <w:gridCol w:w="1786"/>
        <w:gridCol w:w="1800"/>
        <w:gridCol w:w="4926"/>
      </w:tblGrid>
      <w:tr w14:paraId="3FC6D11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90" w:hRule="atLeast"/>
        </w:trPr>
        <w:tc>
          <w:tcPr>
            <w:tcW w:w="1482" w:type="pct"/>
            <w:gridSpan w:val="2"/>
            <w:tcBorders>
              <w:bottom w:val="single" w:color="auto" w:sz="8" w:space="0"/>
              <w:right w:val="single" w:color="000000" w:sz="4" w:space="0"/>
              <w:tl2br w:val="nil"/>
            </w:tcBorders>
            <w:shd w:val="clear" w:color="auto" w:fill="FFFFFF"/>
            <w:vAlign w:val="center"/>
          </w:tcPr>
          <w:p w14:paraId="663BB698">
            <w:pPr>
              <w:widowControl/>
              <w:adjustRightInd w:val="0"/>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监测内容</w:t>
            </w:r>
          </w:p>
        </w:tc>
        <w:tc>
          <w:tcPr>
            <w:tcW w:w="941" w:type="pct"/>
            <w:tcBorders>
              <w:left w:val="single" w:color="000000" w:sz="4" w:space="0"/>
              <w:bottom w:val="single" w:color="auto" w:sz="8" w:space="0"/>
              <w:right w:val="single" w:color="000000" w:sz="4" w:space="0"/>
            </w:tcBorders>
            <w:shd w:val="clear" w:color="auto" w:fill="FFFFFF"/>
            <w:vAlign w:val="center"/>
          </w:tcPr>
          <w:p w14:paraId="1BD8DB8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监测方法</w:t>
            </w:r>
          </w:p>
        </w:tc>
        <w:tc>
          <w:tcPr>
            <w:tcW w:w="2576" w:type="pct"/>
            <w:tcBorders>
              <w:left w:val="single" w:color="000000" w:sz="4" w:space="0"/>
              <w:bottom w:val="single" w:color="auto" w:sz="8" w:space="0"/>
            </w:tcBorders>
            <w:shd w:val="clear" w:color="auto" w:fill="FFFFFF"/>
            <w:vAlign w:val="center"/>
          </w:tcPr>
          <w:p w14:paraId="696AC2FA">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监测仪器</w:t>
            </w:r>
          </w:p>
        </w:tc>
      </w:tr>
      <w:tr w14:paraId="5F72297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90" w:hRule="atLeast"/>
        </w:trPr>
        <w:tc>
          <w:tcPr>
            <w:tcW w:w="548" w:type="pct"/>
            <w:vMerge w:val="restart"/>
            <w:tcBorders>
              <w:top w:val="single" w:color="auto" w:sz="8" w:space="0"/>
              <w:bottom w:val="single" w:color="000000" w:sz="4" w:space="0"/>
              <w:right w:val="single" w:color="000000" w:sz="4" w:space="0"/>
            </w:tcBorders>
            <w:shd w:val="clear" w:color="auto" w:fill="FFFFFF"/>
            <w:vAlign w:val="center"/>
          </w:tcPr>
          <w:p w14:paraId="4950BBF2">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地质稳定性</w:t>
            </w:r>
          </w:p>
        </w:tc>
        <w:tc>
          <w:tcPr>
            <w:tcW w:w="934" w:type="pct"/>
            <w:vMerge w:val="restart"/>
            <w:tcBorders>
              <w:top w:val="single" w:color="auto" w:sz="8" w:space="0"/>
              <w:left w:val="single" w:color="000000" w:sz="4" w:space="0"/>
              <w:bottom w:val="single" w:color="000000" w:sz="4" w:space="0"/>
              <w:right w:val="single" w:color="000000" w:sz="4" w:space="0"/>
            </w:tcBorders>
            <w:shd w:val="clear" w:color="auto" w:fill="FFFFFF"/>
            <w:vAlign w:val="center"/>
          </w:tcPr>
          <w:p w14:paraId="3947032A">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边坡稳定性</w:t>
            </w:r>
          </w:p>
        </w:tc>
        <w:tc>
          <w:tcPr>
            <w:tcW w:w="941" w:type="pct"/>
            <w:tcBorders>
              <w:top w:val="single" w:color="auto" w:sz="8" w:space="0"/>
              <w:left w:val="single" w:color="000000" w:sz="4" w:space="0"/>
              <w:bottom w:val="single" w:color="000000" w:sz="4" w:space="0"/>
              <w:right w:val="single" w:color="000000" w:sz="4" w:space="0"/>
            </w:tcBorders>
            <w:shd w:val="clear" w:color="auto" w:fill="FFFFFF"/>
            <w:vAlign w:val="center"/>
          </w:tcPr>
          <w:p w14:paraId="74512A56">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土压力测量法</w:t>
            </w:r>
          </w:p>
        </w:tc>
        <w:tc>
          <w:tcPr>
            <w:tcW w:w="2576" w:type="pct"/>
            <w:tcBorders>
              <w:top w:val="single" w:color="auto" w:sz="8" w:space="0"/>
              <w:left w:val="single" w:color="000000" w:sz="4" w:space="0"/>
              <w:bottom w:val="single" w:color="000000" w:sz="4" w:space="0"/>
            </w:tcBorders>
            <w:shd w:val="clear" w:color="auto" w:fill="FFFFFF"/>
            <w:vAlign w:val="center"/>
          </w:tcPr>
          <w:p w14:paraId="68D21B67">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土压力计</w:t>
            </w:r>
          </w:p>
        </w:tc>
      </w:tr>
      <w:tr w14:paraId="4E8EBE54">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39AE8FE7">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D3758B">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515386">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现场测试法</w:t>
            </w:r>
          </w:p>
        </w:tc>
        <w:tc>
          <w:tcPr>
            <w:tcW w:w="2576" w:type="pct"/>
            <w:tcBorders>
              <w:top w:val="single" w:color="000000" w:sz="4" w:space="0"/>
              <w:left w:val="single" w:color="000000" w:sz="4" w:space="0"/>
              <w:bottom w:val="single" w:color="000000" w:sz="4" w:space="0"/>
            </w:tcBorders>
            <w:shd w:val="clear" w:color="auto" w:fill="FFFFFF"/>
            <w:vAlign w:val="center"/>
          </w:tcPr>
          <w:p w14:paraId="41FE299A">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岩土含水率测定仪</w:t>
            </w:r>
          </w:p>
        </w:tc>
      </w:tr>
      <w:tr w14:paraId="12F15BA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55287DFF">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76858B">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EDDA2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采样送检测试法</w:t>
            </w:r>
          </w:p>
        </w:tc>
        <w:tc>
          <w:tcPr>
            <w:tcW w:w="2576" w:type="pct"/>
            <w:tcBorders>
              <w:top w:val="single" w:color="000000" w:sz="4" w:space="0"/>
              <w:left w:val="single" w:color="000000" w:sz="4" w:space="0"/>
              <w:bottom w:val="single" w:color="000000" w:sz="4" w:space="0"/>
            </w:tcBorders>
            <w:shd w:val="clear" w:color="auto" w:fill="FFFFFF"/>
            <w:vAlign w:val="center"/>
          </w:tcPr>
          <w:p w14:paraId="3DD7980F">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岩土体含水率分析仪</w:t>
            </w:r>
          </w:p>
        </w:tc>
      </w:tr>
      <w:tr w14:paraId="2FE29FA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505503B5">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7C16E2">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6DE06">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振弦测量法</w:t>
            </w:r>
          </w:p>
        </w:tc>
        <w:tc>
          <w:tcPr>
            <w:tcW w:w="2576" w:type="pct"/>
            <w:tcBorders>
              <w:top w:val="single" w:color="000000" w:sz="4" w:space="0"/>
              <w:left w:val="single" w:color="000000" w:sz="4" w:space="0"/>
              <w:bottom w:val="single" w:color="000000" w:sz="4" w:space="0"/>
            </w:tcBorders>
            <w:shd w:val="clear" w:color="auto" w:fill="FFFFFF"/>
            <w:vAlign w:val="center"/>
          </w:tcPr>
          <w:p w14:paraId="00008B0A">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振弦式渗压计</w:t>
            </w:r>
          </w:p>
        </w:tc>
      </w:tr>
      <w:tr w14:paraId="24A4C34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24148DA9">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8B5D8B">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906C7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光纤测量法</w:t>
            </w:r>
          </w:p>
        </w:tc>
        <w:tc>
          <w:tcPr>
            <w:tcW w:w="2576" w:type="pct"/>
            <w:tcBorders>
              <w:top w:val="single" w:color="000000" w:sz="4" w:space="0"/>
              <w:left w:val="single" w:color="000000" w:sz="4" w:space="0"/>
              <w:bottom w:val="single" w:color="000000" w:sz="4" w:space="0"/>
            </w:tcBorders>
            <w:shd w:val="clear" w:color="auto" w:fill="FFFFFF"/>
            <w:vAlign w:val="center"/>
          </w:tcPr>
          <w:p w14:paraId="439E22AB">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光纤渗压计</w:t>
            </w:r>
          </w:p>
        </w:tc>
      </w:tr>
      <w:tr w14:paraId="4BBC8F9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5FE352E1">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EF5968">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45B230">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降雨量测量法</w:t>
            </w:r>
          </w:p>
        </w:tc>
        <w:tc>
          <w:tcPr>
            <w:tcW w:w="2576" w:type="pct"/>
            <w:tcBorders>
              <w:top w:val="single" w:color="000000" w:sz="4" w:space="0"/>
              <w:left w:val="single" w:color="000000" w:sz="4" w:space="0"/>
              <w:bottom w:val="single" w:color="000000" w:sz="4" w:space="0"/>
            </w:tcBorders>
            <w:shd w:val="clear" w:color="auto" w:fill="FFFFFF"/>
            <w:vAlign w:val="center"/>
          </w:tcPr>
          <w:p w14:paraId="1FD1B940">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雨量自动监测设备</w:t>
            </w:r>
          </w:p>
        </w:tc>
      </w:tr>
      <w:tr w14:paraId="67C6345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1BDE38D4">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36D8B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地表形变</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25753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水准测量法</w:t>
            </w:r>
          </w:p>
        </w:tc>
        <w:tc>
          <w:tcPr>
            <w:tcW w:w="2576" w:type="pct"/>
            <w:tcBorders>
              <w:top w:val="single" w:color="000000" w:sz="4" w:space="0"/>
              <w:left w:val="single" w:color="000000" w:sz="4" w:space="0"/>
              <w:bottom w:val="single" w:color="000000" w:sz="4" w:space="0"/>
            </w:tcBorders>
            <w:shd w:val="clear" w:color="auto" w:fill="FFFFFF"/>
            <w:vAlign w:val="center"/>
          </w:tcPr>
          <w:p w14:paraId="0E0EC5C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水准仪、全站仪</w:t>
            </w:r>
          </w:p>
        </w:tc>
      </w:tr>
      <w:tr w14:paraId="1D26F16E">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39D3C228">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CC415D">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F4558B">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GNSS定位法</w:t>
            </w:r>
          </w:p>
        </w:tc>
        <w:tc>
          <w:tcPr>
            <w:tcW w:w="2576" w:type="pct"/>
            <w:tcBorders>
              <w:top w:val="single" w:color="000000" w:sz="4" w:space="0"/>
              <w:left w:val="single" w:color="000000" w:sz="4" w:space="0"/>
              <w:bottom w:val="single" w:color="000000" w:sz="4" w:space="0"/>
            </w:tcBorders>
            <w:shd w:val="clear" w:color="auto" w:fill="FFFFFF"/>
            <w:vAlign w:val="center"/>
          </w:tcPr>
          <w:p w14:paraId="7982774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GNSS 定位系统</w:t>
            </w:r>
          </w:p>
        </w:tc>
      </w:tr>
      <w:tr w14:paraId="4F52CD6F">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7A08CE91">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E98710">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EF4A5B">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激光扫描法</w:t>
            </w:r>
          </w:p>
        </w:tc>
        <w:tc>
          <w:tcPr>
            <w:tcW w:w="2576" w:type="pct"/>
            <w:tcBorders>
              <w:top w:val="single" w:color="000000" w:sz="4" w:space="0"/>
              <w:left w:val="single" w:color="000000" w:sz="4" w:space="0"/>
              <w:bottom w:val="single" w:color="000000" w:sz="4" w:space="0"/>
            </w:tcBorders>
            <w:shd w:val="clear" w:color="auto" w:fill="FFFFFF"/>
            <w:vAlign w:val="center"/>
          </w:tcPr>
          <w:p w14:paraId="3A043AD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三维激光扫描仪</w:t>
            </w:r>
          </w:p>
        </w:tc>
      </w:tr>
      <w:tr w14:paraId="36DC226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369FE80D">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961490">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FA9F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测距法</w:t>
            </w:r>
          </w:p>
        </w:tc>
        <w:tc>
          <w:tcPr>
            <w:tcW w:w="2576" w:type="pct"/>
            <w:tcBorders>
              <w:top w:val="single" w:color="000000" w:sz="4" w:space="0"/>
              <w:left w:val="single" w:color="000000" w:sz="4" w:space="0"/>
              <w:bottom w:val="single" w:color="000000" w:sz="4" w:space="0"/>
            </w:tcBorders>
            <w:shd w:val="clear" w:color="auto" w:fill="FFFFFF"/>
            <w:vAlign w:val="center"/>
          </w:tcPr>
          <w:p w14:paraId="274901F0">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土体沉降仪、激光测距仪、钢尺</w:t>
            </w:r>
          </w:p>
        </w:tc>
      </w:tr>
      <w:tr w14:paraId="12D732F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36210843">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46BE52">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000A4F">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雷达干涉测量法</w:t>
            </w:r>
          </w:p>
        </w:tc>
        <w:tc>
          <w:tcPr>
            <w:tcW w:w="2576" w:type="pct"/>
            <w:tcBorders>
              <w:top w:val="single" w:color="000000" w:sz="4" w:space="0"/>
              <w:left w:val="single" w:color="000000" w:sz="4" w:space="0"/>
              <w:bottom w:val="single" w:color="000000" w:sz="4" w:space="0"/>
            </w:tcBorders>
            <w:shd w:val="clear" w:color="auto" w:fill="FFFFFF"/>
            <w:vAlign w:val="center"/>
          </w:tcPr>
          <w:p w14:paraId="69984D37">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真实孔径雷达或者合成孔径雷达</w:t>
            </w:r>
          </w:p>
        </w:tc>
      </w:tr>
      <w:tr w14:paraId="75B3ECC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64CBDEFD">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3669E5">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897C2A">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应变测量法</w:t>
            </w:r>
          </w:p>
        </w:tc>
        <w:tc>
          <w:tcPr>
            <w:tcW w:w="2576" w:type="pct"/>
            <w:tcBorders>
              <w:top w:val="single" w:color="000000" w:sz="4" w:space="0"/>
              <w:left w:val="single" w:color="000000" w:sz="4" w:space="0"/>
              <w:bottom w:val="single" w:color="000000" w:sz="4" w:space="0"/>
            </w:tcBorders>
            <w:shd w:val="clear" w:color="auto" w:fill="FFFFFF"/>
            <w:vAlign w:val="center"/>
          </w:tcPr>
          <w:p w14:paraId="0B6D286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光纤应变计、埋入式振弦应变计</w:t>
            </w:r>
          </w:p>
        </w:tc>
      </w:tr>
      <w:tr w14:paraId="2D4378F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128E9330">
            <w:pPr>
              <w:widowControl/>
              <w:adjustRightInd w:val="0"/>
              <w:spacing w:line="360" w:lineRule="auto"/>
              <w:jc w:val="center"/>
              <w:textAlignment w:val="center"/>
              <w:rPr>
                <w:rFonts w:hint="eastAsia" w:ascii="宋体" w:hAnsi="宋体" w:cs="宋体"/>
                <w:kern w:val="0"/>
                <w:sz w:val="18"/>
                <w:szCs w:val="18"/>
                <w:lang w:bidi="ar"/>
              </w:rPr>
            </w:pPr>
          </w:p>
        </w:tc>
        <w:tc>
          <w:tcPr>
            <w:tcW w:w="9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B161A6">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FBBC2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遥感影像监测法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796EDDE4">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光学遥感相机</w:t>
            </w:r>
          </w:p>
        </w:tc>
      </w:tr>
      <w:tr w14:paraId="6472579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1084E01F">
            <w:pPr>
              <w:widowControl/>
              <w:adjustRightInd w:val="0"/>
              <w:spacing w:line="360" w:lineRule="auto"/>
              <w:jc w:val="center"/>
              <w:textAlignment w:val="center"/>
              <w:rPr>
                <w:rFonts w:hint="eastAsia" w:ascii="宋体" w:hAnsi="宋体" w:cs="宋体"/>
                <w:kern w:val="0"/>
                <w:sz w:val="18"/>
                <w:szCs w:val="18"/>
                <w:lang w:bidi="ar"/>
              </w:rPr>
            </w:pPr>
          </w:p>
        </w:tc>
        <w:tc>
          <w:tcPr>
            <w:tcW w:w="9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96BBCF">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地裂缝</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AFD70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测缝法</w:t>
            </w:r>
          </w:p>
        </w:tc>
        <w:tc>
          <w:tcPr>
            <w:tcW w:w="2576" w:type="pct"/>
            <w:tcBorders>
              <w:top w:val="single" w:color="000000" w:sz="4" w:space="0"/>
              <w:left w:val="single" w:color="000000" w:sz="4" w:space="0"/>
              <w:bottom w:val="single" w:color="000000" w:sz="4" w:space="0"/>
            </w:tcBorders>
            <w:shd w:val="clear" w:color="auto" w:fill="FFFFFF"/>
            <w:vAlign w:val="center"/>
          </w:tcPr>
          <w:p w14:paraId="35D917C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测缝计、位移计、伸缩仪</w:t>
            </w:r>
          </w:p>
        </w:tc>
      </w:tr>
      <w:tr w14:paraId="504A500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top w:val="single" w:color="000000" w:sz="4" w:space="0"/>
              <w:bottom w:val="single" w:color="000000" w:sz="4" w:space="0"/>
              <w:right w:val="single" w:color="000000" w:sz="4" w:space="0"/>
            </w:tcBorders>
            <w:shd w:val="clear" w:color="auto" w:fill="FFFFFF"/>
            <w:vAlign w:val="center"/>
          </w:tcPr>
          <w:p w14:paraId="1197AA21">
            <w:pPr>
              <w:widowControl/>
              <w:adjustRightInd w:val="0"/>
              <w:spacing w:line="360" w:lineRule="auto"/>
              <w:jc w:val="center"/>
              <w:textAlignment w:val="center"/>
              <w:rPr>
                <w:rFonts w:hint="eastAsia" w:ascii="宋体" w:hAnsi="宋体" w:cs="宋体"/>
                <w:kern w:val="0"/>
                <w:sz w:val="18"/>
                <w:szCs w:val="18"/>
                <w:lang w:bidi="ar"/>
              </w:rPr>
            </w:pPr>
          </w:p>
        </w:tc>
        <w:tc>
          <w:tcPr>
            <w:tcW w:w="9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667F25">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地下形变</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8690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钻孔测斜法</w:t>
            </w:r>
          </w:p>
        </w:tc>
        <w:tc>
          <w:tcPr>
            <w:tcW w:w="2576" w:type="pct"/>
            <w:tcBorders>
              <w:top w:val="single" w:color="000000" w:sz="4" w:space="0"/>
              <w:left w:val="single" w:color="000000" w:sz="4" w:space="0"/>
              <w:bottom w:val="single" w:color="000000" w:sz="4" w:space="0"/>
            </w:tcBorders>
            <w:shd w:val="clear" w:color="auto" w:fill="FFFFFF"/>
            <w:vAlign w:val="center"/>
          </w:tcPr>
          <w:p w14:paraId="765259C2">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自动钻孔测斜仪、手动钻孔测斜仪、多点位移计</w:t>
            </w:r>
          </w:p>
        </w:tc>
      </w:tr>
      <w:tr w14:paraId="250ED9E6">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restart"/>
            <w:tcBorders>
              <w:top w:val="single" w:color="000000" w:sz="4" w:space="0"/>
              <w:right w:val="single" w:color="000000" w:sz="4" w:space="0"/>
            </w:tcBorders>
            <w:shd w:val="clear" w:color="auto" w:fill="FFFFFF"/>
            <w:vAlign w:val="center"/>
          </w:tcPr>
          <w:p w14:paraId="4DEBF8D3">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水体</w:t>
            </w:r>
          </w:p>
        </w:tc>
        <w:tc>
          <w:tcPr>
            <w:tcW w:w="9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594E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地表水体分布</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1E9BD2">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0E4C6D6E">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遥感卫星或无人机</w:t>
            </w:r>
          </w:p>
        </w:tc>
      </w:tr>
      <w:tr w14:paraId="5AC457D4">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right w:val="single" w:color="000000" w:sz="4" w:space="0"/>
            </w:tcBorders>
            <w:shd w:val="clear" w:color="auto" w:fill="FFFFFF"/>
            <w:vAlign w:val="center"/>
          </w:tcPr>
          <w:p w14:paraId="45CA0FBA">
            <w:pPr>
              <w:widowControl/>
              <w:adjustRightInd w:val="0"/>
              <w:spacing w:line="360" w:lineRule="auto"/>
              <w:jc w:val="center"/>
              <w:textAlignment w:val="center"/>
              <w:rPr>
                <w:rFonts w:hint="eastAsia" w:ascii="宋体" w:hAnsi="宋体" w:cs="宋体"/>
                <w:kern w:val="0"/>
                <w:sz w:val="18"/>
                <w:szCs w:val="18"/>
                <w:lang w:bidi="ar"/>
              </w:rPr>
            </w:pPr>
          </w:p>
        </w:tc>
        <w:tc>
          <w:tcPr>
            <w:tcW w:w="9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A397B">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地下水水位</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C2336">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手动监测法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5CAFAE73">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便携式水位计</w:t>
            </w:r>
          </w:p>
        </w:tc>
      </w:tr>
      <w:tr w14:paraId="291E9808">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8" w:type="pct"/>
            <w:vMerge w:val="continue"/>
            <w:tcBorders>
              <w:bottom w:val="single" w:color="000000" w:sz="4" w:space="0"/>
              <w:right w:val="single" w:color="000000" w:sz="4" w:space="0"/>
            </w:tcBorders>
            <w:shd w:val="clear" w:color="auto" w:fill="FFFFFF"/>
            <w:vAlign w:val="center"/>
          </w:tcPr>
          <w:p w14:paraId="396A48FE">
            <w:pPr>
              <w:widowControl/>
              <w:adjustRightInd w:val="0"/>
              <w:spacing w:line="360" w:lineRule="auto"/>
              <w:jc w:val="center"/>
              <w:textAlignment w:val="center"/>
              <w:rPr>
                <w:rFonts w:hint="eastAsia" w:ascii="宋体" w:hAnsi="宋体" w:cs="宋体"/>
                <w:kern w:val="0"/>
                <w:sz w:val="18"/>
                <w:szCs w:val="18"/>
                <w:lang w:bidi="ar"/>
              </w:rPr>
            </w:pPr>
          </w:p>
        </w:tc>
        <w:tc>
          <w:tcPr>
            <w:tcW w:w="9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7EFE1B">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地表水、地下水水质</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736BD">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现场测试法</w:t>
            </w:r>
          </w:p>
        </w:tc>
        <w:tc>
          <w:tcPr>
            <w:tcW w:w="2576" w:type="pct"/>
            <w:tcBorders>
              <w:top w:val="single" w:color="000000" w:sz="4" w:space="0"/>
              <w:left w:val="single" w:color="000000" w:sz="4" w:space="0"/>
              <w:bottom w:val="single" w:color="000000" w:sz="4" w:space="0"/>
            </w:tcBorders>
            <w:shd w:val="clear" w:color="auto" w:fill="FFFFFF"/>
            <w:vAlign w:val="center"/>
          </w:tcPr>
          <w:p w14:paraId="002BBDD7">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便携式水质测量仪</w:t>
            </w:r>
          </w:p>
        </w:tc>
      </w:tr>
    </w:tbl>
    <w:p w14:paraId="15BB23DB">
      <w:pPr>
        <w:pStyle w:val="10"/>
        <w:ind w:firstLine="0" w:firstLineChars="0"/>
        <w:rPr>
          <w:b/>
          <w:bCs/>
        </w:rPr>
      </w:pPr>
    </w:p>
    <w:p w14:paraId="475B4C38">
      <w:pPr>
        <w:pStyle w:val="10"/>
        <w:ind w:firstLine="0" w:firstLineChars="0"/>
        <w:jc w:val="center"/>
      </w:pPr>
      <w:r>
        <w:rPr>
          <w:rFonts w:hint="eastAsia"/>
          <w:b/>
          <w:bCs/>
        </w:rPr>
        <w:t>表B.1  （续）</w:t>
      </w:r>
    </w:p>
    <w:tbl>
      <w:tblPr>
        <w:tblStyle w:val="12"/>
        <w:tblW w:w="4994" w:type="pct"/>
        <w:tblInd w:w="0" w:type="dxa"/>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autofit"/>
        <w:tblCellMar>
          <w:top w:w="0" w:type="dxa"/>
          <w:left w:w="108" w:type="dxa"/>
          <w:bottom w:w="0" w:type="dxa"/>
          <w:right w:w="108" w:type="dxa"/>
        </w:tblCellMar>
      </w:tblPr>
      <w:tblGrid>
        <w:gridCol w:w="1046"/>
        <w:gridCol w:w="1788"/>
        <w:gridCol w:w="1800"/>
        <w:gridCol w:w="4926"/>
      </w:tblGrid>
      <w:tr w14:paraId="0C4DA8C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90" w:hRule="atLeast"/>
        </w:trPr>
        <w:tc>
          <w:tcPr>
            <w:tcW w:w="1482" w:type="pct"/>
            <w:gridSpan w:val="2"/>
            <w:tcBorders>
              <w:bottom w:val="single" w:color="auto" w:sz="8" w:space="0"/>
              <w:right w:val="single" w:color="000000" w:sz="4" w:space="0"/>
              <w:tl2br w:val="nil"/>
            </w:tcBorders>
            <w:shd w:val="clear" w:color="auto" w:fill="FFFFFF"/>
            <w:vAlign w:val="center"/>
          </w:tcPr>
          <w:p w14:paraId="1487DB03">
            <w:pPr>
              <w:widowControl/>
              <w:adjustRightInd w:val="0"/>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监测内容</w:t>
            </w:r>
          </w:p>
        </w:tc>
        <w:tc>
          <w:tcPr>
            <w:tcW w:w="941" w:type="pct"/>
            <w:tcBorders>
              <w:left w:val="single" w:color="000000" w:sz="4" w:space="0"/>
              <w:bottom w:val="single" w:color="auto" w:sz="8" w:space="0"/>
              <w:right w:val="single" w:color="000000" w:sz="4" w:space="0"/>
            </w:tcBorders>
            <w:shd w:val="clear" w:color="auto" w:fill="FFFFFF"/>
            <w:vAlign w:val="center"/>
          </w:tcPr>
          <w:p w14:paraId="3AE9AD53">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监测方法</w:t>
            </w:r>
          </w:p>
        </w:tc>
        <w:tc>
          <w:tcPr>
            <w:tcW w:w="2576" w:type="pct"/>
            <w:tcBorders>
              <w:left w:val="single" w:color="000000" w:sz="4" w:space="0"/>
              <w:bottom w:val="single" w:color="auto" w:sz="8" w:space="0"/>
            </w:tcBorders>
            <w:shd w:val="clear" w:color="auto" w:fill="FFFFFF"/>
            <w:vAlign w:val="center"/>
          </w:tcPr>
          <w:p w14:paraId="31AB1B93">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监测仪器</w:t>
            </w:r>
          </w:p>
        </w:tc>
      </w:tr>
      <w:tr w14:paraId="0EE783C3">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restart"/>
            <w:tcBorders>
              <w:top w:val="single" w:color="000000" w:sz="4" w:space="0"/>
              <w:right w:val="single" w:color="000000" w:sz="4" w:space="0"/>
            </w:tcBorders>
            <w:shd w:val="clear" w:color="auto" w:fill="FFFFFF"/>
            <w:vAlign w:val="center"/>
          </w:tcPr>
          <w:p w14:paraId="1A4F9921">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水体</w:t>
            </w:r>
          </w:p>
        </w:tc>
        <w:tc>
          <w:tcPr>
            <w:tcW w:w="935" w:type="pct"/>
            <w:vMerge w:val="restart"/>
            <w:tcBorders>
              <w:top w:val="single" w:color="000000" w:sz="4" w:space="0"/>
              <w:left w:val="single" w:color="000000" w:sz="4" w:space="0"/>
              <w:right w:val="single" w:color="000000" w:sz="4" w:space="0"/>
            </w:tcBorders>
            <w:shd w:val="clear" w:color="auto" w:fill="FFFFFF"/>
            <w:vAlign w:val="center"/>
          </w:tcPr>
          <w:p w14:paraId="7AB2567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地表水、地下水水质</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ACC88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采样送检测试法</w:t>
            </w:r>
          </w:p>
        </w:tc>
        <w:tc>
          <w:tcPr>
            <w:tcW w:w="2576" w:type="pct"/>
            <w:tcBorders>
              <w:top w:val="single" w:color="000000" w:sz="4" w:space="0"/>
              <w:left w:val="single" w:color="000000" w:sz="4" w:space="0"/>
              <w:bottom w:val="single" w:color="000000" w:sz="4" w:space="0"/>
            </w:tcBorders>
            <w:shd w:val="clear" w:color="auto" w:fill="FFFFFF"/>
            <w:vAlign w:val="center"/>
          </w:tcPr>
          <w:p w14:paraId="4D96026A">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采样器、水样容器</w:t>
            </w:r>
          </w:p>
        </w:tc>
      </w:tr>
      <w:tr w14:paraId="4D8CA9C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62B68EDA">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continue"/>
            <w:tcBorders>
              <w:left w:val="single" w:color="000000" w:sz="4" w:space="0"/>
              <w:bottom w:val="single" w:color="000000" w:sz="4" w:space="0"/>
              <w:right w:val="single" w:color="000000" w:sz="4" w:space="0"/>
            </w:tcBorders>
            <w:shd w:val="clear" w:color="auto" w:fill="FFFFFF"/>
            <w:vAlign w:val="center"/>
          </w:tcPr>
          <w:p w14:paraId="1093382F">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DF27A1">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示踪法</w:t>
            </w:r>
          </w:p>
        </w:tc>
        <w:tc>
          <w:tcPr>
            <w:tcW w:w="2576" w:type="pct"/>
            <w:tcBorders>
              <w:top w:val="single" w:color="000000" w:sz="4" w:space="0"/>
              <w:left w:val="single" w:color="000000" w:sz="4" w:space="0"/>
              <w:bottom w:val="single" w:color="000000" w:sz="4" w:space="0"/>
            </w:tcBorders>
            <w:shd w:val="clear" w:color="auto" w:fill="FFFFFF"/>
            <w:vAlign w:val="center"/>
          </w:tcPr>
          <w:p w14:paraId="5E00536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同位素示踪剂</w:t>
            </w:r>
          </w:p>
        </w:tc>
      </w:tr>
      <w:tr w14:paraId="0C75124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restart"/>
            <w:tcBorders>
              <w:top w:val="single" w:color="000000" w:sz="4" w:space="0"/>
              <w:bottom w:val="single" w:color="000000" w:sz="4" w:space="0"/>
              <w:right w:val="single" w:color="000000" w:sz="4" w:space="0"/>
            </w:tcBorders>
            <w:shd w:val="clear" w:color="auto" w:fill="FFFFFF"/>
            <w:vAlign w:val="center"/>
          </w:tcPr>
          <w:p w14:paraId="285B0254">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土壤</w:t>
            </w:r>
          </w:p>
        </w:tc>
        <w:tc>
          <w:tcPr>
            <w:tcW w:w="93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7516B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土壤理化性质</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F5989E">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现场测量法</w:t>
            </w:r>
          </w:p>
        </w:tc>
        <w:tc>
          <w:tcPr>
            <w:tcW w:w="2576" w:type="pct"/>
            <w:tcBorders>
              <w:top w:val="single" w:color="000000" w:sz="4" w:space="0"/>
              <w:left w:val="single" w:color="000000" w:sz="4" w:space="0"/>
              <w:bottom w:val="single" w:color="000000" w:sz="4" w:space="0"/>
            </w:tcBorders>
            <w:shd w:val="clear" w:color="auto" w:fill="FFFFFF"/>
            <w:vAlign w:val="center"/>
          </w:tcPr>
          <w:p w14:paraId="2CEC9DF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便携式土壤检测仪、土壤电导率及盐分一体测试仪、PH 测量仪</w:t>
            </w:r>
          </w:p>
        </w:tc>
      </w:tr>
      <w:tr w14:paraId="6C7978EB">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024A1551">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2085C3">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B872AB">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采样送检测试法</w:t>
            </w:r>
          </w:p>
        </w:tc>
        <w:tc>
          <w:tcPr>
            <w:tcW w:w="2576" w:type="pct"/>
            <w:tcBorders>
              <w:top w:val="single" w:color="000000" w:sz="4" w:space="0"/>
              <w:left w:val="single" w:color="000000" w:sz="4" w:space="0"/>
              <w:bottom w:val="single" w:color="000000" w:sz="4" w:space="0"/>
            </w:tcBorders>
            <w:shd w:val="clear" w:color="auto" w:fill="FFFFFF"/>
            <w:vAlign w:val="center"/>
          </w:tcPr>
          <w:p w14:paraId="3813D905">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采样器、样品袋</w:t>
            </w:r>
          </w:p>
        </w:tc>
      </w:tr>
      <w:tr w14:paraId="1740FBE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0B20C2FD">
            <w:pPr>
              <w:widowControl/>
              <w:adjustRightInd w:val="0"/>
              <w:spacing w:line="360" w:lineRule="auto"/>
              <w:jc w:val="center"/>
              <w:textAlignment w:val="center"/>
              <w:rPr>
                <w:rFonts w:hint="eastAsia" w:ascii="宋体" w:hAnsi="宋体" w:cs="宋体"/>
                <w:kern w:val="0"/>
                <w:sz w:val="18"/>
                <w:szCs w:val="18"/>
                <w:lang w:bidi="ar"/>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E521E1">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土壤肥力</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1708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综合判断法</w:t>
            </w:r>
          </w:p>
        </w:tc>
        <w:tc>
          <w:tcPr>
            <w:tcW w:w="2576" w:type="pct"/>
            <w:tcBorders>
              <w:top w:val="single" w:color="000000" w:sz="4" w:space="0"/>
              <w:left w:val="single" w:color="000000" w:sz="4" w:space="0"/>
              <w:bottom w:val="single" w:color="000000" w:sz="4" w:space="0"/>
            </w:tcBorders>
            <w:shd w:val="clear" w:color="auto" w:fill="FFFFFF"/>
            <w:vAlign w:val="center"/>
          </w:tcPr>
          <w:p w14:paraId="6E56E94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土壤成分检测仪</w:t>
            </w:r>
          </w:p>
        </w:tc>
      </w:tr>
      <w:tr w14:paraId="5655C107">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330D7B8E">
            <w:pPr>
              <w:widowControl/>
              <w:adjustRightInd w:val="0"/>
              <w:spacing w:line="360" w:lineRule="auto"/>
              <w:jc w:val="center"/>
              <w:textAlignment w:val="center"/>
              <w:rPr>
                <w:rFonts w:hint="eastAsia" w:ascii="宋体" w:hAnsi="宋体" w:cs="宋体"/>
                <w:kern w:val="0"/>
                <w:sz w:val="18"/>
                <w:szCs w:val="18"/>
                <w:lang w:bidi="ar"/>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49C2DD">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土壤分布</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C56EAD">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5833CD3F">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遥感卫星或无人机</w:t>
            </w:r>
          </w:p>
        </w:tc>
      </w:tr>
      <w:tr w14:paraId="5A89579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32DB0CE6">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8AA7DA">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土壤重金属元素/有机污染物/酸碱度/碱化度</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616F0">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现场测试法</w:t>
            </w:r>
          </w:p>
        </w:tc>
        <w:tc>
          <w:tcPr>
            <w:tcW w:w="2576" w:type="pct"/>
            <w:tcBorders>
              <w:top w:val="single" w:color="000000" w:sz="4" w:space="0"/>
              <w:left w:val="single" w:color="000000" w:sz="4" w:space="0"/>
              <w:bottom w:val="single" w:color="000000" w:sz="4" w:space="0"/>
            </w:tcBorders>
            <w:shd w:val="clear" w:color="auto" w:fill="FFFFFF"/>
            <w:vAlign w:val="center"/>
          </w:tcPr>
          <w:p w14:paraId="73BAA643">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便携式测定仪</w:t>
            </w:r>
          </w:p>
        </w:tc>
      </w:tr>
      <w:tr w14:paraId="65162A83">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61F13FFF">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31102B">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464F77">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采样送检测试法</w:t>
            </w:r>
          </w:p>
        </w:tc>
        <w:tc>
          <w:tcPr>
            <w:tcW w:w="2576" w:type="pct"/>
            <w:tcBorders>
              <w:top w:val="single" w:color="000000" w:sz="4" w:space="0"/>
              <w:left w:val="single" w:color="000000" w:sz="4" w:space="0"/>
              <w:bottom w:val="single" w:color="000000" w:sz="4" w:space="0"/>
            </w:tcBorders>
            <w:shd w:val="clear" w:color="auto" w:fill="FFFFFF"/>
            <w:vAlign w:val="center"/>
          </w:tcPr>
          <w:p w14:paraId="5C6335D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采样器、样品袋</w:t>
            </w:r>
          </w:p>
        </w:tc>
      </w:tr>
      <w:tr w14:paraId="12BD60E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restart"/>
            <w:tcBorders>
              <w:top w:val="single" w:color="000000" w:sz="4" w:space="0"/>
              <w:bottom w:val="single" w:color="000000" w:sz="4" w:space="0"/>
              <w:right w:val="single" w:color="000000" w:sz="4" w:space="0"/>
            </w:tcBorders>
            <w:shd w:val="clear" w:color="auto" w:fill="FFFFFF"/>
            <w:vAlign w:val="center"/>
          </w:tcPr>
          <w:p w14:paraId="1E69CB85">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植被群落</w:t>
            </w: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B15E51">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植被覆盖度</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7C41B0">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3FF0C4DE">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遥感卫星或无人机</w:t>
            </w:r>
          </w:p>
        </w:tc>
      </w:tr>
      <w:tr w14:paraId="59DD4CD6">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063A3E41">
            <w:pPr>
              <w:widowControl/>
              <w:adjustRightInd w:val="0"/>
              <w:spacing w:line="360" w:lineRule="auto"/>
              <w:jc w:val="center"/>
              <w:textAlignment w:val="center"/>
              <w:rPr>
                <w:rFonts w:hint="eastAsia" w:ascii="宋体" w:hAnsi="宋体" w:cs="宋体"/>
                <w:kern w:val="0"/>
                <w:sz w:val="18"/>
                <w:szCs w:val="18"/>
                <w:lang w:bidi="ar"/>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73050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植被成活率</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4A6F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现场调查法</w:t>
            </w:r>
          </w:p>
        </w:tc>
        <w:tc>
          <w:tcPr>
            <w:tcW w:w="2576" w:type="pct"/>
            <w:tcBorders>
              <w:top w:val="single" w:color="000000" w:sz="4" w:space="0"/>
              <w:left w:val="single" w:color="000000" w:sz="4" w:space="0"/>
              <w:bottom w:val="single" w:color="000000" w:sz="4" w:space="0"/>
            </w:tcBorders>
            <w:shd w:val="clear" w:color="auto" w:fill="FFFFFF"/>
            <w:vAlign w:val="center"/>
          </w:tcPr>
          <w:p w14:paraId="57D67898">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现场查验、记录</w:t>
            </w:r>
          </w:p>
        </w:tc>
      </w:tr>
      <w:tr w14:paraId="45B7CB3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19D9A3FB">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749FC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植被构成</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22C66D">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6723065B">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遥感卫星或无人机</w:t>
            </w:r>
          </w:p>
        </w:tc>
      </w:tr>
      <w:tr w14:paraId="3C64B89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36FAF37D">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5BD056">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4497C">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现场调查法</w:t>
            </w:r>
          </w:p>
        </w:tc>
        <w:tc>
          <w:tcPr>
            <w:tcW w:w="2576" w:type="pct"/>
            <w:tcBorders>
              <w:top w:val="single" w:color="000000" w:sz="4" w:space="0"/>
              <w:left w:val="single" w:color="000000" w:sz="4" w:space="0"/>
              <w:bottom w:val="single" w:color="000000" w:sz="4" w:space="0"/>
            </w:tcBorders>
            <w:shd w:val="clear" w:color="auto" w:fill="FFFFFF"/>
            <w:vAlign w:val="center"/>
          </w:tcPr>
          <w:p w14:paraId="7993F681">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现场查验、记录</w:t>
            </w:r>
          </w:p>
        </w:tc>
      </w:tr>
      <w:tr w14:paraId="34D46657">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restart"/>
            <w:tcBorders>
              <w:top w:val="single" w:color="000000" w:sz="4" w:space="0"/>
              <w:bottom w:val="single" w:color="000000" w:sz="4" w:space="0"/>
              <w:right w:val="single" w:color="000000" w:sz="4" w:space="0"/>
            </w:tcBorders>
            <w:shd w:val="clear" w:color="auto" w:fill="FFFFFF"/>
            <w:vAlign w:val="center"/>
          </w:tcPr>
          <w:p w14:paraId="7F0B1B5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动物种群</w:t>
            </w:r>
          </w:p>
        </w:tc>
        <w:tc>
          <w:tcPr>
            <w:tcW w:w="93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252E00">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种群类型、数量</w:t>
            </w: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629BD3">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自动监测法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6300E815">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红外摄像机</w:t>
            </w:r>
          </w:p>
        </w:tc>
      </w:tr>
      <w:tr w14:paraId="3A81EC8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5366E2FC">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1EAD0C">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1747D">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鸣声监测法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403E8BB1">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纸质或电子记录</w:t>
            </w:r>
          </w:p>
        </w:tc>
      </w:tr>
      <w:tr w14:paraId="5571A175">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bottom w:val="single" w:color="000000" w:sz="4" w:space="0"/>
              <w:right w:val="single" w:color="000000" w:sz="4" w:space="0"/>
            </w:tcBorders>
            <w:shd w:val="clear" w:color="auto" w:fill="FFFFFF"/>
            <w:vAlign w:val="center"/>
          </w:tcPr>
          <w:p w14:paraId="255CC29A">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A25E91">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12CB99">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直观监测法</w:t>
            </w:r>
          </w:p>
        </w:tc>
        <w:tc>
          <w:tcPr>
            <w:tcW w:w="2576" w:type="pct"/>
            <w:tcBorders>
              <w:top w:val="single" w:color="000000" w:sz="4" w:space="0"/>
              <w:left w:val="single" w:color="000000" w:sz="4" w:space="0"/>
              <w:bottom w:val="single" w:color="000000" w:sz="4" w:space="0"/>
            </w:tcBorders>
            <w:shd w:val="clear" w:color="auto" w:fill="FFFFFF"/>
            <w:vAlign w:val="center"/>
          </w:tcPr>
          <w:p w14:paraId="1E198E37">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拍摄照片、纸质或电子记录</w:t>
            </w:r>
          </w:p>
        </w:tc>
      </w:tr>
      <w:tr w14:paraId="43857127">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83" w:hRule="atLeast"/>
        </w:trPr>
        <w:tc>
          <w:tcPr>
            <w:tcW w:w="547" w:type="pct"/>
            <w:vMerge w:val="continue"/>
            <w:tcBorders>
              <w:top w:val="single" w:color="000000" w:sz="4" w:space="0"/>
              <w:right w:val="single" w:color="000000" w:sz="4" w:space="0"/>
            </w:tcBorders>
            <w:shd w:val="clear" w:color="auto" w:fill="FFFFFF"/>
            <w:vAlign w:val="center"/>
          </w:tcPr>
          <w:p w14:paraId="034BD84E">
            <w:pPr>
              <w:widowControl/>
              <w:adjustRightInd w:val="0"/>
              <w:spacing w:line="360" w:lineRule="auto"/>
              <w:jc w:val="center"/>
              <w:textAlignment w:val="center"/>
              <w:rPr>
                <w:rFonts w:hint="eastAsia" w:ascii="宋体" w:hAnsi="宋体" w:cs="宋体"/>
                <w:kern w:val="0"/>
                <w:sz w:val="18"/>
                <w:szCs w:val="18"/>
                <w:lang w:bidi="ar"/>
              </w:rPr>
            </w:pPr>
          </w:p>
        </w:tc>
        <w:tc>
          <w:tcPr>
            <w:tcW w:w="935" w:type="pct"/>
            <w:vMerge w:val="continue"/>
            <w:tcBorders>
              <w:top w:val="single" w:color="000000" w:sz="4" w:space="0"/>
              <w:left w:val="single" w:color="000000" w:sz="4" w:space="0"/>
              <w:right w:val="single" w:color="000000" w:sz="4" w:space="0"/>
            </w:tcBorders>
            <w:shd w:val="clear" w:color="auto" w:fill="FFFFFF"/>
            <w:vAlign w:val="center"/>
          </w:tcPr>
          <w:p w14:paraId="0FB5D0CD">
            <w:pPr>
              <w:widowControl/>
              <w:adjustRightInd w:val="0"/>
              <w:spacing w:line="360" w:lineRule="auto"/>
              <w:jc w:val="center"/>
              <w:textAlignment w:val="center"/>
              <w:rPr>
                <w:rFonts w:hint="eastAsia" w:ascii="宋体" w:hAnsi="宋体" w:cs="宋体"/>
                <w:kern w:val="0"/>
                <w:sz w:val="18"/>
                <w:szCs w:val="18"/>
                <w:lang w:bidi="ar"/>
              </w:rPr>
            </w:pPr>
          </w:p>
        </w:tc>
        <w:tc>
          <w:tcPr>
            <w:tcW w:w="941" w:type="pct"/>
            <w:tcBorders>
              <w:top w:val="single" w:color="000000" w:sz="4" w:space="0"/>
              <w:left w:val="single" w:color="000000" w:sz="4" w:space="0"/>
              <w:right w:val="single" w:color="000000" w:sz="4" w:space="0"/>
            </w:tcBorders>
            <w:shd w:val="clear" w:color="auto" w:fill="FFFFFF"/>
            <w:vAlign w:val="center"/>
          </w:tcPr>
          <w:p w14:paraId="4D17FF3F">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踪迹监测法</w:t>
            </w:r>
          </w:p>
        </w:tc>
        <w:tc>
          <w:tcPr>
            <w:tcW w:w="2576" w:type="pct"/>
            <w:tcBorders>
              <w:top w:val="single" w:color="000000" w:sz="4" w:space="0"/>
              <w:left w:val="single" w:color="000000" w:sz="4" w:space="0"/>
            </w:tcBorders>
            <w:shd w:val="clear" w:color="auto" w:fill="FFFFFF"/>
            <w:vAlign w:val="center"/>
          </w:tcPr>
          <w:p w14:paraId="2CA7FC43">
            <w:pPr>
              <w:widowControl/>
              <w:adjustRightInd w:val="0"/>
              <w:spacing w:line="360" w:lineRule="auto"/>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拍摄照片、采集样本</w:t>
            </w:r>
          </w:p>
        </w:tc>
      </w:tr>
    </w:tbl>
    <w:p w14:paraId="7152C4B3">
      <w:pPr>
        <w:pStyle w:val="56"/>
        <w:ind w:firstLine="0" w:firstLineChars="0"/>
        <w:rPr>
          <w:rFonts w:hint="eastAsia" w:ascii="黑体" w:hAnsi="黑体" w:eastAsia="黑体" w:cs="黑体"/>
          <w:sz w:val="28"/>
          <w:szCs w:val="28"/>
        </w:rPr>
      </w:pPr>
    </w:p>
    <w:p w14:paraId="0F50F793">
      <w:pPr>
        <w:pStyle w:val="56"/>
        <w:ind w:firstLine="0" w:firstLineChars="0"/>
        <w:jc w:val="center"/>
        <w:rPr>
          <w:rFonts w:hint="eastAsia" w:ascii="黑体" w:hAnsi="黑体" w:eastAsia="黑体" w:cs="黑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2444750</wp:posOffset>
                </wp:positionH>
                <wp:positionV relativeFrom="paragraph">
                  <wp:posOffset>172720</wp:posOffset>
                </wp:positionV>
                <wp:extent cx="1590675" cy="5080"/>
                <wp:effectExtent l="0" t="0" r="0" b="0"/>
                <wp:wrapNone/>
                <wp:docPr id="8" name="直接连接符 8"/>
                <wp:cNvGraphicFramePr/>
                <a:graphic xmlns:a="http://schemas.openxmlformats.org/drawingml/2006/main">
                  <a:graphicData uri="http://schemas.microsoft.com/office/word/2010/wordprocessingShape">
                    <wps:wsp>
                      <wps:cNvCnPr/>
                      <wps:spPr>
                        <a:xfrm flipV="1">
                          <a:off x="3868420" y="6195060"/>
                          <a:ext cx="1590675" cy="50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92.5pt;margin-top:13.6pt;height:0.4pt;width:125.25pt;z-index:251659264;mso-width-relative:page;mso-height-relative:page;" filled="f" stroked="t" coordsize="21600,21600" o:gfxdata="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hMunNcAAAAJAQAADwAAAAAAAAABACAAAAAiAAAAZHJzL2Rvd25yZXYu&#10;eG1sUEsBAhQAFAAAAAgAh07iQL+rjtv8AQAAywMAAA4AAAAAAAAAAQAgAAAAJgEAAGRycy9lMm9E&#10;b2MueG1sUEsFBgAAAAAGAAYAWQEAAJQFAAAAAA==&#10;">
                <v:fill on="f" focussize="0,0"/>
                <v:stroke weight="1pt" color="#000000 [3213]" miterlimit="8" joinstyle="miter"/>
                <v:imagedata o:title=""/>
                <o:lock v:ext="edit" aspectratio="f"/>
              </v:line>
            </w:pict>
          </mc:Fallback>
        </mc:AlternateContent>
      </w:r>
    </w:p>
    <w:p w14:paraId="30366F49">
      <w:pPr>
        <w:pStyle w:val="56"/>
        <w:ind w:firstLine="0" w:firstLineChars="0"/>
        <w:jc w:val="left"/>
        <w:rPr>
          <w:rFonts w:hint="eastAsia" w:ascii="黑体" w:hAnsi="黑体" w:eastAsia="黑体" w:cs="黑体"/>
          <w:sz w:val="28"/>
          <w:szCs w:val="28"/>
        </w:rPr>
      </w:pPr>
    </w:p>
    <w:p w14:paraId="335815CB">
      <w:pPr>
        <w:pStyle w:val="56"/>
        <w:ind w:firstLine="0" w:firstLineChars="0"/>
        <w:rPr>
          <w:rFonts w:ascii="Times New Roman"/>
        </w:rPr>
      </w:pPr>
    </w:p>
    <w:p w14:paraId="5548D128">
      <w:pPr>
        <w:pStyle w:val="56"/>
        <w:ind w:firstLine="0" w:firstLineChars="0"/>
        <w:rPr>
          <w:rFonts w:ascii="Times New Roman"/>
        </w:rPr>
      </w:pPr>
    </w:p>
    <w:p w14:paraId="658CBF26">
      <w:pPr>
        <w:pStyle w:val="56"/>
        <w:ind w:firstLine="0" w:firstLineChars="0"/>
        <w:rPr>
          <w:rFonts w:ascii="Times New Roman"/>
          <w:sz w:val="28"/>
          <w:szCs w:val="28"/>
        </w:rPr>
      </w:pPr>
    </w:p>
    <w:sectPr>
      <w:headerReference r:id="rId9" w:type="default"/>
      <w:footerReference r:id="rId10" w:type="default"/>
      <w:footerReference r:id="rId11" w:type="even"/>
      <w:pgSz w:w="11906" w:h="16838"/>
      <w:pgMar w:top="567" w:right="1134" w:bottom="1134" w:left="1417"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FB55D">
    <w:pPr>
      <w:pStyle w:val="53"/>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EB8A5">
                          <w:pPr>
                            <w:pStyle w:val="53"/>
                          </w:pPr>
                          <w:r>
                            <w:fldChar w:fldCharType="begin"/>
                          </w:r>
                          <w:r>
                            <w:instrText xml:space="preserve"> PAGE   \* MERGEFORMAT </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93EB8A5">
                    <w:pPr>
                      <w:pStyle w:val="53"/>
                    </w:pPr>
                    <w:r>
                      <w:fldChar w:fldCharType="begin"/>
                    </w:r>
                    <w:r>
                      <w:instrText xml:space="preserve"> PAGE   \* MERGEFORMAT </w:instrText>
                    </w:r>
                    <w:r>
                      <w:fldChar w:fldCharType="separate"/>
                    </w:r>
                    <w:r>
                      <w:rPr>
                        <w:lang w:val="zh-CN"/>
                      </w:rPr>
                      <w:t>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C32C6">
    <w:pPr>
      <w:pStyle w:val="5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242CA">
                          <w:pPr>
                            <w:pStyle w:val="54"/>
                          </w:pPr>
                          <w:r>
                            <w:fldChar w:fldCharType="begin"/>
                          </w:r>
                          <w:r>
                            <w:instrText xml:space="preserve"> PAGE   \* MERGEFORMAT </w:instrText>
                          </w:r>
                          <w:r>
                            <w:fldChar w:fldCharType="separate"/>
                          </w:r>
                          <w:r>
                            <w:rPr>
                              <w:lang w:val="zh-CN"/>
                            </w:rP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1242CA">
                    <w:pPr>
                      <w:pStyle w:val="54"/>
                    </w:pPr>
                    <w:r>
                      <w:fldChar w:fldCharType="begin"/>
                    </w:r>
                    <w:r>
                      <w:instrText xml:space="preserve"> PAGE   \* MERGEFORMAT </w:instrText>
                    </w:r>
                    <w:r>
                      <w:fldChar w:fldCharType="separate"/>
                    </w:r>
                    <w:r>
                      <w:rPr>
                        <w:lang w:val="zh-CN"/>
                      </w:rPr>
                      <w:t>III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8150E">
    <w:pPr>
      <w:pStyle w:val="53"/>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6F2EE">
                          <w:pPr>
                            <w:pStyle w:val="53"/>
                          </w:pPr>
                          <w:r>
                            <w:fldChar w:fldCharType="begin"/>
                          </w:r>
                          <w:r>
                            <w:instrText xml:space="preserve"> PAGE   \* MERGEFORMAT </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646F2EE">
                    <w:pPr>
                      <w:pStyle w:val="53"/>
                    </w:pPr>
                    <w:r>
                      <w:fldChar w:fldCharType="begin"/>
                    </w:r>
                    <w:r>
                      <w:instrText xml:space="preserve"> PAGE   \* MERGEFORMAT </w:instrText>
                    </w:r>
                    <w:r>
                      <w:fldChar w:fldCharType="separate"/>
                    </w:r>
                    <w:r>
                      <w:rPr>
                        <w:lang w:val="zh-CN"/>
                      </w:rPr>
                      <w:t>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2EDC7">
    <w:pPr>
      <w:pStyle w:val="54"/>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67F47">
                          <w:pPr>
                            <w:pStyle w:val="54"/>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D467F47">
                    <w:pPr>
                      <w:pStyle w:val="54"/>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176EA">
    <w:pPr>
      <w:pStyle w:val="53"/>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107E5">
                          <w:pPr>
                            <w:pStyle w:val="53"/>
                          </w:pPr>
                          <w:r>
                            <w:fldChar w:fldCharType="begin"/>
                          </w:r>
                          <w:r>
                            <w:instrText xml:space="preserve"> PAGE   \* MERGEFORMAT </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C9107E5">
                    <w:pPr>
                      <w:pStyle w:val="53"/>
                    </w:pPr>
                    <w:r>
                      <w:fldChar w:fldCharType="begin"/>
                    </w:r>
                    <w:r>
                      <w:instrText xml:space="preserve"> PAGE   \* MERGEFORMAT </w:instrText>
                    </w:r>
                    <w:r>
                      <w:fldChar w:fldCharType="separate"/>
                    </w:r>
                    <w:r>
                      <w:rPr>
                        <w:lang w:val="zh-CN"/>
                      </w:rPr>
                      <w:t>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279A9">
    <w:pPr>
      <w:pStyle w:val="5"/>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61FF0">
                          <w:pPr>
                            <w:pStyle w:val="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7F261FF0">
                    <w:pPr>
                      <w:pStyle w:val="5"/>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80719">
    <w:pPr>
      <w:pStyle w:val="10"/>
      <w:ind w:firstLine="0" w:firstLineChars="0"/>
      <w:jc w:val="left"/>
    </w:pPr>
    <w:r>
      <w:t>T</w:t>
    </w:r>
    <w:r>
      <w:rPr>
        <w:rFonts w:hint="eastAsia"/>
      </w:rPr>
      <w:t>/CAGHPER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DF431">
    <w:pPr>
      <w:pStyle w:val="10"/>
      <w:jc w:val="right"/>
    </w:pPr>
    <w:r>
      <w:t>T</w:t>
    </w:r>
    <w:r>
      <w:rPr>
        <w:rFonts w:hint="eastAsia"/>
      </w:rPr>
      <w:t>/CAGHPER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AD042">
    <w:pPr>
      <w:pStyle w:val="10"/>
      <w:ind w:firstLine="0" w:firstLineChars="0"/>
      <w:jc w:val="left"/>
    </w:pPr>
    <w:r>
      <w:t>T</w:t>
    </w:r>
    <w:r>
      <w:rPr>
        <w:rFonts w:hint="eastAsia"/>
      </w:rPr>
      <w:t>/CAGHPER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F3A0A"/>
    <w:multiLevelType w:val="singleLevel"/>
    <w:tmpl w:val="8E7F3A0A"/>
    <w:lvl w:ilvl="0" w:tentative="0">
      <w:start w:val="1"/>
      <w:numFmt w:val="decimal"/>
      <w:suff w:val="space"/>
      <w:lvlText w:val="%1）"/>
      <w:lvlJc w:val="left"/>
      <w:pPr>
        <w:ind w:left="839" w:firstLine="0"/>
      </w:pPr>
    </w:lvl>
  </w:abstractNum>
  <w:abstractNum w:abstractNumId="1">
    <w:nsid w:val="96E56145"/>
    <w:multiLevelType w:val="multilevel"/>
    <w:tmpl w:val="96E56145"/>
    <w:lvl w:ilvl="0" w:tentative="0">
      <w:start w:val="1"/>
      <w:numFmt w:val="lowerLetter"/>
      <w:pStyle w:val="41"/>
      <w:lvlText w:val="%1)"/>
      <w:lvlJc w:val="left"/>
      <w:pPr>
        <w:tabs>
          <w:tab w:val="left" w:pos="839"/>
        </w:tabs>
        <w:ind w:left="839" w:hanging="419"/>
      </w:pPr>
      <w:rPr>
        <w:rFonts w:hint="default" w:ascii="宋体" w:hAnsi="宋体" w:eastAsia="宋体"/>
        <w:b w:val="0"/>
        <w:i w:val="0"/>
        <w:color w:val="auto"/>
        <w:sz w:val="20"/>
        <w:szCs w:val="21"/>
      </w:rPr>
    </w:lvl>
    <w:lvl w:ilvl="1" w:tentative="0">
      <w:start w:val="1"/>
      <w:numFmt w:val="decimal"/>
      <w:pStyle w:val="42"/>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6"/>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
    <w:nsid w:val="079102AD"/>
    <w:multiLevelType w:val="multilevel"/>
    <w:tmpl w:val="079102AD"/>
    <w:lvl w:ilvl="0" w:tentative="0">
      <w:start w:val="1"/>
      <w:numFmt w:val="decimal"/>
      <w:pStyle w:val="37"/>
      <w:suff w:val="nothing"/>
      <w:lvlText w:val="注%1："/>
      <w:lvlJc w:val="left"/>
      <w:pPr>
        <w:ind w:left="811" w:hanging="448"/>
      </w:pPr>
      <w:rPr>
        <w:rFonts w:hint="eastAsia" w:ascii="黑体" w:hAns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AE367E9"/>
    <w:multiLevelType w:val="multilevel"/>
    <w:tmpl w:val="0AE367E9"/>
    <w:lvl w:ilvl="0" w:tentative="0">
      <w:start w:val="1"/>
      <w:numFmt w:val="none"/>
      <w:pStyle w:val="26"/>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4">
    <w:nsid w:val="0DDE2B46"/>
    <w:multiLevelType w:val="multilevel"/>
    <w:tmpl w:val="0DDE2B46"/>
    <w:lvl w:ilvl="0" w:tentative="0">
      <w:start w:val="1"/>
      <w:numFmt w:val="lowerLetter"/>
      <w:pStyle w:val="35"/>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2DA2C20"/>
    <w:multiLevelType w:val="multilevel"/>
    <w:tmpl w:val="12DA2C20"/>
    <w:lvl w:ilvl="0" w:tentative="0">
      <w:start w:val="1"/>
      <w:numFmt w:val="decimal"/>
      <w:pStyle w:val="36"/>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1DBF583A"/>
    <w:multiLevelType w:val="multilevel"/>
    <w:tmpl w:val="1DBF583A"/>
    <w:lvl w:ilvl="0" w:tentative="0">
      <w:start w:val="1"/>
      <w:numFmt w:val="decimal"/>
      <w:pStyle w:val="24"/>
      <w:suff w:val="nothing"/>
      <w:lvlText w:val="注%1："/>
      <w:lvlJc w:val="left"/>
      <w:pPr>
        <w:ind w:left="811" w:hanging="448"/>
      </w:pPr>
      <w:rPr>
        <w:rFonts w:hint="eastAsia" w:ascii="黑体" w:hAnsi="黑体" w:eastAsia="黑体"/>
        <w:b w:val="0"/>
        <w:i w:val="0"/>
        <w:sz w:val="18"/>
        <w:szCs w:val="18"/>
        <w:vertAlign w:val="baseline"/>
      </w:rPr>
    </w:lvl>
    <w:lvl w:ilvl="1" w:tentative="0">
      <w:start w:val="1"/>
      <w:numFmt w:val="lowerLetter"/>
      <w:lvlText w:val="%2)"/>
      <w:lvlJc w:val="left"/>
      <w:pPr>
        <w:tabs>
          <w:tab w:val="left" w:pos="181"/>
        </w:tabs>
        <w:ind w:left="1174" w:hanging="630"/>
      </w:pPr>
      <w:rPr>
        <w:rFonts w:hint="eastAsia"/>
        <w:vertAlign w:val="baseline"/>
      </w:rPr>
    </w:lvl>
    <w:lvl w:ilvl="2" w:tentative="0">
      <w:start w:val="1"/>
      <w:numFmt w:val="lowerRoman"/>
      <w:lvlText w:val="%3."/>
      <w:lvlJc w:val="right"/>
      <w:pPr>
        <w:tabs>
          <w:tab w:val="left" w:pos="181"/>
        </w:tabs>
        <w:ind w:left="1174" w:hanging="630"/>
      </w:pPr>
      <w:rPr>
        <w:rFonts w:hint="eastAsia"/>
        <w:vertAlign w:val="baseline"/>
      </w:rPr>
    </w:lvl>
    <w:lvl w:ilvl="3" w:tentative="0">
      <w:start w:val="1"/>
      <w:numFmt w:val="decimal"/>
      <w:lvlText w:val="%4."/>
      <w:lvlJc w:val="left"/>
      <w:pPr>
        <w:tabs>
          <w:tab w:val="left" w:pos="181"/>
        </w:tabs>
        <w:ind w:left="1174" w:hanging="630"/>
      </w:pPr>
      <w:rPr>
        <w:rFonts w:hint="eastAsia"/>
        <w:vertAlign w:val="baseline"/>
      </w:rPr>
    </w:lvl>
    <w:lvl w:ilvl="4" w:tentative="0">
      <w:start w:val="1"/>
      <w:numFmt w:val="lowerLetter"/>
      <w:lvlText w:val="%5)"/>
      <w:lvlJc w:val="left"/>
      <w:pPr>
        <w:tabs>
          <w:tab w:val="left" w:pos="181"/>
        </w:tabs>
        <w:ind w:left="1174" w:hanging="630"/>
      </w:pPr>
      <w:rPr>
        <w:rFonts w:hint="eastAsia"/>
        <w:vertAlign w:val="baseline"/>
      </w:rPr>
    </w:lvl>
    <w:lvl w:ilvl="5" w:tentative="0">
      <w:start w:val="1"/>
      <w:numFmt w:val="lowerRoman"/>
      <w:lvlText w:val="%6."/>
      <w:lvlJc w:val="right"/>
      <w:pPr>
        <w:tabs>
          <w:tab w:val="left" w:pos="181"/>
        </w:tabs>
        <w:ind w:left="1174" w:hanging="630"/>
      </w:pPr>
      <w:rPr>
        <w:rFonts w:hint="eastAsia"/>
        <w:vertAlign w:val="baseline"/>
      </w:rPr>
    </w:lvl>
    <w:lvl w:ilvl="6" w:tentative="0">
      <w:start w:val="1"/>
      <w:numFmt w:val="decimal"/>
      <w:lvlText w:val="%7."/>
      <w:lvlJc w:val="left"/>
      <w:pPr>
        <w:tabs>
          <w:tab w:val="left" w:pos="181"/>
        </w:tabs>
        <w:ind w:left="1174" w:hanging="630"/>
      </w:pPr>
      <w:rPr>
        <w:rFonts w:hint="eastAsia"/>
        <w:vertAlign w:val="baseline"/>
      </w:rPr>
    </w:lvl>
    <w:lvl w:ilvl="7" w:tentative="0">
      <w:start w:val="1"/>
      <w:numFmt w:val="lowerLetter"/>
      <w:lvlText w:val="%8)"/>
      <w:lvlJc w:val="left"/>
      <w:pPr>
        <w:tabs>
          <w:tab w:val="left" w:pos="181"/>
        </w:tabs>
        <w:ind w:left="1174" w:hanging="630"/>
      </w:pPr>
      <w:rPr>
        <w:rFonts w:hint="eastAsia"/>
        <w:vertAlign w:val="baseline"/>
      </w:rPr>
    </w:lvl>
    <w:lvl w:ilvl="8" w:tentative="0">
      <w:start w:val="1"/>
      <w:numFmt w:val="lowerRoman"/>
      <w:lvlText w:val="%9."/>
      <w:lvlJc w:val="right"/>
      <w:pPr>
        <w:tabs>
          <w:tab w:val="left" w:pos="181"/>
        </w:tabs>
        <w:ind w:left="1174" w:hanging="630"/>
      </w:pPr>
      <w:rPr>
        <w:rFonts w:hint="eastAsia"/>
        <w:vertAlign w:val="baseline"/>
      </w:rPr>
    </w:lvl>
  </w:abstractNum>
  <w:abstractNum w:abstractNumId="7">
    <w:nsid w:val="1FC91163"/>
    <w:multiLevelType w:val="multilevel"/>
    <w:tmpl w:val="1FC91163"/>
    <w:lvl w:ilvl="0" w:tentative="0">
      <w:start w:val="1"/>
      <w:numFmt w:val="decimal"/>
      <w:pStyle w:val="1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0"/>
      <w:suff w:val="nothing"/>
      <w:lvlText w:val="%1.%2　"/>
      <w:lvlJc w:val="left"/>
      <w:pPr>
        <w:ind w:left="0" w:firstLine="0"/>
      </w:pPr>
      <w:rPr>
        <w:rFonts w:hint="default" w:ascii="黑体" w:hAnsi="Times New Roman" w:eastAsia="黑体" w:cs="Times New Roman"/>
        <w:b w:val="0"/>
        <w:bCs w:val="0"/>
        <w:i w:val="0"/>
        <w:iCs w:val="0"/>
        <w:caps w:val="0"/>
        <w:strike w:val="0"/>
        <w:dstrike w:val="0"/>
        <w:vanish w:val="0"/>
        <w:color w:val="auto"/>
        <w:spacing w:val="0"/>
        <w:kern w:val="0"/>
        <w:position w:val="0"/>
        <w:sz w:val="21"/>
        <w:szCs w:val="21"/>
        <w:u w:val="none"/>
        <w:vertAlign w:val="baseline"/>
      </w:rPr>
    </w:lvl>
    <w:lvl w:ilvl="2" w:tentative="0">
      <w:start w:val="1"/>
      <w:numFmt w:val="decimal"/>
      <w:pStyle w:val="23"/>
      <w:suff w:val="nothing"/>
      <w:lvlText w:val="%1.%2.%3　"/>
      <w:lvlJc w:val="left"/>
      <w:pPr>
        <w:ind w:left="0" w:firstLine="0"/>
      </w:pPr>
      <w:rPr>
        <w:rFonts w:hint="eastAsia" w:ascii="黑体" w:hAnsi="Times New Roman" w:eastAsia="黑体"/>
        <w:b w:val="0"/>
        <w:i w:val="0"/>
        <w:sz w:val="21"/>
      </w:rPr>
    </w:lvl>
    <w:lvl w:ilvl="3" w:tentative="0">
      <w:start w:val="1"/>
      <w:numFmt w:val="decimal"/>
      <w:pStyle w:val="25"/>
      <w:suff w:val="nothing"/>
      <w:lvlText w:val="%1.%2.%3.%4　"/>
      <w:lvlJc w:val="left"/>
      <w:pPr>
        <w:ind w:left="0" w:firstLine="0"/>
      </w:pPr>
      <w:rPr>
        <w:rFonts w:hint="eastAsia" w:ascii="黑体" w:hAnsi="Times New Roman" w:eastAsia="黑体"/>
        <w:b w:val="0"/>
        <w:i w:val="0"/>
        <w:sz w:val="21"/>
      </w:rPr>
    </w:lvl>
    <w:lvl w:ilvl="4" w:tentative="0">
      <w:start w:val="1"/>
      <w:numFmt w:val="decimal"/>
      <w:pStyle w:val="28"/>
      <w:suff w:val="nothing"/>
      <w:lvlText w:val="%1.%2.%3.%4.%5　"/>
      <w:lvlJc w:val="left"/>
      <w:pPr>
        <w:ind w:left="0" w:firstLine="0"/>
      </w:pPr>
      <w:rPr>
        <w:rFonts w:hint="eastAsia" w:ascii="黑体" w:hAnsi="Times New Roman" w:eastAsia="黑体"/>
        <w:b w:val="0"/>
        <w:i w:val="0"/>
        <w:sz w:val="21"/>
      </w:rPr>
    </w:lvl>
    <w:lvl w:ilvl="5" w:tentative="0">
      <w:start w:val="1"/>
      <w:numFmt w:val="decimal"/>
      <w:pStyle w:val="3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2A8F7113"/>
    <w:multiLevelType w:val="multilevel"/>
    <w:tmpl w:val="2A8F7113"/>
    <w:lvl w:ilvl="0" w:tentative="0">
      <w:start w:val="1"/>
      <w:numFmt w:val="upperLetter"/>
      <w:pStyle w:val="43"/>
      <w:suff w:val="space"/>
      <w:lvlText w:val="%1"/>
      <w:lvlJc w:val="left"/>
      <w:pPr>
        <w:ind w:left="623" w:hanging="425"/>
      </w:pPr>
      <w:rPr>
        <w:rFonts w:hint="eastAsia"/>
      </w:rPr>
    </w:lvl>
    <w:lvl w:ilvl="1" w:tentative="0">
      <w:start w:val="1"/>
      <w:numFmt w:val="decimal"/>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9">
    <w:nsid w:val="2C5917C3"/>
    <w:multiLevelType w:val="multilevel"/>
    <w:tmpl w:val="2C5917C3"/>
    <w:lvl w:ilvl="0" w:tentative="0">
      <w:start w:val="1"/>
      <w:numFmt w:val="none"/>
      <w:pStyle w:val="39"/>
      <w:suff w:val="nothing"/>
      <w:lvlText w:val="%1——"/>
      <w:lvlJc w:val="left"/>
      <w:pPr>
        <w:ind w:left="833" w:hanging="408"/>
      </w:pPr>
      <w:rPr>
        <w:rFonts w:hint="eastAsia"/>
      </w:rPr>
    </w:lvl>
    <w:lvl w:ilvl="1" w:tentative="0">
      <w:start w:val="1"/>
      <w:numFmt w:val="bullet"/>
      <w:pStyle w:val="40"/>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0">
    <w:nsid w:val="3F2F95F1"/>
    <w:multiLevelType w:val="multilevel"/>
    <w:tmpl w:val="3F2F95F1"/>
    <w:lvl w:ilvl="0" w:tentative="0">
      <w:start w:val="1"/>
      <w:numFmt w:val="decimal"/>
      <w:pStyle w:val="38"/>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4B733A5F"/>
    <w:multiLevelType w:val="multilevel"/>
    <w:tmpl w:val="4B733A5F"/>
    <w:lvl w:ilvl="0" w:tentative="0">
      <w:start w:val="1"/>
      <w:numFmt w:val="decimal"/>
      <w:pStyle w:val="29"/>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60B55DC2"/>
    <w:multiLevelType w:val="multilevel"/>
    <w:tmpl w:val="60B55DC2"/>
    <w:lvl w:ilvl="0" w:tentative="0">
      <w:start w:val="1"/>
      <w:numFmt w:val="upperLetter"/>
      <w:pStyle w:val="44"/>
      <w:lvlText w:val="%1"/>
      <w:lvlJc w:val="left"/>
      <w:pPr>
        <w:tabs>
          <w:tab w:val="left" w:pos="0"/>
        </w:tabs>
        <w:ind w:left="0" w:hanging="425"/>
      </w:pPr>
      <w:rPr>
        <w:rFonts w:hint="eastAsia"/>
      </w:rPr>
    </w:lvl>
    <w:lvl w:ilvl="1" w:tentative="0">
      <w:start w:val="1"/>
      <w:numFmt w:val="decimal"/>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57D3FBC"/>
    <w:multiLevelType w:val="multilevel"/>
    <w:tmpl w:val="657D3FBC"/>
    <w:lvl w:ilvl="0" w:tentative="0">
      <w:start w:val="1"/>
      <w:numFmt w:val="upperLetter"/>
      <w:pStyle w:val="4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4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47"/>
      <w:suff w:val="nothing"/>
      <w:lvlText w:val="%1.%2.%3　"/>
      <w:lvlJc w:val="left"/>
      <w:pPr>
        <w:ind w:left="0" w:firstLine="0"/>
      </w:pPr>
      <w:rPr>
        <w:rFonts w:hint="eastAsia" w:ascii="黑体" w:hAnsi="Times New Roman" w:eastAsia="黑体"/>
        <w:b w:val="0"/>
        <w:i w:val="0"/>
        <w:sz w:val="21"/>
      </w:rPr>
    </w:lvl>
    <w:lvl w:ilvl="3" w:tentative="0">
      <w:start w:val="1"/>
      <w:numFmt w:val="decimal"/>
      <w:pStyle w:val="4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60"/>
      <w:suff w:val="nothing"/>
      <w:lvlText w:val="%1%2　"/>
      <w:lvlJc w:val="left"/>
      <w:pPr>
        <w:ind w:left="0" w:firstLine="0"/>
      </w:pPr>
      <w:rPr>
        <w:rFonts w:hint="default" w:ascii="黑体" w:eastAsia="黑体"/>
        <w:b w:val="0"/>
        <w:i w:val="0"/>
        <w:color w:val="auto"/>
        <w:sz w:val="28"/>
        <w:szCs w:val="28"/>
      </w:rPr>
    </w:lvl>
    <w:lvl w:ilvl="2" w:tentative="0">
      <w:start w:val="1"/>
      <w:numFmt w:val="decimal"/>
      <w:pStyle w:val="5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5"/>
      <w:suff w:val="nothing"/>
      <w:lvlText w:val="%1%2.%3.%4　"/>
      <w:lvlJc w:val="left"/>
      <w:pPr>
        <w:ind w:left="426"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DBF04F4"/>
    <w:multiLevelType w:val="multilevel"/>
    <w:tmpl w:val="6DBF04F4"/>
    <w:lvl w:ilvl="0" w:tentative="0">
      <w:start w:val="1"/>
      <w:numFmt w:val="none"/>
      <w:pStyle w:val="22"/>
      <w:suff w:val="nothing"/>
      <w:lvlText w:val="%1注："/>
      <w:lvlJc w:val="left"/>
      <w:pPr>
        <w:ind w:left="931" w:hanging="363"/>
      </w:pPr>
      <w:rPr>
        <w:rFonts w:hint="eastAsia" w:ascii="黑体" w:hAnsi="Times New Roman" w:eastAsia="黑体"/>
        <w:b w:val="0"/>
        <w:i w:val="0"/>
        <w:sz w:val="18"/>
      </w:rPr>
    </w:lvl>
    <w:lvl w:ilvl="1" w:tentative="0">
      <w:start w:val="1"/>
      <w:numFmt w:val="lowerLetter"/>
      <w:lvlText w:val="%2)"/>
      <w:lvlJc w:val="left"/>
      <w:pPr>
        <w:tabs>
          <w:tab w:val="left" w:pos="1345"/>
        </w:tabs>
        <w:ind w:left="931" w:hanging="363"/>
      </w:pPr>
      <w:rPr>
        <w:rFonts w:hint="eastAsia"/>
      </w:rPr>
    </w:lvl>
    <w:lvl w:ilvl="2" w:tentative="0">
      <w:start w:val="1"/>
      <w:numFmt w:val="lowerRoman"/>
      <w:lvlText w:val="%3."/>
      <w:lvlJc w:val="right"/>
      <w:pPr>
        <w:tabs>
          <w:tab w:val="left" w:pos="1345"/>
        </w:tabs>
        <w:ind w:left="931" w:hanging="363"/>
      </w:pPr>
      <w:rPr>
        <w:rFonts w:hint="eastAsia"/>
      </w:rPr>
    </w:lvl>
    <w:lvl w:ilvl="3" w:tentative="0">
      <w:start w:val="1"/>
      <w:numFmt w:val="decimal"/>
      <w:lvlText w:val="%4."/>
      <w:lvlJc w:val="left"/>
      <w:pPr>
        <w:tabs>
          <w:tab w:val="left" w:pos="1345"/>
        </w:tabs>
        <w:ind w:left="931" w:hanging="363"/>
      </w:pPr>
      <w:rPr>
        <w:rFonts w:hint="eastAsia"/>
      </w:rPr>
    </w:lvl>
    <w:lvl w:ilvl="4" w:tentative="0">
      <w:start w:val="1"/>
      <w:numFmt w:val="lowerLetter"/>
      <w:lvlText w:val="%5)"/>
      <w:lvlJc w:val="left"/>
      <w:pPr>
        <w:tabs>
          <w:tab w:val="left" w:pos="1345"/>
        </w:tabs>
        <w:ind w:left="931" w:hanging="363"/>
      </w:pPr>
      <w:rPr>
        <w:rFonts w:hint="eastAsia"/>
      </w:rPr>
    </w:lvl>
    <w:lvl w:ilvl="5" w:tentative="0">
      <w:start w:val="1"/>
      <w:numFmt w:val="lowerRoman"/>
      <w:lvlText w:val="%6."/>
      <w:lvlJc w:val="right"/>
      <w:pPr>
        <w:tabs>
          <w:tab w:val="left" w:pos="1345"/>
        </w:tabs>
        <w:ind w:left="931" w:hanging="363"/>
      </w:pPr>
      <w:rPr>
        <w:rFonts w:hint="eastAsia"/>
      </w:rPr>
    </w:lvl>
    <w:lvl w:ilvl="6" w:tentative="0">
      <w:start w:val="1"/>
      <w:numFmt w:val="decimal"/>
      <w:lvlText w:val="%7."/>
      <w:lvlJc w:val="left"/>
      <w:pPr>
        <w:tabs>
          <w:tab w:val="left" w:pos="1345"/>
        </w:tabs>
        <w:ind w:left="931" w:hanging="363"/>
      </w:pPr>
      <w:rPr>
        <w:rFonts w:hint="eastAsia"/>
      </w:rPr>
    </w:lvl>
    <w:lvl w:ilvl="7" w:tentative="0">
      <w:start w:val="1"/>
      <w:numFmt w:val="lowerLetter"/>
      <w:lvlText w:val="%8)"/>
      <w:lvlJc w:val="left"/>
      <w:pPr>
        <w:tabs>
          <w:tab w:val="left" w:pos="1345"/>
        </w:tabs>
        <w:ind w:left="931" w:hanging="363"/>
      </w:pPr>
      <w:rPr>
        <w:rFonts w:hint="eastAsia"/>
      </w:rPr>
    </w:lvl>
    <w:lvl w:ilvl="8" w:tentative="0">
      <w:start w:val="1"/>
      <w:numFmt w:val="lowerRoman"/>
      <w:lvlText w:val="%9."/>
      <w:lvlJc w:val="right"/>
      <w:pPr>
        <w:tabs>
          <w:tab w:val="left" w:pos="1345"/>
        </w:tabs>
        <w:ind w:left="931" w:hanging="363"/>
      </w:pPr>
      <w:rPr>
        <w:rFonts w:hint="eastAsia"/>
      </w:rPr>
    </w:lvl>
  </w:abstractNum>
  <w:num w:numId="1">
    <w:abstractNumId w:val="7"/>
  </w:num>
  <w:num w:numId="2">
    <w:abstractNumId w:val="15"/>
  </w:num>
  <w:num w:numId="3">
    <w:abstractNumId w:val="6"/>
  </w:num>
  <w:num w:numId="4">
    <w:abstractNumId w:val="3"/>
  </w:num>
  <w:num w:numId="5">
    <w:abstractNumId w:val="11"/>
  </w:num>
  <w:num w:numId="6">
    <w:abstractNumId w:val="4"/>
  </w:num>
  <w:num w:numId="7">
    <w:abstractNumId w:val="5"/>
  </w:num>
  <w:num w:numId="8">
    <w:abstractNumId w:val="2"/>
  </w:num>
  <w:num w:numId="9">
    <w:abstractNumId w:val="10"/>
  </w:num>
  <w:num w:numId="10">
    <w:abstractNumId w:val="9"/>
  </w:num>
  <w:num w:numId="11">
    <w:abstractNumId w:val="1"/>
  </w:num>
  <w:num w:numId="12">
    <w:abstractNumId w:val="8"/>
  </w:num>
  <w:num w:numId="13">
    <w:abstractNumId w:val="12"/>
  </w:num>
  <w:num w:numId="14">
    <w:abstractNumId w:val="13"/>
  </w:num>
  <w:num w:numId="15">
    <w:abstractNumId w:val="14"/>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DE1D66"/>
    <w:rsid w:val="001F442A"/>
    <w:rsid w:val="00885B23"/>
    <w:rsid w:val="00890FC5"/>
    <w:rsid w:val="00910783"/>
    <w:rsid w:val="00AD248D"/>
    <w:rsid w:val="00B269BC"/>
    <w:rsid w:val="00B9518C"/>
    <w:rsid w:val="00D53CB9"/>
    <w:rsid w:val="01810913"/>
    <w:rsid w:val="01B3097E"/>
    <w:rsid w:val="020125A7"/>
    <w:rsid w:val="02213CA4"/>
    <w:rsid w:val="02331ABF"/>
    <w:rsid w:val="028C4F40"/>
    <w:rsid w:val="02DE5ECF"/>
    <w:rsid w:val="02FA7885"/>
    <w:rsid w:val="03164583"/>
    <w:rsid w:val="038A44F3"/>
    <w:rsid w:val="0430551B"/>
    <w:rsid w:val="0475539A"/>
    <w:rsid w:val="047D5273"/>
    <w:rsid w:val="04810734"/>
    <w:rsid w:val="04CB5FDF"/>
    <w:rsid w:val="05274564"/>
    <w:rsid w:val="05372975"/>
    <w:rsid w:val="0606205E"/>
    <w:rsid w:val="061B6755"/>
    <w:rsid w:val="069C40D7"/>
    <w:rsid w:val="069C4D2D"/>
    <w:rsid w:val="06AE3E0A"/>
    <w:rsid w:val="06BA0DA5"/>
    <w:rsid w:val="06E84558"/>
    <w:rsid w:val="06E94E42"/>
    <w:rsid w:val="071A149F"/>
    <w:rsid w:val="07E61381"/>
    <w:rsid w:val="08053C5F"/>
    <w:rsid w:val="085647B8"/>
    <w:rsid w:val="08823CF3"/>
    <w:rsid w:val="08A2799E"/>
    <w:rsid w:val="08AF7239"/>
    <w:rsid w:val="09B77918"/>
    <w:rsid w:val="09F14739"/>
    <w:rsid w:val="0B7C0033"/>
    <w:rsid w:val="0BC4539D"/>
    <w:rsid w:val="0C480017"/>
    <w:rsid w:val="0CA026E9"/>
    <w:rsid w:val="0CD570C4"/>
    <w:rsid w:val="0D49663A"/>
    <w:rsid w:val="0D82518B"/>
    <w:rsid w:val="0E1A475E"/>
    <w:rsid w:val="0E323572"/>
    <w:rsid w:val="0E4D3367"/>
    <w:rsid w:val="0EA57666"/>
    <w:rsid w:val="0F381D1A"/>
    <w:rsid w:val="0FEF5D73"/>
    <w:rsid w:val="101E3DAE"/>
    <w:rsid w:val="10411880"/>
    <w:rsid w:val="10414385"/>
    <w:rsid w:val="108F5FFF"/>
    <w:rsid w:val="109113A8"/>
    <w:rsid w:val="10EE0C20"/>
    <w:rsid w:val="10F71390"/>
    <w:rsid w:val="116F23E8"/>
    <w:rsid w:val="11B761D9"/>
    <w:rsid w:val="120465D2"/>
    <w:rsid w:val="1279351E"/>
    <w:rsid w:val="12966FD0"/>
    <w:rsid w:val="12BD27DB"/>
    <w:rsid w:val="12CF5AE2"/>
    <w:rsid w:val="136C4E31"/>
    <w:rsid w:val="13AC4370"/>
    <w:rsid w:val="13DA390A"/>
    <w:rsid w:val="140C03C2"/>
    <w:rsid w:val="140E413A"/>
    <w:rsid w:val="14137F4B"/>
    <w:rsid w:val="144931CD"/>
    <w:rsid w:val="14983A03"/>
    <w:rsid w:val="14C863B7"/>
    <w:rsid w:val="159863B1"/>
    <w:rsid w:val="164B6F7F"/>
    <w:rsid w:val="175A719F"/>
    <w:rsid w:val="176A6D94"/>
    <w:rsid w:val="17A54B1D"/>
    <w:rsid w:val="17B2302E"/>
    <w:rsid w:val="18052584"/>
    <w:rsid w:val="18431EC2"/>
    <w:rsid w:val="18AC1F5B"/>
    <w:rsid w:val="19C92A8D"/>
    <w:rsid w:val="19EC6ED8"/>
    <w:rsid w:val="1A227495"/>
    <w:rsid w:val="1A367F46"/>
    <w:rsid w:val="1A6A7BF0"/>
    <w:rsid w:val="1B98336C"/>
    <w:rsid w:val="1BA43BBB"/>
    <w:rsid w:val="1C654B13"/>
    <w:rsid w:val="1CD13F56"/>
    <w:rsid w:val="1CEE6A7A"/>
    <w:rsid w:val="1D35026B"/>
    <w:rsid w:val="1D556936"/>
    <w:rsid w:val="1D880AB9"/>
    <w:rsid w:val="1DAE0B9C"/>
    <w:rsid w:val="1DC87050"/>
    <w:rsid w:val="1DD64790"/>
    <w:rsid w:val="1E684BD6"/>
    <w:rsid w:val="1EC21DA9"/>
    <w:rsid w:val="1EC45352"/>
    <w:rsid w:val="1F150220"/>
    <w:rsid w:val="1F372EE9"/>
    <w:rsid w:val="1F6D7F66"/>
    <w:rsid w:val="1FCB1131"/>
    <w:rsid w:val="20011715"/>
    <w:rsid w:val="20070028"/>
    <w:rsid w:val="20286583"/>
    <w:rsid w:val="20994B8C"/>
    <w:rsid w:val="20F546B7"/>
    <w:rsid w:val="2117027C"/>
    <w:rsid w:val="212262BE"/>
    <w:rsid w:val="214210A0"/>
    <w:rsid w:val="21D35CF7"/>
    <w:rsid w:val="22076A43"/>
    <w:rsid w:val="22606CE2"/>
    <w:rsid w:val="228411D1"/>
    <w:rsid w:val="22E97BA8"/>
    <w:rsid w:val="239F090A"/>
    <w:rsid w:val="23B25235"/>
    <w:rsid w:val="250F386E"/>
    <w:rsid w:val="251E163C"/>
    <w:rsid w:val="254A2AF8"/>
    <w:rsid w:val="25C12DBA"/>
    <w:rsid w:val="25CC135A"/>
    <w:rsid w:val="25E21267"/>
    <w:rsid w:val="264F414C"/>
    <w:rsid w:val="276C042F"/>
    <w:rsid w:val="27CF1A93"/>
    <w:rsid w:val="284877C3"/>
    <w:rsid w:val="2967431B"/>
    <w:rsid w:val="29BA46F0"/>
    <w:rsid w:val="2A2F3520"/>
    <w:rsid w:val="2AA6681A"/>
    <w:rsid w:val="2AFF4C17"/>
    <w:rsid w:val="2B1240B8"/>
    <w:rsid w:val="2B462032"/>
    <w:rsid w:val="2B654484"/>
    <w:rsid w:val="2B917F5A"/>
    <w:rsid w:val="2B9D1BD3"/>
    <w:rsid w:val="2C136339"/>
    <w:rsid w:val="2CA01C12"/>
    <w:rsid w:val="2DD90B99"/>
    <w:rsid w:val="2E81429E"/>
    <w:rsid w:val="2EA043F4"/>
    <w:rsid w:val="2EA77F38"/>
    <w:rsid w:val="2F01691D"/>
    <w:rsid w:val="2F07758C"/>
    <w:rsid w:val="2F2D326E"/>
    <w:rsid w:val="2F2F66B9"/>
    <w:rsid w:val="2F4C3ED3"/>
    <w:rsid w:val="2F815905"/>
    <w:rsid w:val="2F8E1E17"/>
    <w:rsid w:val="30000983"/>
    <w:rsid w:val="3144341E"/>
    <w:rsid w:val="31982777"/>
    <w:rsid w:val="32AA472B"/>
    <w:rsid w:val="330E4873"/>
    <w:rsid w:val="332F60A6"/>
    <w:rsid w:val="33302164"/>
    <w:rsid w:val="33304B05"/>
    <w:rsid w:val="335706FC"/>
    <w:rsid w:val="337A0A4C"/>
    <w:rsid w:val="33D5176A"/>
    <w:rsid w:val="33F80E1E"/>
    <w:rsid w:val="34306444"/>
    <w:rsid w:val="35044A71"/>
    <w:rsid w:val="35957C09"/>
    <w:rsid w:val="35A85A41"/>
    <w:rsid w:val="35EF49F3"/>
    <w:rsid w:val="365B4B65"/>
    <w:rsid w:val="36645ACE"/>
    <w:rsid w:val="36692325"/>
    <w:rsid w:val="36734A2F"/>
    <w:rsid w:val="36B84646"/>
    <w:rsid w:val="37134B8B"/>
    <w:rsid w:val="37362EDC"/>
    <w:rsid w:val="375434A7"/>
    <w:rsid w:val="376E4ABC"/>
    <w:rsid w:val="37BD7DDC"/>
    <w:rsid w:val="38637D01"/>
    <w:rsid w:val="38733313"/>
    <w:rsid w:val="388B14B0"/>
    <w:rsid w:val="39281588"/>
    <w:rsid w:val="3985239A"/>
    <w:rsid w:val="3991354F"/>
    <w:rsid w:val="3A0D617F"/>
    <w:rsid w:val="3A275AB5"/>
    <w:rsid w:val="3A2B2AA0"/>
    <w:rsid w:val="3A8A7252"/>
    <w:rsid w:val="3AFB5155"/>
    <w:rsid w:val="3B54437E"/>
    <w:rsid w:val="3B8E745C"/>
    <w:rsid w:val="3BA743A8"/>
    <w:rsid w:val="3C3B05CA"/>
    <w:rsid w:val="3C6359F4"/>
    <w:rsid w:val="3C9758C8"/>
    <w:rsid w:val="3CCA0494"/>
    <w:rsid w:val="3CE533DA"/>
    <w:rsid w:val="3D204412"/>
    <w:rsid w:val="3DAC59A8"/>
    <w:rsid w:val="3DCB26EE"/>
    <w:rsid w:val="3EC8622A"/>
    <w:rsid w:val="3F034B40"/>
    <w:rsid w:val="3F0642F8"/>
    <w:rsid w:val="3F3D22AC"/>
    <w:rsid w:val="3F4B07C9"/>
    <w:rsid w:val="3FF676AC"/>
    <w:rsid w:val="4004056B"/>
    <w:rsid w:val="400D3AFE"/>
    <w:rsid w:val="404029A0"/>
    <w:rsid w:val="40863CF0"/>
    <w:rsid w:val="409E221E"/>
    <w:rsid w:val="40A23390"/>
    <w:rsid w:val="40C14999"/>
    <w:rsid w:val="40EB1CE6"/>
    <w:rsid w:val="413864E8"/>
    <w:rsid w:val="413A6F02"/>
    <w:rsid w:val="415F6881"/>
    <w:rsid w:val="42E81775"/>
    <w:rsid w:val="42F0106D"/>
    <w:rsid w:val="4337730D"/>
    <w:rsid w:val="43EC7E41"/>
    <w:rsid w:val="444E7713"/>
    <w:rsid w:val="44513B00"/>
    <w:rsid w:val="449F47A5"/>
    <w:rsid w:val="458702D8"/>
    <w:rsid w:val="45951F93"/>
    <w:rsid w:val="45B76791"/>
    <w:rsid w:val="45CC7DBB"/>
    <w:rsid w:val="45DB32A8"/>
    <w:rsid w:val="45DD1392"/>
    <w:rsid w:val="45F83DDC"/>
    <w:rsid w:val="46215012"/>
    <w:rsid w:val="462F103C"/>
    <w:rsid w:val="46405B25"/>
    <w:rsid w:val="464A2500"/>
    <w:rsid w:val="46DC3AA0"/>
    <w:rsid w:val="477517FF"/>
    <w:rsid w:val="47781EAE"/>
    <w:rsid w:val="478832F8"/>
    <w:rsid w:val="48096EF3"/>
    <w:rsid w:val="481334F1"/>
    <w:rsid w:val="481C6299"/>
    <w:rsid w:val="488241D3"/>
    <w:rsid w:val="499830BC"/>
    <w:rsid w:val="49BB3665"/>
    <w:rsid w:val="4A017BFF"/>
    <w:rsid w:val="4A0D5D1E"/>
    <w:rsid w:val="4A332B7D"/>
    <w:rsid w:val="4AE23D23"/>
    <w:rsid w:val="4B1F1B46"/>
    <w:rsid w:val="4B61302A"/>
    <w:rsid w:val="4B824830"/>
    <w:rsid w:val="4BC90CAC"/>
    <w:rsid w:val="4C6054FE"/>
    <w:rsid w:val="4C775AF4"/>
    <w:rsid w:val="4C90264B"/>
    <w:rsid w:val="4CA81304"/>
    <w:rsid w:val="4CC90623"/>
    <w:rsid w:val="4D3F6B37"/>
    <w:rsid w:val="4DD92AE7"/>
    <w:rsid w:val="4DDD13EE"/>
    <w:rsid w:val="4F4708FB"/>
    <w:rsid w:val="4FA725EF"/>
    <w:rsid w:val="4FCF3A73"/>
    <w:rsid w:val="4FDA66A3"/>
    <w:rsid w:val="501D633C"/>
    <w:rsid w:val="502A12F2"/>
    <w:rsid w:val="504A5E48"/>
    <w:rsid w:val="507039F8"/>
    <w:rsid w:val="50A20EC8"/>
    <w:rsid w:val="50C86E43"/>
    <w:rsid w:val="50E579F5"/>
    <w:rsid w:val="513C6B8F"/>
    <w:rsid w:val="514D4FDC"/>
    <w:rsid w:val="51F11A35"/>
    <w:rsid w:val="520775CF"/>
    <w:rsid w:val="524248AB"/>
    <w:rsid w:val="5277467D"/>
    <w:rsid w:val="527F1783"/>
    <w:rsid w:val="53176CF9"/>
    <w:rsid w:val="532E5683"/>
    <w:rsid w:val="534E7EAB"/>
    <w:rsid w:val="537C1645"/>
    <w:rsid w:val="537E1A3B"/>
    <w:rsid w:val="53BE5F67"/>
    <w:rsid w:val="54013036"/>
    <w:rsid w:val="54177EC5"/>
    <w:rsid w:val="54491CBF"/>
    <w:rsid w:val="548C4DC1"/>
    <w:rsid w:val="54B66338"/>
    <w:rsid w:val="54D250BB"/>
    <w:rsid w:val="54DC50F0"/>
    <w:rsid w:val="55111022"/>
    <w:rsid w:val="551B0E9E"/>
    <w:rsid w:val="554D3A0B"/>
    <w:rsid w:val="55546EF7"/>
    <w:rsid w:val="555D3FFE"/>
    <w:rsid w:val="55BE6DB7"/>
    <w:rsid w:val="55DE2D75"/>
    <w:rsid w:val="57386F04"/>
    <w:rsid w:val="575B27BF"/>
    <w:rsid w:val="578B7279"/>
    <w:rsid w:val="582179F1"/>
    <w:rsid w:val="589A4220"/>
    <w:rsid w:val="596E19E5"/>
    <w:rsid w:val="5B1038C0"/>
    <w:rsid w:val="5BE707FF"/>
    <w:rsid w:val="5BE734DC"/>
    <w:rsid w:val="5C0A54A3"/>
    <w:rsid w:val="5C141B8B"/>
    <w:rsid w:val="5C5B0B6B"/>
    <w:rsid w:val="5CA17187"/>
    <w:rsid w:val="5D0464B6"/>
    <w:rsid w:val="5D395C65"/>
    <w:rsid w:val="5D4635C9"/>
    <w:rsid w:val="5DBD3858"/>
    <w:rsid w:val="5F1D104B"/>
    <w:rsid w:val="5F3E7700"/>
    <w:rsid w:val="5F4E3139"/>
    <w:rsid w:val="5F8623A3"/>
    <w:rsid w:val="5FB707AE"/>
    <w:rsid w:val="600F5A15"/>
    <w:rsid w:val="601969CC"/>
    <w:rsid w:val="60BA030E"/>
    <w:rsid w:val="60BB7819"/>
    <w:rsid w:val="610552EE"/>
    <w:rsid w:val="61142B57"/>
    <w:rsid w:val="61381389"/>
    <w:rsid w:val="616A7469"/>
    <w:rsid w:val="61932B55"/>
    <w:rsid w:val="62C52F5E"/>
    <w:rsid w:val="63143AAE"/>
    <w:rsid w:val="639037F0"/>
    <w:rsid w:val="64085A7D"/>
    <w:rsid w:val="646D5EC0"/>
    <w:rsid w:val="6473172C"/>
    <w:rsid w:val="649E3CEB"/>
    <w:rsid w:val="64BA3A56"/>
    <w:rsid w:val="64D00235"/>
    <w:rsid w:val="64EB2A82"/>
    <w:rsid w:val="64FB113D"/>
    <w:rsid w:val="653E504A"/>
    <w:rsid w:val="65BA2DA7"/>
    <w:rsid w:val="6609678D"/>
    <w:rsid w:val="6740213C"/>
    <w:rsid w:val="67A37AA4"/>
    <w:rsid w:val="67B4007E"/>
    <w:rsid w:val="67E379E3"/>
    <w:rsid w:val="68420B2A"/>
    <w:rsid w:val="693055AE"/>
    <w:rsid w:val="69AF4E97"/>
    <w:rsid w:val="69BC6D5C"/>
    <w:rsid w:val="6A0B5B63"/>
    <w:rsid w:val="6A477D24"/>
    <w:rsid w:val="6B4D1FC7"/>
    <w:rsid w:val="6B655A30"/>
    <w:rsid w:val="6B9B4914"/>
    <w:rsid w:val="6BCA3618"/>
    <w:rsid w:val="6BF3491C"/>
    <w:rsid w:val="6C9048E4"/>
    <w:rsid w:val="6CCD5932"/>
    <w:rsid w:val="6D2F3833"/>
    <w:rsid w:val="6D715146"/>
    <w:rsid w:val="6D9418D9"/>
    <w:rsid w:val="6DD54915"/>
    <w:rsid w:val="6E2711F5"/>
    <w:rsid w:val="6E291653"/>
    <w:rsid w:val="6E53265A"/>
    <w:rsid w:val="6E6D728B"/>
    <w:rsid w:val="6E70164F"/>
    <w:rsid w:val="6F193862"/>
    <w:rsid w:val="6F3D42EE"/>
    <w:rsid w:val="6F5645EB"/>
    <w:rsid w:val="6F7D68AB"/>
    <w:rsid w:val="6FA37B68"/>
    <w:rsid w:val="6FB958A5"/>
    <w:rsid w:val="704C5A11"/>
    <w:rsid w:val="71012690"/>
    <w:rsid w:val="71404A9A"/>
    <w:rsid w:val="714D610E"/>
    <w:rsid w:val="71551BD5"/>
    <w:rsid w:val="719170B1"/>
    <w:rsid w:val="71A56F96"/>
    <w:rsid w:val="71E033C2"/>
    <w:rsid w:val="729D33DE"/>
    <w:rsid w:val="72C963D7"/>
    <w:rsid w:val="72DF67BF"/>
    <w:rsid w:val="731A30D6"/>
    <w:rsid w:val="73261A7B"/>
    <w:rsid w:val="738220DC"/>
    <w:rsid w:val="73AB118E"/>
    <w:rsid w:val="73CD1EF7"/>
    <w:rsid w:val="73D72CCD"/>
    <w:rsid w:val="73E43BD8"/>
    <w:rsid w:val="73E75BA6"/>
    <w:rsid w:val="740B2F4B"/>
    <w:rsid w:val="74206693"/>
    <w:rsid w:val="748E562B"/>
    <w:rsid w:val="74CC00BF"/>
    <w:rsid w:val="756B17C2"/>
    <w:rsid w:val="75745241"/>
    <w:rsid w:val="75862CA5"/>
    <w:rsid w:val="76AD289D"/>
    <w:rsid w:val="76DB7130"/>
    <w:rsid w:val="778510E5"/>
    <w:rsid w:val="78152D3D"/>
    <w:rsid w:val="7903436A"/>
    <w:rsid w:val="791A5F38"/>
    <w:rsid w:val="791B0FBD"/>
    <w:rsid w:val="79DE1D66"/>
    <w:rsid w:val="7A0128FA"/>
    <w:rsid w:val="7A017057"/>
    <w:rsid w:val="7A6B2CE2"/>
    <w:rsid w:val="7A8B6668"/>
    <w:rsid w:val="7AAD2A82"/>
    <w:rsid w:val="7B097CFC"/>
    <w:rsid w:val="7B0D095C"/>
    <w:rsid w:val="7B0D3EBE"/>
    <w:rsid w:val="7B0F32F8"/>
    <w:rsid w:val="7B372788"/>
    <w:rsid w:val="7B5E2E7A"/>
    <w:rsid w:val="7B5E57EB"/>
    <w:rsid w:val="7BDF4EBD"/>
    <w:rsid w:val="7C3C5A73"/>
    <w:rsid w:val="7C772F8A"/>
    <w:rsid w:val="7C9800B5"/>
    <w:rsid w:val="7D1D5C9D"/>
    <w:rsid w:val="7D467CAC"/>
    <w:rsid w:val="7D7B1574"/>
    <w:rsid w:val="7D7D7328"/>
    <w:rsid w:val="7E341080"/>
    <w:rsid w:val="7E622DCB"/>
    <w:rsid w:val="7E724176"/>
    <w:rsid w:val="7EE23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39"/>
    <w:pPr>
      <w:tabs>
        <w:tab w:val="right" w:leader="dot" w:pos="9241"/>
      </w:tabs>
      <w:ind w:firstLine="102" w:firstLineChars="100"/>
      <w:jc w:val="left"/>
    </w:pPr>
    <w:rPr>
      <w:rFonts w:ascii="宋体"/>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snapToGrid w:val="0"/>
      <w:jc w:val="left"/>
    </w:pPr>
    <w:rPr>
      <w:sz w:val="18"/>
      <w:szCs w:val="18"/>
    </w:rPr>
  </w:style>
  <w:style w:type="paragraph" w:styleId="6">
    <w:name w:val="toc 1"/>
    <w:basedOn w:val="1"/>
    <w:next w:val="1"/>
    <w:qFormat/>
    <w:uiPriority w:val="39"/>
    <w:pPr>
      <w:tabs>
        <w:tab w:val="right" w:leader="dot" w:pos="9241"/>
      </w:tabs>
      <w:spacing w:before="25" w:beforeLines="25" w:after="25" w:afterLines="25"/>
      <w:jc w:val="left"/>
    </w:pPr>
    <w:rPr>
      <w:rFonts w:ascii="宋体" w:hAnsi="宋体"/>
      <w:szCs w:val="21"/>
    </w:rPr>
  </w:style>
  <w:style w:type="paragraph" w:styleId="7">
    <w:name w:val="toc 4"/>
    <w:basedOn w:val="1"/>
    <w:next w:val="1"/>
    <w:qFormat/>
    <w:uiPriority w:val="39"/>
    <w:pPr>
      <w:tabs>
        <w:tab w:val="right" w:leader="dot" w:pos="9241"/>
      </w:tabs>
      <w:ind w:firstLine="198" w:firstLineChars="200"/>
      <w:jc w:val="left"/>
    </w:pPr>
    <w:rPr>
      <w:rFonts w:ascii="宋体"/>
      <w:szCs w:val="21"/>
    </w:rPr>
  </w:style>
  <w:style w:type="paragraph" w:styleId="8">
    <w:name w:val="index heading"/>
    <w:basedOn w:val="1"/>
    <w:next w:val="9"/>
    <w:qFormat/>
    <w:uiPriority w:val="99"/>
    <w:pPr>
      <w:spacing w:before="120" w:after="120"/>
      <w:jc w:val="center"/>
    </w:pPr>
    <w:rPr>
      <w:rFonts w:ascii="Calibri" w:hAnsi="Calibri"/>
      <w:b/>
      <w:bCs/>
      <w:iCs/>
      <w:szCs w:val="20"/>
    </w:rPr>
  </w:style>
  <w:style w:type="paragraph" w:styleId="9">
    <w:name w:val="index 1"/>
    <w:basedOn w:val="1"/>
    <w:next w:val="10"/>
    <w:qFormat/>
    <w:uiPriority w:val="99"/>
    <w:pPr>
      <w:tabs>
        <w:tab w:val="right" w:leader="dot" w:pos="9299"/>
      </w:tabs>
      <w:jc w:val="left"/>
    </w:pPr>
    <w:rPr>
      <w:rFonts w:ascii="宋体" w:hAnsi="宋体"/>
      <w:szCs w:val="21"/>
    </w:rPr>
  </w:style>
  <w:style w:type="paragraph" w:customStyle="1" w:styleId="10">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11">
    <w:name w:val="toc 2"/>
    <w:basedOn w:val="1"/>
    <w:next w:val="1"/>
    <w:qFormat/>
    <w:uiPriority w:val="0"/>
    <w:pPr>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qFormat/>
    <w:uiPriority w:val="99"/>
    <w:rPr>
      <w:color w:val="0000FF"/>
      <w:spacing w:val="0"/>
      <w:w w:val="100"/>
      <w:szCs w:val="21"/>
      <w:u w:val="single"/>
    </w:rPr>
  </w:style>
  <w:style w:type="character" w:styleId="16">
    <w:name w:val="annotation reference"/>
    <w:qFormat/>
    <w:uiPriority w:val="0"/>
    <w:rPr>
      <w:sz w:val="21"/>
      <w:szCs w:val="21"/>
    </w:rPr>
  </w:style>
  <w:style w:type="paragraph" w:customStyle="1" w:styleId="17">
    <w:name w:val="目次、标准名称标题"/>
    <w:basedOn w:val="1"/>
    <w:next w:val="10"/>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8">
    <w:name w:val="前言、引言标题"/>
    <w:next w:val="10"/>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9">
    <w:name w:val="章标题"/>
    <w:next w:val="10"/>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0">
    <w:name w:val="一级条标题"/>
    <w:next w:val="10"/>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1">
    <w:name w:val="注：（正文）"/>
    <w:basedOn w:val="22"/>
    <w:next w:val="10"/>
    <w:qFormat/>
    <w:uiPriority w:val="0"/>
  </w:style>
  <w:style w:type="paragraph" w:customStyle="1" w:styleId="22">
    <w:name w:val="注："/>
    <w:next w:val="10"/>
    <w:qFormat/>
    <w:uiPriority w:val="0"/>
    <w:pPr>
      <w:widowControl w:val="0"/>
      <w:numPr>
        <w:ilvl w:val="0"/>
        <w:numId w:val="2"/>
      </w:numPr>
      <w:autoSpaceDE w:val="0"/>
      <w:autoSpaceDN w:val="0"/>
      <w:ind w:left="726"/>
      <w:jc w:val="both"/>
    </w:pPr>
    <w:rPr>
      <w:rFonts w:ascii="宋体" w:hAnsi="Times New Roman" w:eastAsia="宋体" w:cs="Times New Roman"/>
      <w:sz w:val="18"/>
      <w:szCs w:val="18"/>
      <w:lang w:val="en-US" w:eastAsia="zh-CN" w:bidi="ar-SA"/>
    </w:rPr>
  </w:style>
  <w:style w:type="paragraph" w:customStyle="1" w:styleId="23">
    <w:name w:val="二级条标题"/>
    <w:basedOn w:val="20"/>
    <w:next w:val="10"/>
    <w:qFormat/>
    <w:uiPriority w:val="0"/>
    <w:pPr>
      <w:numPr>
        <w:ilvl w:val="2"/>
      </w:numPr>
      <w:spacing w:before="50" w:after="50"/>
      <w:outlineLvl w:val="3"/>
    </w:pPr>
  </w:style>
  <w:style w:type="paragraph" w:customStyle="1" w:styleId="24">
    <w:name w:val="注×：（正文）"/>
    <w:qFormat/>
    <w:uiPriority w:val="0"/>
    <w:pPr>
      <w:numPr>
        <w:ilvl w:val="0"/>
        <w:numId w:val="3"/>
      </w:numPr>
      <w:jc w:val="both"/>
    </w:pPr>
    <w:rPr>
      <w:rFonts w:ascii="宋体" w:hAnsi="Times New Roman" w:eastAsia="宋体" w:cs="Times New Roman"/>
      <w:sz w:val="18"/>
      <w:szCs w:val="18"/>
      <w:lang w:val="en-US" w:eastAsia="zh-CN" w:bidi="ar-SA"/>
    </w:rPr>
  </w:style>
  <w:style w:type="paragraph" w:customStyle="1" w:styleId="25">
    <w:name w:val="三级条标题"/>
    <w:basedOn w:val="23"/>
    <w:next w:val="10"/>
    <w:qFormat/>
    <w:uiPriority w:val="0"/>
    <w:pPr>
      <w:numPr>
        <w:ilvl w:val="3"/>
      </w:numPr>
      <w:outlineLvl w:val="4"/>
    </w:pPr>
  </w:style>
  <w:style w:type="paragraph" w:customStyle="1" w:styleId="26">
    <w:name w:val="示例"/>
    <w:next w:val="27"/>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2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28">
    <w:name w:val="四级条标题"/>
    <w:basedOn w:val="25"/>
    <w:next w:val="10"/>
    <w:qFormat/>
    <w:uiPriority w:val="0"/>
    <w:pPr>
      <w:numPr>
        <w:ilvl w:val="4"/>
      </w:numPr>
      <w:outlineLvl w:val="5"/>
    </w:pPr>
  </w:style>
  <w:style w:type="paragraph" w:customStyle="1" w:styleId="29">
    <w:name w:val="示例×："/>
    <w:basedOn w:val="19"/>
    <w:qFormat/>
    <w:uiPriority w:val="0"/>
    <w:pPr>
      <w:numPr>
        <w:numId w:val="5"/>
      </w:numPr>
      <w:spacing w:before="0" w:beforeLines="0" w:after="0" w:afterLines="0"/>
      <w:outlineLvl w:val="9"/>
    </w:pPr>
    <w:rPr>
      <w:rFonts w:ascii="宋体" w:eastAsia="宋体"/>
      <w:sz w:val="18"/>
      <w:szCs w:val="18"/>
    </w:rPr>
  </w:style>
  <w:style w:type="paragraph" w:customStyle="1" w:styleId="30">
    <w:name w:val="五级条标题"/>
    <w:basedOn w:val="28"/>
    <w:next w:val="10"/>
    <w:qFormat/>
    <w:uiPriority w:val="0"/>
    <w:pPr>
      <w:numPr>
        <w:ilvl w:val="5"/>
      </w:numPr>
      <w:outlineLvl w:val="6"/>
    </w:pPr>
  </w:style>
  <w:style w:type="paragraph" w:customStyle="1" w:styleId="31">
    <w:name w:val="二级无"/>
    <w:basedOn w:val="23"/>
    <w:qFormat/>
    <w:uiPriority w:val="0"/>
    <w:pPr>
      <w:spacing w:before="0" w:beforeLines="0" w:after="0" w:afterLines="0"/>
    </w:pPr>
    <w:rPr>
      <w:rFonts w:ascii="宋体" w:eastAsia="宋体"/>
    </w:rPr>
  </w:style>
  <w:style w:type="paragraph" w:customStyle="1" w:styleId="32">
    <w:name w:val="三级无"/>
    <w:basedOn w:val="25"/>
    <w:qFormat/>
    <w:uiPriority w:val="0"/>
    <w:pPr>
      <w:spacing w:before="0" w:beforeLines="0" w:after="0" w:afterLines="0"/>
    </w:pPr>
    <w:rPr>
      <w:rFonts w:ascii="宋体" w:eastAsia="宋体"/>
    </w:rPr>
  </w:style>
  <w:style w:type="paragraph" w:customStyle="1" w:styleId="33">
    <w:name w:val="四级无"/>
    <w:basedOn w:val="28"/>
    <w:qFormat/>
    <w:uiPriority w:val="0"/>
    <w:pPr>
      <w:spacing w:before="0" w:beforeLines="0" w:after="0" w:afterLines="0"/>
    </w:pPr>
    <w:rPr>
      <w:rFonts w:ascii="宋体" w:eastAsia="宋体"/>
    </w:rPr>
  </w:style>
  <w:style w:type="paragraph" w:customStyle="1" w:styleId="34">
    <w:name w:val="五级无"/>
    <w:basedOn w:val="30"/>
    <w:qFormat/>
    <w:uiPriority w:val="0"/>
    <w:pPr>
      <w:spacing w:before="0" w:beforeLines="0" w:after="0" w:afterLines="0"/>
    </w:pPr>
    <w:rPr>
      <w:rFonts w:ascii="宋体" w:eastAsia="宋体"/>
    </w:rPr>
  </w:style>
  <w:style w:type="paragraph" w:customStyle="1" w:styleId="35">
    <w:name w:val="图表脚注说明"/>
    <w:basedOn w:val="1"/>
    <w:qFormat/>
    <w:uiPriority w:val="0"/>
    <w:pPr>
      <w:numPr>
        <w:ilvl w:val="0"/>
        <w:numId w:val="6"/>
      </w:numPr>
    </w:pPr>
    <w:rPr>
      <w:rFonts w:ascii="宋体"/>
      <w:sz w:val="18"/>
      <w:szCs w:val="18"/>
    </w:rPr>
  </w:style>
  <w:style w:type="paragraph" w:customStyle="1" w:styleId="36">
    <w:name w:val="正文图标题"/>
    <w:next w:val="10"/>
    <w:qFormat/>
    <w:uiPriority w:val="0"/>
    <w:pPr>
      <w:numPr>
        <w:ilvl w:val="0"/>
        <w:numId w:val="7"/>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37">
    <w:name w:val="注×："/>
    <w:qFormat/>
    <w:uiPriority w:val="0"/>
    <w:pPr>
      <w:widowControl w:val="0"/>
      <w:numPr>
        <w:ilvl w:val="0"/>
        <w:numId w:val="8"/>
      </w:numPr>
      <w:autoSpaceDE w:val="0"/>
      <w:autoSpaceDN w:val="0"/>
      <w:jc w:val="both"/>
    </w:pPr>
    <w:rPr>
      <w:rFonts w:ascii="宋体" w:hAnsi="Times New Roman" w:eastAsia="宋体" w:cs="Times New Roman"/>
      <w:sz w:val="18"/>
      <w:szCs w:val="18"/>
      <w:lang w:val="en-US" w:eastAsia="zh-CN" w:bidi="ar-SA"/>
    </w:rPr>
  </w:style>
  <w:style w:type="paragraph" w:customStyle="1" w:styleId="38">
    <w:name w:val="正文表标题"/>
    <w:next w:val="10"/>
    <w:qFormat/>
    <w:uiPriority w:val="0"/>
    <w:pPr>
      <w:numPr>
        <w:ilvl w:val="0"/>
        <w:numId w:val="9"/>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39">
    <w:name w:val="列项——（一级）"/>
    <w:qFormat/>
    <w:uiPriority w:val="0"/>
    <w:pPr>
      <w:widowControl w:val="0"/>
      <w:numPr>
        <w:ilvl w:val="0"/>
        <w:numId w:val="10"/>
      </w:numPr>
      <w:jc w:val="both"/>
    </w:pPr>
    <w:rPr>
      <w:rFonts w:ascii="宋体" w:hAnsi="Times New Roman" w:eastAsia="宋体" w:cs="Times New Roman"/>
      <w:sz w:val="21"/>
      <w:lang w:val="en-US" w:eastAsia="zh-CN" w:bidi="ar-SA"/>
    </w:rPr>
  </w:style>
  <w:style w:type="paragraph" w:customStyle="1" w:styleId="40">
    <w:name w:val="列项●（二级）"/>
    <w:qFormat/>
    <w:uiPriority w:val="0"/>
    <w:pPr>
      <w:numPr>
        <w:ilvl w:val="1"/>
        <w:numId w:val="10"/>
      </w:numPr>
      <w:tabs>
        <w:tab w:val="left" w:pos="840"/>
        <w:tab w:val="clear" w:pos="760"/>
      </w:tabs>
      <w:jc w:val="both"/>
    </w:pPr>
    <w:rPr>
      <w:rFonts w:ascii="宋体" w:hAnsi="Times New Roman" w:eastAsia="宋体" w:cs="Times New Roman"/>
      <w:sz w:val="21"/>
      <w:lang w:val="en-US" w:eastAsia="zh-CN" w:bidi="ar-SA"/>
    </w:rPr>
  </w:style>
  <w:style w:type="paragraph" w:customStyle="1" w:styleId="41">
    <w:name w:val="字母编号列项（一级）"/>
    <w:qFormat/>
    <w:uiPriority w:val="0"/>
    <w:pPr>
      <w:numPr>
        <w:ilvl w:val="0"/>
        <w:numId w:val="11"/>
      </w:numPr>
      <w:jc w:val="both"/>
    </w:pPr>
    <w:rPr>
      <w:rFonts w:ascii="宋体" w:hAnsi="Times New Roman" w:eastAsia="宋体" w:cs="Times New Roman"/>
      <w:sz w:val="21"/>
      <w:lang w:val="en-US" w:eastAsia="zh-CN" w:bidi="ar-SA"/>
    </w:rPr>
  </w:style>
  <w:style w:type="paragraph" w:customStyle="1" w:styleId="42">
    <w:name w:val="数字编号列项（二级）"/>
    <w:qFormat/>
    <w:uiPriority w:val="0"/>
    <w:pPr>
      <w:numPr>
        <w:ilvl w:val="1"/>
        <w:numId w:val="11"/>
      </w:numPr>
      <w:jc w:val="both"/>
    </w:pPr>
    <w:rPr>
      <w:rFonts w:ascii="宋体" w:hAnsi="Times New Roman" w:eastAsia="宋体" w:cs="Times New Roman"/>
      <w:sz w:val="21"/>
      <w:lang w:val="en-US" w:eastAsia="zh-CN" w:bidi="ar-SA"/>
    </w:rPr>
  </w:style>
  <w:style w:type="paragraph" w:customStyle="1" w:styleId="43">
    <w:name w:val="附录图标号"/>
    <w:basedOn w:val="1"/>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44">
    <w:name w:val="附录表标号"/>
    <w:basedOn w:val="1"/>
    <w:next w:val="10"/>
    <w:qFormat/>
    <w:uiPriority w:val="0"/>
    <w:pPr>
      <w:numPr>
        <w:ilvl w:val="0"/>
        <w:numId w:val="13"/>
      </w:numPr>
      <w:tabs>
        <w:tab w:val="clear" w:pos="0"/>
      </w:tabs>
      <w:spacing w:line="14" w:lineRule="exact"/>
      <w:ind w:left="811" w:hanging="448"/>
      <w:jc w:val="center"/>
      <w:outlineLvl w:val="0"/>
    </w:pPr>
    <w:rPr>
      <w:color w:val="FFFFFF"/>
    </w:rPr>
  </w:style>
  <w:style w:type="paragraph" w:customStyle="1" w:styleId="45">
    <w:name w:val="附录标识"/>
    <w:basedOn w:val="1"/>
    <w:next w:val="10"/>
    <w:qFormat/>
    <w:uiPriority w:val="0"/>
    <w:pPr>
      <w:keepNext/>
      <w:widowControl/>
      <w:numPr>
        <w:ilvl w:val="0"/>
        <w:numId w:val="1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46">
    <w:name w:val="附录章标题"/>
    <w:next w:val="10"/>
    <w:qFormat/>
    <w:uiPriority w:val="0"/>
    <w:pPr>
      <w:numPr>
        <w:ilvl w:val="1"/>
        <w:numId w:val="1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7">
    <w:name w:val="附录一级条标题"/>
    <w:basedOn w:val="46"/>
    <w:next w:val="10"/>
    <w:qFormat/>
    <w:uiPriority w:val="0"/>
    <w:pPr>
      <w:numPr>
        <w:ilvl w:val="2"/>
      </w:numPr>
      <w:autoSpaceDN w:val="0"/>
      <w:spacing w:before="50" w:beforeLines="50" w:after="50" w:afterLines="50"/>
      <w:outlineLvl w:val="2"/>
    </w:pPr>
  </w:style>
  <w:style w:type="paragraph" w:customStyle="1" w:styleId="48">
    <w:name w:val="附录二级无"/>
    <w:basedOn w:val="49"/>
    <w:qFormat/>
    <w:uiPriority w:val="0"/>
    <w:pPr>
      <w:tabs>
        <w:tab w:val="left" w:pos="360"/>
      </w:tabs>
      <w:spacing w:before="0" w:beforeLines="0" w:after="0" w:afterLines="0"/>
    </w:pPr>
    <w:rPr>
      <w:rFonts w:ascii="宋体" w:eastAsia="宋体"/>
      <w:szCs w:val="21"/>
    </w:rPr>
  </w:style>
  <w:style w:type="paragraph" w:customStyle="1" w:styleId="49">
    <w:name w:val="附录二级条标题"/>
    <w:basedOn w:val="1"/>
    <w:next w:val="10"/>
    <w:qFormat/>
    <w:uiPriority w:val="0"/>
    <w:pPr>
      <w:widowControl/>
      <w:numPr>
        <w:ilvl w:val="3"/>
        <w:numId w:val="1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50">
    <w:name w:val="参考文献"/>
    <w:basedOn w:val="1"/>
    <w:next w:val="10"/>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51">
    <w:name w:val="参考文献、索引标题"/>
    <w:basedOn w:val="1"/>
    <w:next w:val="10"/>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52">
    <w:name w:val="终结线"/>
    <w:basedOn w:val="1"/>
    <w:qFormat/>
    <w:uiPriority w:val="0"/>
    <w:pPr>
      <w:framePr w:hSpace="181" w:vSpace="181" w:wrap="around" w:vAnchor="text" w:hAnchor="margin" w:xAlign="center" w:y="285"/>
    </w:pPr>
  </w:style>
  <w:style w:type="paragraph" w:customStyle="1" w:styleId="53">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54">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5">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5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术语条一"/>
    <w:basedOn w:val="58"/>
    <w:next w:val="56"/>
    <w:qFormat/>
    <w:uiPriority w:val="0"/>
  </w:style>
  <w:style w:type="paragraph" w:customStyle="1" w:styleId="58">
    <w:name w:val="标准文件_一级无标题"/>
    <w:basedOn w:val="59"/>
    <w:qFormat/>
    <w:uiPriority w:val="0"/>
    <w:pPr>
      <w:spacing w:beforeLines="0" w:afterLines="0"/>
      <w:outlineLvl w:val="9"/>
    </w:pPr>
    <w:rPr>
      <w:rFonts w:ascii="宋体" w:eastAsia="宋体"/>
    </w:rPr>
  </w:style>
  <w:style w:type="paragraph" w:customStyle="1" w:styleId="59">
    <w:name w:val="标准文件_一级条标题"/>
    <w:basedOn w:val="60"/>
    <w:next w:val="56"/>
    <w:qFormat/>
    <w:uiPriority w:val="0"/>
    <w:pPr>
      <w:numPr>
        <w:ilvl w:val="2"/>
      </w:numPr>
      <w:spacing w:beforeLines="50" w:afterLines="50"/>
      <w:outlineLvl w:val="1"/>
    </w:pPr>
  </w:style>
  <w:style w:type="paragraph" w:customStyle="1" w:styleId="60">
    <w:name w:val="标准文件_章标题"/>
    <w:next w:val="56"/>
    <w:autoRedefine/>
    <w:qFormat/>
    <w:uiPriority w:val="0"/>
    <w:pPr>
      <w:numPr>
        <w:ilvl w:val="1"/>
        <w:numId w:val="15"/>
      </w:numPr>
      <w:spacing w:beforeLines="100" w:afterLines="100"/>
      <w:jc w:val="both"/>
      <w:outlineLvl w:val="0"/>
    </w:pPr>
    <w:rPr>
      <w:rFonts w:ascii="黑体" w:hAnsi="Times New Roman" w:eastAsia="黑体" w:cs="Times New Roman"/>
      <w:sz w:val="21"/>
      <w:lang w:val="en-US" w:eastAsia="zh-CN" w:bidi="ar-SA"/>
    </w:rPr>
  </w:style>
  <w:style w:type="paragraph" w:customStyle="1" w:styleId="61">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kern w:val="0"/>
      <w:sz w:val="20"/>
      <w:szCs w:val="20"/>
    </w:rPr>
  </w:style>
  <w:style w:type="paragraph" w:customStyle="1" w:styleId="62">
    <w:name w:val="标准文件_表格"/>
    <w:basedOn w:val="1"/>
    <w:qFormat/>
    <w:uiPriority w:val="0"/>
    <w:pPr>
      <w:widowControl/>
      <w:autoSpaceDE w:val="0"/>
      <w:autoSpaceDN w:val="0"/>
      <w:jc w:val="center"/>
    </w:pPr>
    <w:rPr>
      <w:rFonts w:ascii="宋体"/>
      <w:kern w:val="0"/>
      <w:sz w:val="18"/>
      <w:szCs w:val="20"/>
    </w:rPr>
  </w:style>
  <w:style w:type="paragraph" w:customStyle="1" w:styleId="63">
    <w:name w:val="表格标题"/>
    <w:basedOn w:val="1"/>
    <w:qFormat/>
    <w:uiPriority w:val="0"/>
    <w:rPr>
      <w:rFonts w:ascii="宋体" w:hAnsi="宋体" w:cs="宋体"/>
      <w:lang w:val="zh-CN" w:bidi="zh-CN"/>
    </w:rPr>
  </w:style>
  <w:style w:type="paragraph" w:customStyle="1" w:styleId="64">
    <w:name w:val="标准文件_二级无标题"/>
    <w:basedOn w:val="65"/>
    <w:qFormat/>
    <w:uiPriority w:val="0"/>
    <w:pPr>
      <w:spacing w:beforeLines="0" w:afterLines="0"/>
      <w:outlineLvl w:val="9"/>
    </w:pPr>
    <w:rPr>
      <w:rFonts w:ascii="宋体" w:eastAsia="宋体"/>
    </w:rPr>
  </w:style>
  <w:style w:type="paragraph" w:customStyle="1" w:styleId="65">
    <w:name w:val="标准文件_二级条标题"/>
    <w:next w:val="56"/>
    <w:autoRedefine/>
    <w:qFormat/>
    <w:uiPriority w:val="0"/>
    <w:pPr>
      <w:widowControl w:val="0"/>
      <w:numPr>
        <w:ilvl w:val="3"/>
        <w:numId w:val="15"/>
      </w:numPr>
      <w:spacing w:beforeLines="50" w:afterLines="50"/>
      <w:jc w:val="both"/>
      <w:outlineLvl w:val="2"/>
    </w:pPr>
    <w:rPr>
      <w:rFonts w:ascii="黑体" w:hAnsi="Times New Roman" w:eastAsia="黑体" w:cs="Times New Roman"/>
      <w:sz w:val="21"/>
      <w:lang w:val="en-US" w:eastAsia="zh-CN" w:bidi="ar-SA"/>
    </w:rPr>
  </w:style>
  <w:style w:type="paragraph" w:customStyle="1" w:styleId="66">
    <w:name w:val="编号列项（三级）"/>
    <w:basedOn w:val="1"/>
    <w:qFormat/>
    <w:uiPriority w:val="0"/>
    <w:pPr>
      <w:numPr>
        <w:ilvl w:val="2"/>
        <w:numId w:val="11"/>
      </w:numPr>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67c54af5-6452-492b-844b-48087a0bfbf1</errorID>
      <errorWord>＜</errorWord>
      <group>L1_Format</group>
      <groupName>格式问题</groupName>
      <ability>L2_HalfPunc</ability>
      <abilityName>全半角检查</abilityName>
      <candidateList>
        <item>&lt;</item>
      </candidateList>
      <explain>文本全半角错误。</explain>
      <paraID>78202BBF</paraID>
      <start>0</start>
      <end>1</end>
      <status>unmodified</status>
      <modifiedWord/>
      <trackRevisions>false</trackRevisions>
    </reviewItem>
    <reviewItem>
      <errorID>308817af-765b-484b-977a-91beb10071d3</errorID>
      <errorWord>～</errorWord>
      <group>L1_Format</group>
      <groupName>格式问题</groupName>
      <ability>L2_HalfPunc</ability>
      <abilityName>全半角检查</abilityName>
      <candidateList>
        <item>~</item>
      </candidateList>
      <explain>文本全半角错误。</explain>
      <paraID>6EB7493A</paraID>
      <start>3</start>
      <end>4</end>
      <status>unmodified</status>
      <modifiedWord/>
      <trackRevisions>false</trackRevisions>
    </reviewItem>
    <reviewItem>
      <errorID>a717889b-3864-4949-8079-75e379bba2b9</errorID>
      <errorWord>～</errorWord>
      <group>L1_Format</group>
      <groupName>格式问题</groupName>
      <ability>L2_HalfPunc</ability>
      <abilityName>全半角检查</abilityName>
      <candidateList>
        <item>~</item>
      </candidateList>
      <explain>文本全半角错误。</explain>
      <paraID>74450D9C</paraID>
      <start>3</start>
      <end>4</end>
      <status>unmodified</status>
      <modifiedWord/>
      <trackRevisions>false</trackRevisions>
    </reviewItem>
    <reviewItem>
      <errorID>909d53ba-c396-4635-a8b0-c03a07418935</errorID>
      <errorWord>～</errorWord>
      <group>L1_Format</group>
      <groupName>格式问题</groupName>
      <ability>L2_HalfPunc</ability>
      <abilityName>全半角检查</abilityName>
      <candidateList>
        <item>~</item>
      </candidateList>
      <explain>文本全半角错误。</explain>
      <paraID>5B54D746</paraID>
      <start>3</start>
      <end>4</end>
      <status>unmodified</status>
      <modifiedWord/>
      <trackRevisions>false</trackRevisions>
    </reviewItem>
    <reviewItem>
      <errorID>4b106d16-0483-4ecc-8f6e-a0b74b197c88</errorID>
      <errorWord>＜</errorWord>
      <group>L1_Format</group>
      <groupName>格式问题</groupName>
      <ability>L2_HalfPunc</ability>
      <abilityName>全半角检查</abilityName>
      <candidateList>
        <item>&lt;</item>
      </candidateList>
      <explain>文本全半角错误。</explain>
      <paraID>5BFD57C8</paraID>
      <start>0</start>
      <end>1</end>
      <status>unmodified</status>
      <modifiedWord/>
      <trackRevisions>false</trackRevisions>
    </reviewItem>
    <reviewItem>
      <errorID>77869b93-72b6-4dd7-a241-b714f7b15fe0</errorID>
      <errorWord>～</errorWord>
      <group>L1_Format</group>
      <groupName>格式问题</groupName>
      <ability>L2_HalfPunc</ability>
      <abilityName>全半角检查</abilityName>
      <candidateList>
        <item>~</item>
      </candidateList>
      <explain>文本全半角错误。</explain>
      <paraID>43A32660</paraID>
      <start>2</start>
      <end>3</end>
      <status>unmodified</status>
      <modifiedWord/>
      <trackRevisions>false</trackRevisions>
    </reviewItem>
    <reviewItem>
      <errorID>e2e2a076-6710-4205-8b98-850f81f8b23c</errorID>
      <errorWord>～</errorWord>
      <group>L1_Format</group>
      <groupName>格式问题</groupName>
      <ability>L2_HalfPunc</ability>
      <abilityName>全半角检查</abilityName>
      <candidateList>
        <item>~</item>
      </candidateList>
      <explain>文本全半角错误。</explain>
      <paraID>117CB172</paraID>
      <start>2</start>
      <end>3</end>
      <status>unmodified</status>
      <modifiedWord/>
      <trackRevisions>false</trackRevisions>
    </reviewItem>
    <reviewItem>
      <errorID>e1df5cbb-04d5-4c07-a800-5a116997553a</errorID>
      <errorWord>沉砂池</errorWord>
      <group>L1_Word</group>
      <groupName>字词问题</groupName>
      <ability>L2_Typo</ability>
      <abilityName>字词错误</abilityName>
      <candidateList>
        <item>沉沙池</item>
      </candidateList>
      <explain>存在发音相同字词的误用。</explain>
      <paraID>3FD76128</paraID>
      <start>16</start>
      <end>19</end>
      <status>unmodified</status>
      <modifiedWord/>
      <trackRevisions>false</trackRevisions>
    </reviewItem>
    <reviewItem>
      <errorID>2fb0efee-3301-4f6d-a151-e9161a316686</errorID>
      <errorWord>II</errorWord>
      <group>L1_Knowledge</group>
      <groupName>知识性问题</groupName>
      <ability>L2_Knowledge</ability>
      <abilityName>其他知识</abilityName>
      <candidateList>
        <item>Ⅱ</item>
      </candidateList>
      <explain/>
      <paraID>514DF6E5</paraID>
      <start>60</start>
      <end>62</end>
      <status>unmodified</status>
      <modifiedWord/>
      <trackRevisions>false</trackRevisions>
    </reviewItem>
    <reviewItem>
      <errorID>b5185883-b357-4664-bfc5-ac7e2641d88e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6C10B208</paraID>
      <start>82</start>
      <end>83</end>
      <status>unmodified</status>
      <modifiedWord/>
      <trackRevisions>false</trackRevisions>
    </reviewItem>
    <reviewItem>
      <errorID>06268121-3fa1-46be-9e5c-9dc841175fba</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4203A6EC</paraID>
      <start>31</start>
      <end>32</end>
      <status>unmodified</status>
      <modifiedWord/>
      <trackRevisions>false</trackRevisions>
    </reviewItem>
    <reviewItem>
      <errorID>54a728be-ad6b-4011-b720-f45bd353ca2e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274AE195</paraID>
      <start>46</start>
      <end>47</end>
      <status>unmodified</status>
      <modifiedWord/>
      <trackRevisions>false</trackRevisions>
    </reviewItem>
    <reviewItem>
      <errorID>7ba1edcd-5e5b-49cc-bc7d-1f79b3dda9f0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274AE195</paraID>
      <start>56</start>
      <end>57</end>
      <status>unmodified</status>
      <modifiedWord/>
      <trackRevisions>false</trackRevisions>
    </reviewItem>
    <reviewItem>
      <errorID>3a54891d-fe87-471a-badc-2b86fb837380</errorID>
      <errorWord>,</errorWord>
      <group>L1_Format</group>
      <groupName>格式问题</groupName>
      <ability>L2_HalfPunc</ability>
      <abilityName>全半角检查</abilityName>
      <candidateList>
        <item>，</item>
      </candidateList>
      <explain>文本全半角错误。</explain>
      <paraID>73B4268E</paraID>
      <start>13</start>
      <end>14</end>
      <status>unmodified</status>
      <modifiedWord/>
      <trackRevisions>false</trackRevisions>
    </reviewItem>
    <reviewItem>
      <errorID>90774143-d124-4565-af12-cf53462b5eb3</errorID>
      <errorWord>沉砂池</errorWord>
      <group>L1_Word</group>
      <groupName>字词问题</groupName>
      <ability>L2_Typo</ability>
      <abilityName>字词错误</abilityName>
      <candidateList>
        <item>沉沙池</item>
      </candidateList>
      <explain>存在发音相同字词的误用。</explain>
      <paraID>55C4C06D</paraID>
      <start>16</start>
      <end>19</end>
      <status>unmodified</status>
      <modifiedWord/>
      <trackRevisions>false</trackRevisions>
    </reviewItem>
    <reviewItem>
      <errorID>7f9dfd3d-2afd-4222-b38e-5812792cb1e6</errorID>
      <errorWord>沉砂池</errorWord>
      <group>L1_Word</group>
      <groupName>字词问题</groupName>
      <ability>L2_Typo</ability>
      <abilityName>字词错误</abilityName>
      <candidateList>
        <item>沉沙池</item>
      </candidateList>
      <explain>存在发音相同字词的误用。</explain>
      <paraID>6E35EBDC</paraID>
      <start>15</start>
      <end>18</end>
      <status>unmodified</status>
      <modifiedWord/>
      <trackRevisions>false</trackRevisions>
    </reviewItem>
    <reviewItem>
      <errorID>18fa234e-f5ae-4eb9-88e9-d254d81b1988</errorID>
      <errorWord>固土</errorWord>
      <group>L1_Word</group>
      <groupName>字词问题</groupName>
      <ability>L2_Typo</ability>
      <abilityName>字词错误</abilityName>
      <candidateList>
        <item>覆土</item>
      </candidateList>
      <explain/>
      <paraID> BB4D981</paraID>
      <start>2</start>
      <end>4</end>
      <status>unmodified</status>
      <modifiedWord/>
      <trackRevisions>false</trackRevisions>
    </reviewItem>
    <reviewItem>
      <errorID>c61e196c-36ba-4db5-a949-edc1f42c3380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762014BB</paraID>
      <start>26</start>
      <end>27</end>
      <status>unmodified</status>
      <modifiedWord/>
      <trackRevisions>false</trackRevisions>
    </reviewItem>
    <reviewItem>
      <errorID>4df2634f-ee1b-4d0c-93eb-65750916a7b8</errorID>
      <errorWord>,</errorWord>
      <group>L1_Format</group>
      <groupName>格式问题</groupName>
      <ability>L2_HalfPunc</ability>
      <abilityName>全半角检查</abilityName>
      <candidateList>
        <item>，</item>
      </candidateList>
      <explain>文本全半角错误。</explain>
      <paraID>35CF4312</paraID>
      <start>24</start>
      <end>25</end>
      <status>unmodified</status>
      <modifiedWord/>
      <trackRevisions>false</trackRevisions>
    </reviewItem>
    <reviewItem>
      <errorID>b795855e-3e00-430c-9642-a99bd3be624f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2EA99ADE</paraID>
      <start>106</start>
      <end>107</end>
      <status>unmodified</status>
      <modifiedWord/>
      <trackRevisions>false</trackRevisions>
    </reviewItem>
    <reviewItem>
      <errorID>dd0cd366-8c14-481d-b52f-e5baa6e38876</errorID>
      <errorWord>粘结性</errorWord>
      <group>L1_Word</group>
      <groupName>字词问题</groupName>
      <ability>L2_Typo</ability>
      <abilityName>字词错误</abilityName>
      <candidateList>
        <item>黏结性</item>
      </candidateList>
      <explain>存在发音相同字词的误用。</explain>
      <paraID>6CCA57DB</paraID>
      <start>36</start>
      <end>39</end>
      <status>modified</status>
      <modifiedWord>黏结性</modifiedWord>
      <trackRevisions>false</trackRevisions>
    </reviewItem>
    <reviewItem>
      <errorID>812bd010-c33b-4d87-9622-1ad19659f79c</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63E2AC59</paraID>
      <start>8</start>
      <end>14</end>
      <status>unmodified</status>
      <modifiedWord/>
      <trackRevisions>false</trackRevisions>
    </reviewItem>
    <reviewItem>
      <errorID>d9515504-92d9-4b6a-9a5a-2a45cb380d16</errorID>
      <errorWord>线性</errorWord>
      <group>L1_Word</group>
      <groupName>字词问题</groupName>
      <ability>L2_Typo</ability>
      <abilityName>字词错误</abilityName>
      <candidateList>
        <item>线形</item>
      </candidateList>
      <explain/>
      <paraID>7BF6F1AE</paraID>
      <start>50</start>
      <end>52</end>
      <status>unmodified</status>
      <modifiedWord/>
      <trackRevisions>false</trackRevisions>
    </reviewItem>
    <reviewItem>
      <errorID>bbe2b8c0-e389-4a2d-9ca0-87ab7dca642e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7D4ACDAF</paraID>
      <start>162</start>
      <end>163</end>
      <status>unmodified</status>
      <modifiedWord/>
      <trackRevisions>false</trackRevisions>
    </reviewItem>
    <reviewItem>
      <errorID>1985cb38-f30c-40e3-807f-d7b1f93a1227</errorID>
      <errorWord>2-3年</errorWord>
      <group>L1_Word</group>
      <groupName>字词问题</groupName>
      <ability>L2_Typo</ability>
      <abilityName>字词错误</abilityName>
      <candidateList>
        <item>2～3年</item>
      </candidateList>
      <explain/>
      <paraID>6A4E3314</paraID>
      <start>39</start>
      <end>43</end>
      <status>unmodified</status>
      <modifiedWord/>
      <trackRevisions>false</trackRevisions>
    </reviewItem>
    <reviewItem>
      <errorID>b41b5c54-6cf2-4c36-a183-88130615d27f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6A4E3314</paraID>
      <start>132</start>
      <end>133</end>
      <status>unmodified</status>
      <modifiedWord/>
      <trackRevisions>false</trackRevisions>
    </reviewItem>
    <reviewItem>
      <errorID>67b63ef0-c394-4737-9e48-272e65a5a6bd</errorID>
      <errorWord>,</errorWord>
      <group>L1_Format</group>
      <groupName>格式问题</groupName>
      <ability>L2_HalfPunc</ability>
      <abilityName>全半角检查</abilityName>
      <candidateList>
        <item>，</item>
      </candidateList>
      <explain>文本全半角错误。</explain>
      <paraID>331BF788</paraID>
      <start>15</start>
      <end>16</end>
      <status>unmodified</status>
      <modifiedWord/>
      <trackRevisions>false</trackRevisions>
    </reviewItem>
    <reviewItem>
      <errorID>cd4af9ec-0814-4a9a-a0b0-3b9cb37f7c24</errorID>
      <errorWord>监测方法</errorWord>
      <group>L1_Word</group>
      <groupName>字词问题</groupName>
      <ability>L2_Typo</ability>
      <abilityName>字词错误</abilityName>
      <candidateList>
        <item>检测方法</item>
      </candidateList>
      <explain/>
      <paraID> 105AAD8</paraID>
      <start>0</start>
      <end>4</end>
      <status>unmodified</status>
      <modifiedWord/>
      <trackRevisions>false</trackRevisions>
    </reviewItem>
    <reviewItem>
      <errorID>a3711650-f6cc-4e5f-9838-8a25252b28e3</errorID>
      <errorWord>(</errorWord>
      <group>L1_Format</group>
      <groupName>格式问题</groupName>
      <ability>L2_HalfPunc</ability>
      <abilityName>全半角检查</abilityName>
      <candidateList>
        <item>（</item>
      </candidateList>
      <explain>文本全半角错误。</explain>
      <paraID>46EACBBA</paraID>
      <start>59</start>
      <end>60</end>
      <status>unmodified</status>
      <modifiedWord/>
      <trackRevisions>false</trackRevisions>
    </reviewItem>
    <reviewItem>
      <errorID>131c791d-c39a-475f-87e4-6afc7e74e702</errorID>
      <errorWord>)</errorWord>
      <group>L1_Format</group>
      <groupName>格式问题</groupName>
      <ability>L2_HalfPunc</ability>
      <abilityName>全半角检查</abilityName>
      <candidateList>
        <item>）</item>
      </candidateList>
      <explain>文本全半角错误。</explain>
      <paraID>46EACBBA</paraID>
      <start>63</start>
      <end>64</end>
      <status>unmodified</status>
      <modifiedWord/>
      <trackRevisions>false</trackRevisions>
    </reviewItem>
    <reviewItem>
      <errorID>c34f0de1-e78c-49c6-b2bf-7c65a03bc436</errorID>
      <errorWord>监测方法</errorWord>
      <group>L1_Word</group>
      <groupName>字词问题</groupName>
      <ability>L2_Typo</ability>
      <abilityName>字词错误</abilityName>
      <candidateList>
        <item>检测方法</item>
      </candidateList>
      <explain/>
      <paraID>1756F757</paraID>
      <start>2</start>
      <end>6</end>
      <status>unmodified</status>
      <modifiedWord/>
      <trackRevisions>false</trackRevisions>
    </reviewItem>
    <reviewItem>
      <errorID>fa14b929-535d-48f0-be80-2b12c63a6153</errorID>
      <errorWord>沉砂池</errorWord>
      <group>L1_Word</group>
      <groupName>字词问题</groupName>
      <ability>L2_Typo</ability>
      <abilityName>字词错误</abilityName>
      <candidateList>
        <item>沉沙池</item>
      </candidateList>
      <explain>存在发音相同字词的误用。</explain>
      <paraID>46BD17AF</paraID>
      <start>9</start>
      <end>12</end>
      <status>unmodified</status>
      <modifiedWord/>
      <trackRevisions>false</trackRevisions>
    </reviewItem>
    <reviewItem>
      <errorID>a050ea10-5703-499c-a265-f945af7b8864</errorID>
      <errorWord>况</errorWord>
      <group>L1_Word</group>
      <groupName>字词问题</groupName>
      <ability>L2_Typo</ability>
      <abilityName>字词错误</abilityName>
      <candidateList>
        <item>况下</item>
      </candidateList>
      <explain/>
      <paraID>6CEAD23F</paraID>
      <start>20</start>
      <end>21</end>
      <status>unmodified</status>
      <modifiedWord/>
      <trackRevisions>false</trackRevisions>
    </reviewItem>
    <reviewItem>
      <errorID>2f7b4d58-f955-49cc-99c8-f66279f6aaec</errorID>
      <errorWord>件</errorWord>
      <group>L1_Word</group>
      <groupName>字词问题</groupName>
      <ability>L2_Typo</ability>
      <abilityName>字词错误</abilityName>
      <candidateList>
        <item>件下</item>
      </candidateList>
      <explain/>
      <paraID>1326570A</paraID>
      <start>301</start>
      <end>302</end>
      <status>unmodified</status>
      <modifiedWord/>
      <trackRevisions>false</trackRevisions>
    </reviewItem>
    <reviewItem>
      <errorID>5cfa22f9-05cc-4d02-8289-a45a6968288b</errorID>
      <errorWord>主要以人工撒施或水肥一体化方式施用复合肥为主</errorWord>
      <group>L1_Word</group>
      <groupName>字词问题</groupName>
      <ability>L2_Typo</ability>
      <abilityName>字词错误</abilityName>
      <candidateList>
        <item>以人工撒施或水肥一体化方式施用复合肥为主</item>
      </candidateList>
      <explain/>
      <paraID>57470BC3</paraID>
      <start>40</start>
      <end>62</end>
      <status>unmodified</status>
      <modifiedWord/>
      <trackRevisions>false</trackRevisions>
    </reviewItem>
    <reviewItem>
      <errorID>63ca96de-b7f6-42cb-b5ba-6f906f6a86f7</errorID>
      <errorWord>＜</errorWord>
      <group>L1_Format</group>
      <groupName>格式问题</groupName>
      <ability>L2_HalfPunc</ability>
      <abilityName>全半角检查</abilityName>
      <candidateList>
        <item>&lt;</item>
      </candidateList>
      <explain>文本全半角错误。</explain>
      <paraID> E0A2C64</paraID>
      <start>3</start>
      <end>4</end>
      <status>unmodified</status>
      <modifiedWord/>
      <trackRevisions>false</trackRevisions>
    </reviewItem>
    <reviewItem>
      <errorID>00c7a583-45b8-4cdd-99d2-a92d0a3f656e</errorID>
      <errorWord>＜</errorWord>
      <group>L1_Format</group>
      <groupName>格式问题</groupName>
      <ability>L2_HalfPunc</ability>
      <abilityName>全半角检查</abilityName>
      <candidateList>
        <item>&lt;</item>
      </candidateList>
      <explain>文本全半角错误。</explain>
      <paraID>5CC7DF27</paraID>
      <start>3</start>
      <end>4</end>
      <status>unmodified</status>
      <modifiedWord/>
      <trackRevisions>false</trackRevisions>
    </reviewItem>
    <reviewItem>
      <errorID>6707440f-15da-4159-bea8-203738c0684c</errorID>
      <errorWord>＞</errorWord>
      <group>L1_Format</group>
      <groupName>格式问题</groupName>
      <ability>L2_HalfPunc</ability>
      <abilityName>全半角检查</abilityName>
      <candidateList>
        <item>&gt;</item>
      </candidateList>
      <explain>文本全半角错误。</explain>
      <paraID>2D27027C</paraID>
      <start>1</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6F32F6-D9BD-4126-BC56-A114DFCCA723}">
  <ds:schemaRefs/>
</ds:datastoreItem>
</file>

<file path=docProps/app.xml><?xml version="1.0" encoding="utf-8"?>
<Properties xmlns="http://schemas.openxmlformats.org/officeDocument/2006/extended-properties" xmlns:vt="http://schemas.openxmlformats.org/officeDocument/2006/docPropsVTypes">
  <Template>Normal</Template>
  <Pages>21</Pages>
  <Words>2791</Words>
  <Characters>3232</Characters>
  <Lines>108</Lines>
  <Paragraphs>30</Paragraphs>
  <TotalTime>1</TotalTime>
  <ScaleCrop>false</ScaleCrop>
  <LinksUpToDate>false</LinksUpToDate>
  <CharactersWithSpaces>3466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2026-03-23T02:41:00Z</dcterms:created>
  <dc:creator>嘉晨</dc:creator>
  <cp:lastModifiedBy>think</cp:lastModifiedBy>
  <cp:lastPrinted>2026-03-11T00:14:00Z</cp:lastPrinted>
  <dcterms:modified xsi:type="dcterms:W3CDTF">2026-03-25T02:06:47Z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31B064F9181845CDB9DDE8B28FB33783_13</vt:lpwstr>
  </property>
  <property fmtid="{D5CDD505-2E9C-101B-9397-08002B2CF9AE}" pid="4" name="KSOTemplateDocerSaveRecord">
    <vt:lpwstr>eyJoZGlkIjoiMzRjZDdmZjFjZmFiMTgxMzQzYWZlZDE3MjM2N2Q2OTYiLCJ1c2VySWQiOiI4MzQ5ODU3OTIifQ==</vt:lpwstr>
  </property>
</Properties>
</file>