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BB3A0">
      <w:pPr>
        <w:keepNext/>
        <w:pageBreakBefore/>
        <w:widowControl/>
        <w:shd w:val="clear" w:color="FFFFFF" w:fill="FFFFFF"/>
        <w:spacing w:before="640" w:after="560" w:line="460" w:lineRule="exact"/>
        <w:ind w:firstLine="420"/>
        <w:jc w:val="both"/>
        <w:outlineLvl w:val="0"/>
        <w:rPr>
          <w:rFonts w:ascii="黑体" w:hAnsi="Times New Roman" w:eastAsia="黑体" w:cs="Times New Roman"/>
          <w:color w:val="auto"/>
          <w:kern w:val="0"/>
          <w:sz w:val="21"/>
          <w:szCs w:val="21"/>
        </w:rPr>
      </w:pPr>
      <w:bookmarkStart w:id="0" w:name="_Toc19386"/>
      <w:bookmarkStart w:id="1" w:name="_Toc3778"/>
      <w:bookmarkStart w:id="2" w:name="_Toc12237"/>
      <w:bookmarkStart w:id="3" w:name="_Toc24083"/>
      <w:bookmarkStart w:id="4" w:name="_Toc31116"/>
      <w:bookmarkStart w:id="5" w:name="_Toc17269"/>
      <w:bookmarkStart w:id="6" w:name="_Toc18576"/>
      <w:bookmarkStart w:id="226" w:name="_GoBack"/>
      <w:bookmarkEnd w:id="226"/>
      <w:r>
        <w:rPr>
          <w:rFonts w:hint="eastAsia" w:ascii="黑体" w:hAnsi="Times New Roman" w:eastAsia="黑体" w:cs="Times New Roman"/>
          <w:color w:val="auto"/>
          <w:kern w:val="0"/>
          <w:sz w:val="21"/>
          <w:szCs w:val="21"/>
        </w:rPr>
        <w:t>ICS XX.XX</w:t>
      </w:r>
      <w:bookmarkEnd w:id="0"/>
      <w:bookmarkEnd w:id="1"/>
      <w:bookmarkEnd w:id="2"/>
      <w:bookmarkEnd w:id="3"/>
      <w:bookmarkEnd w:id="4"/>
      <w:bookmarkEnd w:id="5"/>
      <w:bookmarkEnd w:id="6"/>
    </w:p>
    <w:p w14:paraId="4D09D6B5">
      <w:pPr>
        <w:tabs>
          <w:tab w:val="center" w:pos="4201"/>
          <w:tab w:val="right" w:leader="dot" w:pos="9298"/>
        </w:tabs>
        <w:autoSpaceDE w:val="0"/>
        <w:autoSpaceDN w:val="0"/>
        <w:ind w:firstLine="0" w:firstLineChars="0"/>
        <w:rPr>
          <w:rFonts w:ascii="黑体" w:hAnsi="黑体" w:eastAsia="黑体" w:cs="黑体"/>
          <w:color w:val="auto"/>
          <w:sz w:val="21"/>
          <w:szCs w:val="21"/>
        </w:rPr>
      </w:pPr>
      <w:r>
        <w:rPr>
          <w:rFonts w:hint="eastAsia" w:hAnsi="Times New Roman" w:cs="Times New Roman"/>
          <w:color w:val="auto"/>
          <w:sz w:val="21"/>
        </w:rPr>
        <w:t>XXX</w:t>
      </w:r>
    </w:p>
    <w:p w14:paraId="219B3600">
      <w:pPr>
        <w:tabs>
          <w:tab w:val="center" w:pos="4201"/>
          <w:tab w:val="right" w:leader="dot" w:pos="9298"/>
        </w:tabs>
        <w:autoSpaceDE w:val="0"/>
        <w:autoSpaceDN w:val="0"/>
        <w:ind w:firstLine="0" w:firstLineChars="0"/>
        <w:jc w:val="distribute"/>
        <w:rPr>
          <w:rFonts w:ascii="Times New Roman" w:hAnsi="Times New Roman" w:eastAsia="黑体" w:cs="Times New Roman"/>
          <w:color w:val="auto"/>
          <w:sz w:val="48"/>
          <w:szCs w:val="48"/>
        </w:rPr>
      </w:pPr>
      <w:r>
        <w:rPr>
          <w:rFonts w:ascii="Times New Roman" w:hAnsi="Times New Roman" w:eastAsia="黑体" w:cs="Times New Roman"/>
          <w:color w:val="auto"/>
          <w:sz w:val="48"/>
          <w:szCs w:val="48"/>
        </w:rPr>
        <w:t>团体标准</w:t>
      </w:r>
    </w:p>
    <w:p w14:paraId="6D590F90">
      <w:pPr>
        <w:tabs>
          <w:tab w:val="center" w:pos="4201"/>
          <w:tab w:val="right" w:leader="dot" w:pos="9298"/>
        </w:tabs>
        <w:wordWrap w:val="0"/>
        <w:autoSpaceDE w:val="0"/>
        <w:autoSpaceDN w:val="0"/>
        <w:ind w:firstLine="0" w:firstLineChars="0"/>
        <w:jc w:val="right"/>
        <w:rPr>
          <w:rFonts w:hint="default" w:ascii="Times New Roman" w:hAnsi="Times New Roman" w:eastAsia="宋体" w:cs="Times New Roman"/>
          <w:color w:val="auto"/>
          <w:lang w:val="en-US" w:eastAsia="zh-CN"/>
        </w:rPr>
      </w:pPr>
      <w:r>
        <w:rPr>
          <w:rFonts w:ascii="Times New Roman" w:hAnsi="Times New Roman" w:cs="Times New Roman"/>
          <w:color w:val="auto"/>
        </w:rPr>
        <w:t>T/</w:t>
      </w:r>
      <w:r>
        <w:rPr>
          <w:rFonts w:hint="eastAsia" w:ascii="Times New Roman" w:hAnsi="Times New Roman" w:cs="Times New Roman"/>
          <w:color w:val="auto"/>
        </w:rPr>
        <w:t>CAGHPER</w:t>
      </w:r>
      <w:r>
        <w:rPr>
          <w:rFonts w:ascii="Times New Roman" w:hAnsi="Times New Roman" w:cs="Times New Roman"/>
          <w:color w:val="auto"/>
        </w:rPr>
        <w:t xml:space="preserve"> </w:t>
      </w:r>
      <w:r>
        <w:rPr>
          <w:rFonts w:hint="eastAsia"/>
          <w:color w:val="auto"/>
        </w:rPr>
        <w:t>XXX—</w:t>
      </w:r>
      <w:r>
        <w:rPr>
          <w:rFonts w:hint="eastAsia" w:ascii="宋体" w:hAnsi="宋体" w:eastAsia="宋体" w:cs="宋体"/>
          <w:color w:val="auto"/>
          <w:kern w:val="2"/>
          <w:sz w:val="28"/>
          <w:szCs w:val="28"/>
          <w:lang w:val="en-US" w:eastAsia="zh-CN" w:bidi="ar-SA"/>
        </w:rPr>
        <w:t>XXXX</w:t>
      </w:r>
    </w:p>
    <w:p w14:paraId="192B0E4B">
      <w:pPr>
        <w:tabs>
          <w:tab w:val="center" w:pos="4201"/>
          <w:tab w:val="right" w:leader="dot" w:pos="9298"/>
        </w:tabs>
        <w:autoSpaceDE w:val="0"/>
        <w:autoSpaceDN w:val="0"/>
        <w:ind w:firstLine="0" w:firstLineChars="0"/>
        <w:jc w:val="right"/>
        <w:rPr>
          <w:rFonts w:ascii="Times New Roman" w:hAnsi="Times New Roman" w:cs="Times New Roman"/>
          <w:color w:val="auto"/>
          <w:sz w:val="21"/>
          <w:szCs w:val="21"/>
        </w:rPr>
      </w:pPr>
    </w:p>
    <w:tbl>
      <w:tblPr>
        <w:tblStyle w:val="28"/>
        <w:tblW w:w="0" w:type="auto"/>
        <w:jc w:val="center"/>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5930EB84">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571" w:type="dxa"/>
          </w:tcPr>
          <w:p w14:paraId="1E96A339">
            <w:pPr>
              <w:tabs>
                <w:tab w:val="center" w:pos="4201"/>
                <w:tab w:val="right" w:leader="dot" w:pos="9298"/>
              </w:tabs>
              <w:autoSpaceDE w:val="0"/>
              <w:autoSpaceDN w:val="0"/>
              <w:ind w:firstLine="0" w:firstLineChars="0"/>
              <w:jc w:val="center"/>
              <w:rPr>
                <w:rFonts w:ascii="Times New Roman" w:hAnsi="Times New Roman" w:eastAsia="黑体" w:cs="Times New Roman"/>
                <w:color w:val="auto"/>
                <w:sz w:val="48"/>
                <w:szCs w:val="48"/>
              </w:rPr>
            </w:pPr>
          </w:p>
        </w:tc>
      </w:tr>
    </w:tbl>
    <w:p w14:paraId="2276CE06">
      <w:pPr>
        <w:tabs>
          <w:tab w:val="center" w:pos="4201"/>
          <w:tab w:val="right" w:leader="dot" w:pos="9298"/>
        </w:tabs>
        <w:autoSpaceDE w:val="0"/>
        <w:autoSpaceDN w:val="0"/>
        <w:ind w:firstLine="0" w:firstLineChars="0"/>
        <w:jc w:val="center"/>
        <w:rPr>
          <w:rFonts w:ascii="Times New Roman" w:hAnsi="Times New Roman" w:eastAsia="黑体" w:cs="Times New Roman"/>
          <w:color w:val="auto"/>
          <w:sz w:val="48"/>
          <w:szCs w:val="48"/>
        </w:rPr>
      </w:pPr>
    </w:p>
    <w:p w14:paraId="49D0CCF8">
      <w:pPr>
        <w:tabs>
          <w:tab w:val="center" w:pos="4201"/>
          <w:tab w:val="right" w:leader="dot" w:pos="9298"/>
        </w:tabs>
        <w:autoSpaceDE w:val="0"/>
        <w:autoSpaceDN w:val="0"/>
        <w:ind w:firstLine="0" w:firstLineChars="0"/>
        <w:jc w:val="distribute"/>
        <w:rPr>
          <w:rFonts w:ascii="Times New Roman" w:hAnsi="Times New Roman" w:eastAsia="黑体" w:cs="Times New Roman"/>
          <w:color w:val="auto"/>
          <w:sz w:val="48"/>
          <w:szCs w:val="48"/>
        </w:rPr>
      </w:pPr>
    </w:p>
    <w:p w14:paraId="53938422">
      <w:pPr>
        <w:tabs>
          <w:tab w:val="center" w:pos="4201"/>
          <w:tab w:val="right" w:leader="dot" w:pos="9298"/>
        </w:tabs>
        <w:autoSpaceDE w:val="0"/>
        <w:autoSpaceDN w:val="0"/>
        <w:ind w:firstLine="0" w:firstLineChars="0"/>
        <w:jc w:val="distribute"/>
        <w:rPr>
          <w:rFonts w:ascii="Times New Roman" w:hAnsi="Times New Roman" w:eastAsia="黑体" w:cs="Times New Roman"/>
          <w:color w:val="auto"/>
          <w:sz w:val="48"/>
          <w:szCs w:val="48"/>
        </w:rPr>
      </w:pPr>
    </w:p>
    <w:p w14:paraId="2928C0C8">
      <w:pPr>
        <w:pStyle w:val="62"/>
        <w:ind w:firstLine="0" w:firstLineChars="0"/>
        <w:jc w:val="center"/>
        <w:rPr>
          <w:rFonts w:hint="eastAsia" w:ascii="黑体" w:hAnsi="黑体" w:eastAsia="黑体"/>
          <w:color w:val="auto"/>
          <w:sz w:val="52"/>
          <w:szCs w:val="52"/>
        </w:rPr>
      </w:pPr>
      <w:r>
        <w:rPr>
          <w:rFonts w:hint="eastAsia" w:ascii="黑体" w:hAnsi="黑体" w:eastAsia="黑体"/>
          <w:color w:val="auto"/>
          <w:sz w:val="52"/>
          <w:szCs w:val="52"/>
        </w:rPr>
        <w:t>排土场（废石堆）生态修复工程验收规范</w:t>
      </w:r>
    </w:p>
    <w:p w14:paraId="4E3C8400">
      <w:pPr>
        <w:overflowPunct/>
        <w:spacing w:line="680" w:lineRule="exact"/>
        <w:ind w:firstLine="0" w:firstLineChars="0"/>
        <w:jc w:val="center"/>
        <w:rPr>
          <w:rFonts w:ascii="黑体" w:hAnsi="黑体" w:eastAsia="黑体" w:cs="黑体"/>
          <w:b/>
          <w:color w:val="auto"/>
          <w:kern w:val="0"/>
        </w:rPr>
      </w:pPr>
      <w:r>
        <w:rPr>
          <w:rFonts w:hint="eastAsia" w:ascii="黑体" w:hAnsi="黑体" w:eastAsia="黑体" w:cs="Times New Roman"/>
          <w:color w:val="auto"/>
          <w:kern w:val="0"/>
          <w:sz w:val="28"/>
          <w:szCs w:val="28"/>
          <w:lang w:val="en-US" w:eastAsia="zh-CN" w:bidi="ar-SA"/>
        </w:rPr>
        <w:t xml:space="preserve">Technical specification for ecological restoration project of waste dump </w:t>
      </w:r>
    </w:p>
    <w:p w14:paraId="58359EA9">
      <w:pPr>
        <w:pStyle w:val="62"/>
        <w:ind w:firstLine="0" w:firstLineChars="0"/>
        <w:jc w:val="center"/>
        <w:rPr>
          <w:rFonts w:hint="eastAsia" w:ascii="Times New Roman"/>
          <w:color w:val="auto"/>
          <w:sz w:val="28"/>
          <w:szCs w:val="28"/>
        </w:rPr>
      </w:pPr>
    </w:p>
    <w:p w14:paraId="581E4D25">
      <w:pPr>
        <w:pStyle w:val="62"/>
        <w:ind w:firstLine="0" w:firstLineChars="0"/>
        <w:jc w:val="center"/>
        <w:rPr>
          <w:rFonts w:hint="eastAsia" w:hAnsi="宋体"/>
          <w:color w:val="auto"/>
          <w:szCs w:val="21"/>
        </w:rPr>
      </w:pPr>
      <w:r>
        <w:rPr>
          <w:rFonts w:hint="eastAsia" w:hAnsi="宋体"/>
          <w:color w:val="auto"/>
          <w:szCs w:val="21"/>
        </w:rPr>
        <w:t>（征求意见稿）</w:t>
      </w:r>
    </w:p>
    <w:p w14:paraId="4623A4BA">
      <w:pPr>
        <w:pStyle w:val="62"/>
        <w:ind w:firstLine="0" w:firstLineChars="0"/>
        <w:jc w:val="center"/>
        <w:rPr>
          <w:rFonts w:hint="eastAsia" w:ascii="Times New Roman" w:eastAsia="黑体"/>
          <w:color w:val="auto"/>
          <w:sz w:val="28"/>
          <w:szCs w:val="28"/>
        </w:rPr>
      </w:pPr>
    </w:p>
    <w:p w14:paraId="518F9228">
      <w:pPr>
        <w:pStyle w:val="62"/>
        <w:ind w:firstLine="0" w:firstLineChars="0"/>
        <w:jc w:val="center"/>
        <w:rPr>
          <w:rFonts w:hint="eastAsia" w:ascii="Times New Roman" w:eastAsia="黑体"/>
          <w:color w:val="auto"/>
          <w:sz w:val="28"/>
          <w:szCs w:val="28"/>
        </w:rPr>
      </w:pPr>
    </w:p>
    <w:p w14:paraId="28396AE7">
      <w:pPr>
        <w:pStyle w:val="62"/>
        <w:ind w:firstLine="0" w:firstLineChars="0"/>
        <w:jc w:val="center"/>
        <w:rPr>
          <w:rFonts w:hint="eastAsia" w:ascii="Times New Roman" w:eastAsia="黑体"/>
          <w:color w:val="auto"/>
          <w:sz w:val="28"/>
          <w:szCs w:val="28"/>
        </w:rPr>
      </w:pPr>
    </w:p>
    <w:p w14:paraId="3F5AA4E0">
      <w:pPr>
        <w:pStyle w:val="62"/>
        <w:ind w:firstLine="0" w:firstLineChars="0"/>
        <w:jc w:val="center"/>
        <w:rPr>
          <w:rFonts w:hint="eastAsia" w:ascii="Times New Roman" w:eastAsia="黑体"/>
          <w:color w:val="auto"/>
          <w:sz w:val="28"/>
          <w:szCs w:val="28"/>
        </w:rPr>
      </w:pPr>
    </w:p>
    <w:p w14:paraId="1F24152C">
      <w:pPr>
        <w:pStyle w:val="62"/>
        <w:ind w:firstLine="0" w:firstLineChars="0"/>
        <w:jc w:val="center"/>
        <w:rPr>
          <w:rFonts w:hint="eastAsia" w:ascii="Times New Roman" w:eastAsia="黑体"/>
          <w:color w:val="auto"/>
          <w:sz w:val="28"/>
          <w:szCs w:val="28"/>
        </w:rPr>
      </w:pPr>
    </w:p>
    <w:p w14:paraId="43C035AE">
      <w:pPr>
        <w:pStyle w:val="62"/>
        <w:ind w:firstLine="0" w:firstLineChars="0"/>
        <w:jc w:val="center"/>
        <w:rPr>
          <w:rFonts w:hint="eastAsia" w:ascii="Times New Roman" w:eastAsia="黑体"/>
          <w:color w:val="auto"/>
          <w:sz w:val="28"/>
          <w:szCs w:val="28"/>
        </w:rPr>
      </w:pPr>
    </w:p>
    <w:tbl>
      <w:tblPr>
        <w:tblStyle w:val="28"/>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670276B7">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38BD00A2">
            <w:pPr>
              <w:pStyle w:val="62"/>
              <w:ind w:firstLine="0" w:firstLineChars="0"/>
              <w:rPr>
                <w:rFonts w:hint="eastAsia" w:ascii="黑体" w:hAnsi="黑体" w:eastAsia="黑体"/>
                <w:color w:val="auto"/>
                <w:sz w:val="28"/>
                <w:szCs w:val="28"/>
              </w:rPr>
            </w:pPr>
            <w:r>
              <w:rPr>
                <w:rFonts w:hint="eastAsia" w:ascii="黑体" w:hAnsi="黑体" w:eastAsia="黑体"/>
                <w:color w:val="auto"/>
                <w:sz w:val="28"/>
                <w:szCs w:val="28"/>
              </w:rPr>
              <w:t xml:space="preserve">XXXX-XX-XX发布         </w:t>
            </w:r>
            <w:r>
              <w:rPr>
                <w:rFonts w:hint="eastAsia" w:ascii="黑体" w:hAnsi="黑体" w:eastAsia="黑体"/>
                <w:color w:val="auto"/>
                <w:sz w:val="28"/>
                <w:szCs w:val="28"/>
                <w:lang w:val="en-US" w:eastAsia="zh-CN"/>
              </w:rPr>
              <w:t xml:space="preserve">       </w:t>
            </w:r>
            <w:r>
              <w:rPr>
                <w:rFonts w:hint="eastAsia" w:ascii="黑体" w:hAnsi="黑体" w:eastAsia="黑体"/>
                <w:color w:val="auto"/>
                <w:sz w:val="28"/>
                <w:szCs w:val="28"/>
              </w:rPr>
              <w:t xml:space="preserve">                      XXXX-XX-XX实施</w:t>
            </w:r>
          </w:p>
        </w:tc>
      </w:tr>
    </w:tbl>
    <w:p w14:paraId="0E61C622">
      <w:pPr>
        <w:tabs>
          <w:tab w:val="center" w:pos="4201"/>
          <w:tab w:val="right" w:leader="dot" w:pos="9298"/>
        </w:tabs>
        <w:autoSpaceDE w:val="0"/>
        <w:autoSpaceDN w:val="0"/>
        <w:ind w:firstLine="560"/>
        <w:jc w:val="center"/>
        <w:rPr>
          <w:rFonts w:ascii="Times New Roman" w:hAnsi="Times New Roman" w:eastAsia="黑体" w:cs="Times New Roman"/>
          <w:color w:val="auto"/>
        </w:rPr>
      </w:pPr>
    </w:p>
    <w:p w14:paraId="2AEC027B">
      <w:pPr>
        <w:pStyle w:val="62"/>
        <w:ind w:firstLine="560"/>
        <w:jc w:val="center"/>
        <w:rPr>
          <w:rFonts w:hint="eastAsia" w:ascii="Times New Roman" w:eastAsia="黑体"/>
          <w:color w:val="auto"/>
          <w:sz w:val="28"/>
          <w:szCs w:val="28"/>
        </w:rPr>
      </w:pPr>
      <w:r>
        <w:rPr>
          <w:rFonts w:hint="eastAsia" w:ascii="Times New Roman" w:eastAsia="黑体"/>
          <w:color w:val="auto"/>
          <w:sz w:val="28"/>
          <w:szCs w:val="28"/>
        </w:rPr>
        <w:t>中国地质灾害防治与生态修复协会  发布</w:t>
      </w:r>
    </w:p>
    <w:p w14:paraId="23A950B5">
      <w:pPr>
        <w:pStyle w:val="62"/>
        <w:ind w:firstLine="560"/>
        <w:jc w:val="center"/>
        <w:rPr>
          <w:rFonts w:hint="eastAsia" w:ascii="Times New Roman" w:eastAsia="黑体"/>
          <w:color w:val="auto"/>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567" w:right="850" w:bottom="1134" w:left="1417" w:header="851" w:footer="992" w:gutter="0"/>
          <w:pgNumType w:fmt="decimal"/>
          <w:cols w:space="425" w:num="1"/>
          <w:docGrid w:type="lines" w:linePitch="312" w:charSpace="0"/>
        </w:sectPr>
      </w:pPr>
    </w:p>
    <w:sdt>
      <w:sdtPr>
        <w:rPr>
          <w:rFonts w:hint="eastAsia" w:hAnsi="Times New Roman" w:cs="Times New Roman"/>
          <w:color w:val="auto"/>
          <w:lang w:val="en-US" w:eastAsia="zh-CN"/>
        </w:rPr>
        <w:id w:val="147458945"/>
        <w15:color w:val="DBDBDB"/>
        <w:docPartObj>
          <w:docPartGallery w:val="Table of Contents"/>
          <w:docPartUnique/>
        </w:docPartObj>
      </w:sdtPr>
      <w:sdtEndPr>
        <w:rPr>
          <w:rFonts w:hint="eastAsia" w:ascii="宋体" w:hAnsi="Times New Roman" w:eastAsia="宋体" w:cs="Times New Roman"/>
          <w:color w:val="auto"/>
          <w:kern w:val="2"/>
          <w:sz w:val="28"/>
          <w:szCs w:val="21"/>
          <w:lang w:val="en-US" w:eastAsia="zh-CN" w:bidi="ar-SA"/>
        </w:rPr>
      </w:sdtEndPr>
      <w:sdtContent>
        <w:p w14:paraId="74284C25">
          <w:pPr>
            <w:pStyle w:val="61"/>
            <w:shd w:val="clear" w:color="FFFFFF" w:fill="FFFFFF"/>
            <w:overflowPunct/>
            <w:ind w:firstLine="0" w:firstLineChars="0"/>
            <w:textAlignment w:val="auto"/>
            <w:rPr>
              <w:rFonts w:hint="eastAsia" w:hAnsi="Times New Roman" w:cs="Times New Roman"/>
              <w:color w:val="auto"/>
            </w:rPr>
          </w:pPr>
          <w:r>
            <w:rPr>
              <w:rFonts w:hint="eastAsia" w:hAnsi="Times New Roman" w:cs="Times New Roman"/>
              <w:color w:val="auto"/>
            </w:rPr>
            <w:t>目</w:t>
          </w:r>
          <w:bookmarkStart w:id="7" w:name="BKML"/>
          <w:r>
            <w:rPr>
              <w:rFonts w:hint="eastAsia" w:hAnsi="Times New Roman" w:cs="Times New Roman"/>
              <w:color w:val="auto"/>
            </w:rPr>
            <w:t>  次</w:t>
          </w:r>
          <w:bookmarkEnd w:id="7"/>
        </w:p>
        <w:p w14:paraId="303CA014">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TOC \o "1-3" \h \u </w:instrText>
          </w:r>
          <w:r>
            <w:rPr>
              <w:rFonts w:hAnsi="Times New Roman" w:cs="Times New Roman"/>
              <w:color w:val="auto"/>
              <w:sz w:val="21"/>
              <w:lang w:val="en-US" w:eastAsia="zh-CN"/>
            </w:rPr>
            <w:fldChar w:fldCharType="separate"/>
          </w: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_Toc2396 </w:instrText>
          </w:r>
          <w:r>
            <w:rPr>
              <w:rFonts w:hAnsi="Times New Roman" w:cs="Times New Roman"/>
              <w:color w:val="auto"/>
              <w:sz w:val="21"/>
              <w:lang w:val="en-US" w:eastAsia="zh-CN"/>
            </w:rPr>
            <w:fldChar w:fldCharType="separate"/>
          </w:r>
          <w:r>
            <w:rPr>
              <w:rFonts w:hint="eastAsia" w:hAnsi="Times New Roman" w:cs="Times New Roman"/>
              <w:color w:val="auto"/>
              <w:sz w:val="21"/>
            </w:rPr>
            <w:t>前  言</w:t>
          </w:r>
          <w:r>
            <w:rPr>
              <w:rFonts w:hAnsi="Times New Roman" w:cs="Times New Roman"/>
              <w:color w:val="auto"/>
              <w:sz w:val="21"/>
            </w:rPr>
            <w:tab/>
          </w:r>
          <w:r>
            <w:rPr>
              <w:rFonts w:hint="eastAsia" w:hAnsi="Times New Roman" w:cs="Times New Roman"/>
              <w:color w:val="auto"/>
              <w:sz w:val="21"/>
              <w:lang w:eastAsia="zh-CN"/>
            </w:rPr>
            <w:t>Ⅲ</w:t>
          </w:r>
          <w:r>
            <w:rPr>
              <w:rFonts w:hAnsi="Times New Roman" w:cs="Times New Roman"/>
              <w:color w:val="auto"/>
              <w:sz w:val="21"/>
              <w:lang w:val="en-US" w:eastAsia="zh-CN"/>
            </w:rPr>
            <w:fldChar w:fldCharType="end"/>
          </w:r>
        </w:p>
        <w:p w14:paraId="5BAB5F29">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_Toc23186 </w:instrText>
          </w:r>
          <w:r>
            <w:rPr>
              <w:rFonts w:hAnsi="Times New Roman" w:cs="Times New Roman"/>
              <w:color w:val="auto"/>
              <w:sz w:val="21"/>
              <w:lang w:val="en-US" w:eastAsia="zh-CN"/>
            </w:rPr>
            <w:fldChar w:fldCharType="separate"/>
          </w:r>
          <w:r>
            <w:rPr>
              <w:rFonts w:hint="eastAsia" w:hAnsi="Times New Roman" w:cs="Times New Roman"/>
              <w:color w:val="auto"/>
              <w:sz w:val="21"/>
            </w:rPr>
            <w:t>1 范围</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_Toc23186 \h </w:instrText>
          </w:r>
          <w:r>
            <w:rPr>
              <w:rFonts w:hAnsi="Times New Roman" w:cs="Times New Roman"/>
              <w:color w:val="auto"/>
              <w:sz w:val="21"/>
            </w:rPr>
            <w:fldChar w:fldCharType="separate"/>
          </w:r>
          <w:r>
            <w:rPr>
              <w:rFonts w:hAnsi="Times New Roman" w:cs="Times New Roman"/>
              <w:color w:val="auto"/>
              <w:sz w:val="21"/>
            </w:rPr>
            <w:t>1</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7CCA9042">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_Toc15821 </w:instrText>
          </w:r>
          <w:r>
            <w:rPr>
              <w:rFonts w:hAnsi="Times New Roman" w:cs="Times New Roman"/>
              <w:color w:val="auto"/>
              <w:sz w:val="21"/>
              <w:lang w:val="en-US" w:eastAsia="zh-CN"/>
            </w:rPr>
            <w:fldChar w:fldCharType="separate"/>
          </w:r>
          <w:r>
            <w:rPr>
              <w:rFonts w:hint="eastAsia" w:hAnsi="Times New Roman" w:cs="Times New Roman"/>
              <w:color w:val="auto"/>
              <w:sz w:val="21"/>
            </w:rPr>
            <w:t>2 规范性引用文件</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_Toc15821 \h </w:instrText>
          </w:r>
          <w:r>
            <w:rPr>
              <w:rFonts w:hAnsi="Times New Roman" w:cs="Times New Roman"/>
              <w:color w:val="auto"/>
              <w:sz w:val="21"/>
            </w:rPr>
            <w:fldChar w:fldCharType="separate"/>
          </w:r>
          <w:r>
            <w:rPr>
              <w:rFonts w:hAnsi="Times New Roman" w:cs="Times New Roman"/>
              <w:color w:val="auto"/>
              <w:sz w:val="21"/>
            </w:rPr>
            <w:t>1</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6C01C906">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_Toc28659 </w:instrText>
          </w:r>
          <w:r>
            <w:rPr>
              <w:rFonts w:hAnsi="Times New Roman" w:cs="Times New Roman"/>
              <w:color w:val="auto"/>
              <w:sz w:val="21"/>
              <w:lang w:val="en-US" w:eastAsia="zh-CN"/>
            </w:rPr>
            <w:fldChar w:fldCharType="separate"/>
          </w:r>
          <w:r>
            <w:rPr>
              <w:rFonts w:hint="eastAsia" w:hAnsi="Times New Roman" w:cs="Times New Roman"/>
              <w:color w:val="auto"/>
              <w:sz w:val="21"/>
            </w:rPr>
            <w:t>3 术语和定义</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_Toc28659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4F566FF1">
          <w:pPr>
            <w:pStyle w:val="21"/>
            <w:tabs>
              <w:tab w:val="right" w:leader="dot" w:pos="9241"/>
            </w:tabs>
            <w:overflowPunct/>
            <w:spacing w:before="78" w:after="78"/>
            <w:ind w:left="0" w:leftChars="0"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_Toc25770 </w:instrText>
          </w:r>
          <w:r>
            <w:rPr>
              <w:rFonts w:hAnsi="Times New Roman" w:cs="Times New Roman"/>
              <w:color w:val="auto"/>
              <w:sz w:val="21"/>
              <w:lang w:val="en-US" w:eastAsia="zh-CN"/>
            </w:rPr>
            <w:fldChar w:fldCharType="separate"/>
          </w:r>
          <w:r>
            <w:rPr>
              <w:rFonts w:hint="eastAsia" w:hAnsi="Times New Roman" w:cs="Times New Roman"/>
              <w:color w:val="auto"/>
              <w:sz w:val="21"/>
            </w:rPr>
            <w:t>3.1 排土场（废石堆）生态修复工程</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_Toc25770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5D8741C5">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_Toc18685 </w:instrText>
          </w:r>
          <w:r>
            <w:rPr>
              <w:rFonts w:hAnsi="Times New Roman" w:cs="Times New Roman"/>
              <w:color w:val="auto"/>
              <w:sz w:val="21"/>
              <w:lang w:val="en-US" w:eastAsia="zh-CN"/>
            </w:rPr>
            <w:fldChar w:fldCharType="separate"/>
          </w:r>
          <w:r>
            <w:rPr>
              <w:rFonts w:hint="eastAsia" w:hAnsi="Times New Roman" w:cs="Times New Roman"/>
              <w:color w:val="auto"/>
              <w:sz w:val="21"/>
            </w:rPr>
            <w:t xml:space="preserve">3.2 </w:t>
          </w:r>
          <w:r>
            <w:rPr>
              <w:rFonts w:hint="eastAsia" w:hAnsi="Times New Roman" w:cs="Times New Roman"/>
              <w:color w:val="auto"/>
              <w:sz w:val="21"/>
              <w:lang w:val="en-US" w:eastAsia="zh-CN"/>
            </w:rPr>
            <w:t>生态</w:t>
          </w:r>
          <w:r>
            <w:rPr>
              <w:rFonts w:hint="eastAsia" w:hAnsi="Times New Roman" w:cs="Times New Roman"/>
              <w:color w:val="auto"/>
              <w:sz w:val="21"/>
            </w:rPr>
            <w:t>修复工程验收</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_Toc18685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2508ABB5">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_Toc26830 </w:instrText>
          </w:r>
          <w:r>
            <w:rPr>
              <w:rFonts w:hAnsi="Times New Roman" w:cs="Times New Roman"/>
              <w:color w:val="auto"/>
              <w:sz w:val="21"/>
              <w:lang w:val="en-US" w:eastAsia="zh-CN"/>
            </w:rPr>
            <w:fldChar w:fldCharType="separate"/>
          </w:r>
          <w:r>
            <w:rPr>
              <w:rFonts w:hint="eastAsia" w:hAnsi="Times New Roman" w:cs="Times New Roman"/>
              <w:color w:val="auto"/>
              <w:sz w:val="21"/>
            </w:rPr>
            <w:t>4 总体要求</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_Toc26830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27C185C">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_Toc9837 </w:instrText>
          </w:r>
          <w:r>
            <w:rPr>
              <w:rFonts w:hAnsi="Times New Roman" w:cs="Times New Roman"/>
              <w:color w:val="auto"/>
              <w:sz w:val="21"/>
              <w:lang w:val="en-US" w:eastAsia="zh-CN"/>
            </w:rPr>
            <w:fldChar w:fldCharType="separate"/>
          </w:r>
          <w:r>
            <w:rPr>
              <w:rFonts w:hint="eastAsia" w:hAnsi="Times New Roman" w:cs="Times New Roman"/>
              <w:color w:val="auto"/>
              <w:sz w:val="21"/>
            </w:rPr>
            <w:t>4.1 基本原则</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_Toc9837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7DC51A1">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_Toc19467 </w:instrText>
          </w:r>
          <w:r>
            <w:rPr>
              <w:rFonts w:hAnsi="Times New Roman" w:cs="Times New Roman"/>
              <w:color w:val="auto"/>
              <w:sz w:val="21"/>
              <w:lang w:val="en-US" w:eastAsia="zh-CN"/>
            </w:rPr>
            <w:fldChar w:fldCharType="separate"/>
          </w:r>
          <w:r>
            <w:rPr>
              <w:rFonts w:hint="eastAsia" w:hAnsi="Times New Roman" w:cs="Times New Roman"/>
              <w:color w:val="auto"/>
              <w:sz w:val="21"/>
            </w:rPr>
            <w:t>4.2 验收依据</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_Toc19467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F1FC4DD">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_Toc24240 </w:instrText>
          </w:r>
          <w:r>
            <w:rPr>
              <w:rFonts w:hAnsi="Times New Roman" w:cs="Times New Roman"/>
              <w:color w:val="auto"/>
              <w:sz w:val="21"/>
              <w:lang w:val="en-US" w:eastAsia="zh-CN"/>
            </w:rPr>
            <w:fldChar w:fldCharType="separate"/>
          </w:r>
          <w:r>
            <w:rPr>
              <w:rFonts w:hint="eastAsia" w:hAnsi="Times New Roman" w:cs="Times New Roman"/>
              <w:color w:val="auto"/>
              <w:sz w:val="21"/>
            </w:rPr>
            <w:t>4.3 工作流程</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_Toc24240 \h </w:instrText>
          </w:r>
          <w:r>
            <w:rPr>
              <w:rFonts w:hAnsi="Times New Roman" w:cs="Times New Roman"/>
              <w:color w:val="auto"/>
              <w:sz w:val="21"/>
            </w:rPr>
            <w:fldChar w:fldCharType="separate"/>
          </w:r>
          <w:r>
            <w:rPr>
              <w:rFonts w:hAnsi="Times New Roman" w:cs="Times New Roman"/>
              <w:color w:val="auto"/>
              <w:sz w:val="21"/>
            </w:rPr>
            <w:t>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1B93E3D0">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_Toc32627 </w:instrText>
          </w:r>
          <w:r>
            <w:rPr>
              <w:rFonts w:hAnsi="Times New Roman" w:cs="Times New Roman"/>
              <w:color w:val="auto"/>
              <w:sz w:val="21"/>
              <w:lang w:val="en-US" w:eastAsia="zh-CN"/>
            </w:rPr>
            <w:fldChar w:fldCharType="separate"/>
          </w:r>
          <w:r>
            <w:rPr>
              <w:rFonts w:hint="eastAsia" w:hAnsi="Times New Roman" w:cs="Times New Roman"/>
              <w:color w:val="auto"/>
              <w:sz w:val="21"/>
            </w:rPr>
            <w:t>4.4 工程验收结论</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_Toc32627 \h </w:instrText>
          </w:r>
          <w:r>
            <w:rPr>
              <w:rFonts w:hAnsi="Times New Roman" w:cs="Times New Roman"/>
              <w:color w:val="auto"/>
              <w:sz w:val="21"/>
            </w:rPr>
            <w:fldChar w:fldCharType="separate"/>
          </w:r>
          <w:r>
            <w:rPr>
              <w:rFonts w:hAnsi="Times New Roman" w:cs="Times New Roman"/>
              <w:color w:val="auto"/>
              <w:sz w:val="21"/>
            </w:rPr>
            <w:t>3</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4EAC9FF3">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_Toc10627 </w:instrText>
          </w:r>
          <w:r>
            <w:rPr>
              <w:rFonts w:hAnsi="Times New Roman" w:cs="Times New Roman"/>
              <w:color w:val="auto"/>
              <w:sz w:val="21"/>
              <w:lang w:val="en-US" w:eastAsia="zh-CN"/>
            </w:rPr>
            <w:fldChar w:fldCharType="separate"/>
          </w:r>
          <w:r>
            <w:rPr>
              <w:rFonts w:hint="eastAsia" w:hAnsi="Times New Roman" w:cs="Times New Roman"/>
              <w:color w:val="auto"/>
              <w:sz w:val="21"/>
            </w:rPr>
            <w:t>4.5 工程验收资料</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_Toc10627 \h </w:instrText>
          </w:r>
          <w:r>
            <w:rPr>
              <w:rFonts w:hAnsi="Times New Roman" w:cs="Times New Roman"/>
              <w:color w:val="auto"/>
              <w:sz w:val="21"/>
            </w:rPr>
            <w:fldChar w:fldCharType="separate"/>
          </w:r>
          <w:r>
            <w:rPr>
              <w:rFonts w:hAnsi="Times New Roman" w:cs="Times New Roman"/>
              <w:color w:val="auto"/>
              <w:sz w:val="21"/>
            </w:rPr>
            <w:t>3</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515E7F8">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_Toc765 </w:instrText>
          </w:r>
          <w:r>
            <w:rPr>
              <w:rFonts w:hAnsi="Times New Roman" w:cs="Times New Roman"/>
              <w:color w:val="auto"/>
              <w:sz w:val="21"/>
              <w:lang w:val="en-US" w:eastAsia="zh-CN"/>
            </w:rPr>
            <w:fldChar w:fldCharType="separate"/>
          </w:r>
          <w:r>
            <w:rPr>
              <w:rFonts w:hint="eastAsia" w:hAnsi="Times New Roman" w:cs="Times New Roman"/>
              <w:color w:val="auto"/>
              <w:sz w:val="21"/>
            </w:rPr>
            <w:t>5 验收组织与程序</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_Toc765 \h </w:instrText>
          </w:r>
          <w:r>
            <w:rPr>
              <w:rFonts w:hAnsi="Times New Roman" w:cs="Times New Roman"/>
              <w:color w:val="auto"/>
              <w:sz w:val="21"/>
            </w:rPr>
            <w:fldChar w:fldCharType="separate"/>
          </w:r>
          <w:r>
            <w:rPr>
              <w:rFonts w:hAnsi="Times New Roman" w:cs="Times New Roman"/>
              <w:color w:val="auto"/>
              <w:sz w:val="21"/>
            </w:rPr>
            <w:t>4</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B38C922">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_Toc14722 </w:instrText>
          </w:r>
          <w:r>
            <w:rPr>
              <w:rFonts w:hAnsi="Times New Roman" w:cs="Times New Roman"/>
              <w:color w:val="auto"/>
              <w:sz w:val="21"/>
              <w:lang w:val="en-US" w:eastAsia="zh-CN"/>
            </w:rPr>
            <w:fldChar w:fldCharType="separate"/>
          </w:r>
          <w:r>
            <w:rPr>
              <w:rFonts w:hint="eastAsia" w:hAnsi="Times New Roman" w:cs="Times New Roman"/>
              <w:color w:val="auto"/>
              <w:sz w:val="21"/>
            </w:rPr>
            <w:t>5.1 验收组织</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_Toc14722 \h </w:instrText>
          </w:r>
          <w:r>
            <w:rPr>
              <w:rFonts w:hAnsi="Times New Roman" w:cs="Times New Roman"/>
              <w:color w:val="auto"/>
              <w:sz w:val="21"/>
            </w:rPr>
            <w:fldChar w:fldCharType="separate"/>
          </w:r>
          <w:r>
            <w:rPr>
              <w:rFonts w:hAnsi="Times New Roman" w:cs="Times New Roman"/>
              <w:color w:val="auto"/>
              <w:sz w:val="21"/>
            </w:rPr>
            <w:t>4</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7AAD50A8">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_Toc12104 </w:instrText>
          </w:r>
          <w:r>
            <w:rPr>
              <w:rFonts w:hAnsi="Times New Roman" w:cs="Times New Roman"/>
              <w:color w:val="auto"/>
              <w:sz w:val="21"/>
              <w:lang w:val="en-US" w:eastAsia="zh-CN"/>
            </w:rPr>
            <w:fldChar w:fldCharType="separate"/>
          </w:r>
          <w:r>
            <w:rPr>
              <w:rFonts w:hint="eastAsia" w:hAnsi="Times New Roman" w:cs="Times New Roman"/>
              <w:color w:val="auto"/>
              <w:sz w:val="21"/>
            </w:rPr>
            <w:t>5.2 验收程序</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_Toc12104 \h </w:instrText>
          </w:r>
          <w:r>
            <w:rPr>
              <w:rFonts w:hAnsi="Times New Roman" w:cs="Times New Roman"/>
              <w:color w:val="auto"/>
              <w:sz w:val="21"/>
            </w:rPr>
            <w:fldChar w:fldCharType="separate"/>
          </w:r>
          <w:r>
            <w:rPr>
              <w:rFonts w:hAnsi="Times New Roman" w:cs="Times New Roman"/>
              <w:color w:val="auto"/>
              <w:sz w:val="21"/>
            </w:rPr>
            <w:t>4</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1E0620A">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_Toc7007 </w:instrText>
          </w:r>
          <w:r>
            <w:rPr>
              <w:rFonts w:hAnsi="Times New Roman" w:cs="Times New Roman"/>
              <w:color w:val="auto"/>
              <w:sz w:val="21"/>
              <w:lang w:val="en-US" w:eastAsia="zh-CN"/>
            </w:rPr>
            <w:fldChar w:fldCharType="separate"/>
          </w:r>
          <w:r>
            <w:rPr>
              <w:rFonts w:hint="eastAsia" w:hAnsi="Times New Roman" w:cs="Times New Roman"/>
              <w:color w:val="auto"/>
              <w:sz w:val="21"/>
            </w:rPr>
            <w:t>6 工程验收形式和内容</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_Toc7007 \h </w:instrText>
          </w:r>
          <w:r>
            <w:rPr>
              <w:rFonts w:hAnsi="Times New Roman" w:cs="Times New Roman"/>
              <w:color w:val="auto"/>
              <w:sz w:val="21"/>
            </w:rPr>
            <w:fldChar w:fldCharType="separate"/>
          </w:r>
          <w:r>
            <w:rPr>
              <w:rFonts w:hAnsi="Times New Roman" w:cs="Times New Roman"/>
              <w:color w:val="auto"/>
              <w:sz w:val="21"/>
            </w:rPr>
            <w:t>4</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E79ACE9">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_Toc25231 </w:instrText>
          </w:r>
          <w:r>
            <w:rPr>
              <w:rFonts w:hAnsi="Times New Roman" w:cs="Times New Roman"/>
              <w:color w:val="auto"/>
              <w:sz w:val="21"/>
              <w:lang w:val="en-US" w:eastAsia="zh-CN"/>
            </w:rPr>
            <w:fldChar w:fldCharType="separate"/>
          </w:r>
          <w:r>
            <w:rPr>
              <w:rFonts w:hint="eastAsia" w:hAnsi="Times New Roman" w:cs="Times New Roman"/>
              <w:color w:val="auto"/>
              <w:sz w:val="21"/>
            </w:rPr>
            <w:t>6.1 工程验收形式</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_Toc25231 \h </w:instrText>
          </w:r>
          <w:r>
            <w:rPr>
              <w:rFonts w:hAnsi="Times New Roman" w:cs="Times New Roman"/>
              <w:color w:val="auto"/>
              <w:sz w:val="21"/>
            </w:rPr>
            <w:fldChar w:fldCharType="separate"/>
          </w:r>
          <w:r>
            <w:rPr>
              <w:rFonts w:hAnsi="Times New Roman" w:cs="Times New Roman"/>
              <w:color w:val="auto"/>
              <w:sz w:val="21"/>
            </w:rPr>
            <w:t>4</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446F3611">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_Toc20371 </w:instrText>
          </w:r>
          <w:r>
            <w:rPr>
              <w:rFonts w:hAnsi="Times New Roman" w:cs="Times New Roman"/>
              <w:color w:val="auto"/>
              <w:sz w:val="21"/>
              <w:lang w:val="en-US" w:eastAsia="zh-CN"/>
            </w:rPr>
            <w:fldChar w:fldCharType="separate"/>
          </w:r>
          <w:r>
            <w:rPr>
              <w:rFonts w:hint="eastAsia" w:hAnsi="Times New Roman" w:cs="Times New Roman"/>
              <w:color w:val="auto"/>
              <w:sz w:val="21"/>
            </w:rPr>
            <w:t>6.2 工程验收验收组审查意见</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_Toc20371 \h </w:instrText>
          </w:r>
          <w:r>
            <w:rPr>
              <w:rFonts w:hAnsi="Times New Roman" w:cs="Times New Roman"/>
              <w:color w:val="auto"/>
              <w:sz w:val="21"/>
            </w:rPr>
            <w:fldChar w:fldCharType="separate"/>
          </w:r>
          <w:r>
            <w:rPr>
              <w:rFonts w:hAnsi="Times New Roman" w:cs="Times New Roman"/>
              <w:color w:val="auto"/>
              <w:sz w:val="21"/>
            </w:rPr>
            <w:t>5</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500DB1C1">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_Toc20991 </w:instrText>
          </w:r>
          <w:r>
            <w:rPr>
              <w:rFonts w:hAnsi="Times New Roman" w:cs="Times New Roman"/>
              <w:color w:val="auto"/>
              <w:sz w:val="21"/>
              <w:lang w:val="en-US" w:eastAsia="zh-CN"/>
            </w:rPr>
            <w:fldChar w:fldCharType="separate"/>
          </w:r>
          <w:r>
            <w:rPr>
              <w:rFonts w:hint="eastAsia" w:hAnsi="Times New Roman" w:cs="Times New Roman"/>
              <w:color w:val="auto"/>
              <w:sz w:val="21"/>
            </w:rPr>
            <w:t>6.3 工程验收内容和要求</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_Toc20991 \h </w:instrText>
          </w:r>
          <w:r>
            <w:rPr>
              <w:rFonts w:hAnsi="Times New Roman" w:cs="Times New Roman"/>
              <w:color w:val="auto"/>
              <w:sz w:val="21"/>
            </w:rPr>
            <w:fldChar w:fldCharType="separate"/>
          </w:r>
          <w:r>
            <w:rPr>
              <w:rFonts w:hAnsi="Times New Roman" w:cs="Times New Roman"/>
              <w:color w:val="auto"/>
              <w:sz w:val="21"/>
            </w:rPr>
            <w:t>5</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71605647">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_Toc31425 </w:instrText>
          </w:r>
          <w:r>
            <w:rPr>
              <w:rFonts w:hAnsi="Times New Roman" w:cs="Times New Roman"/>
              <w:color w:val="auto"/>
              <w:sz w:val="21"/>
              <w:lang w:val="en-US" w:eastAsia="zh-CN"/>
            </w:rPr>
            <w:fldChar w:fldCharType="separate"/>
          </w:r>
          <w:r>
            <w:rPr>
              <w:rFonts w:hint="eastAsia" w:hAnsi="Times New Roman" w:cs="Times New Roman"/>
              <w:color w:val="auto"/>
              <w:sz w:val="21"/>
            </w:rPr>
            <w:t>7 工程自验</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_Toc31425 \h </w:instrText>
          </w:r>
          <w:r>
            <w:rPr>
              <w:rFonts w:hAnsi="Times New Roman" w:cs="Times New Roman"/>
              <w:color w:val="auto"/>
              <w:sz w:val="21"/>
            </w:rPr>
            <w:fldChar w:fldCharType="separate"/>
          </w:r>
          <w:r>
            <w:rPr>
              <w:rFonts w:hAnsi="Times New Roman" w:cs="Times New Roman"/>
              <w:color w:val="auto"/>
              <w:sz w:val="21"/>
            </w:rPr>
            <w:t>6</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04610D4">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_Toc2841 </w:instrText>
          </w:r>
          <w:r>
            <w:rPr>
              <w:rFonts w:hAnsi="Times New Roman" w:cs="Times New Roman"/>
              <w:color w:val="auto"/>
              <w:sz w:val="21"/>
              <w:lang w:val="en-US" w:eastAsia="zh-CN"/>
            </w:rPr>
            <w:fldChar w:fldCharType="separate"/>
          </w:r>
          <w:r>
            <w:rPr>
              <w:rFonts w:hint="eastAsia" w:hAnsi="Times New Roman" w:cs="Times New Roman"/>
              <w:color w:val="auto"/>
              <w:sz w:val="21"/>
            </w:rPr>
            <w:t>7.1 工程自验内容</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_Toc2841 \h </w:instrText>
          </w:r>
          <w:r>
            <w:rPr>
              <w:rFonts w:hAnsi="Times New Roman" w:cs="Times New Roman"/>
              <w:color w:val="auto"/>
              <w:sz w:val="21"/>
            </w:rPr>
            <w:fldChar w:fldCharType="separate"/>
          </w:r>
          <w:r>
            <w:rPr>
              <w:rFonts w:hAnsi="Times New Roman" w:cs="Times New Roman"/>
              <w:color w:val="auto"/>
              <w:sz w:val="21"/>
            </w:rPr>
            <w:t>6</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65DE847D">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_Toc10799 </w:instrText>
          </w:r>
          <w:r>
            <w:rPr>
              <w:rFonts w:hAnsi="Times New Roman" w:cs="Times New Roman"/>
              <w:color w:val="auto"/>
              <w:sz w:val="21"/>
              <w:lang w:val="en-US" w:eastAsia="zh-CN"/>
            </w:rPr>
            <w:fldChar w:fldCharType="separate"/>
          </w:r>
          <w:r>
            <w:rPr>
              <w:rFonts w:hint="eastAsia" w:hAnsi="Times New Roman" w:cs="Times New Roman"/>
              <w:color w:val="auto"/>
              <w:sz w:val="21"/>
            </w:rPr>
            <w:t>7.2 工程自验通过条件</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_Toc10799 \h </w:instrText>
          </w:r>
          <w:r>
            <w:rPr>
              <w:rFonts w:hAnsi="Times New Roman" w:cs="Times New Roman"/>
              <w:color w:val="auto"/>
              <w:sz w:val="21"/>
            </w:rPr>
            <w:fldChar w:fldCharType="separate"/>
          </w:r>
          <w:r>
            <w:rPr>
              <w:rFonts w:hAnsi="Times New Roman" w:cs="Times New Roman"/>
              <w:color w:val="auto"/>
              <w:sz w:val="21"/>
            </w:rPr>
            <w:t>6</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104510B0">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_Toc19649 </w:instrText>
          </w:r>
          <w:r>
            <w:rPr>
              <w:rFonts w:hAnsi="Times New Roman" w:cs="Times New Roman"/>
              <w:color w:val="auto"/>
              <w:sz w:val="21"/>
              <w:lang w:val="en-US" w:eastAsia="zh-CN"/>
            </w:rPr>
            <w:fldChar w:fldCharType="separate"/>
          </w:r>
          <w:r>
            <w:rPr>
              <w:rFonts w:hint="eastAsia" w:hAnsi="Times New Roman" w:cs="Times New Roman"/>
              <w:color w:val="auto"/>
              <w:sz w:val="21"/>
            </w:rPr>
            <w:t>8 工程最终验收</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_Toc19649 \h </w:instrText>
          </w:r>
          <w:r>
            <w:rPr>
              <w:rFonts w:hAnsi="Times New Roman" w:cs="Times New Roman"/>
              <w:color w:val="auto"/>
              <w:sz w:val="21"/>
            </w:rPr>
            <w:fldChar w:fldCharType="separate"/>
          </w:r>
          <w:r>
            <w:rPr>
              <w:rFonts w:hAnsi="Times New Roman" w:cs="Times New Roman"/>
              <w:color w:val="auto"/>
              <w:sz w:val="21"/>
            </w:rPr>
            <w:t>6</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2223B86">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_Toc21755 </w:instrText>
          </w:r>
          <w:r>
            <w:rPr>
              <w:rFonts w:hAnsi="Times New Roman" w:cs="Times New Roman"/>
              <w:color w:val="auto"/>
              <w:sz w:val="21"/>
              <w:lang w:val="en-US" w:eastAsia="zh-CN"/>
            </w:rPr>
            <w:fldChar w:fldCharType="separate"/>
          </w:r>
          <w:r>
            <w:rPr>
              <w:rFonts w:hint="eastAsia" w:hAnsi="Times New Roman" w:cs="Times New Roman"/>
              <w:color w:val="auto"/>
              <w:sz w:val="21"/>
            </w:rPr>
            <w:t>8.1 工程最终验收的条件与依据</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_Toc21755 \h </w:instrText>
          </w:r>
          <w:r>
            <w:rPr>
              <w:rFonts w:hAnsi="Times New Roman" w:cs="Times New Roman"/>
              <w:color w:val="auto"/>
              <w:sz w:val="21"/>
            </w:rPr>
            <w:fldChar w:fldCharType="separate"/>
          </w:r>
          <w:r>
            <w:rPr>
              <w:rFonts w:hAnsi="Times New Roman" w:cs="Times New Roman"/>
              <w:color w:val="auto"/>
              <w:sz w:val="21"/>
            </w:rPr>
            <w:t>6</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4C132BDE">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_Toc24106 </w:instrText>
          </w:r>
          <w:r>
            <w:rPr>
              <w:rFonts w:hAnsi="Times New Roman" w:cs="Times New Roman"/>
              <w:color w:val="auto"/>
              <w:sz w:val="21"/>
              <w:lang w:val="en-US" w:eastAsia="zh-CN"/>
            </w:rPr>
            <w:fldChar w:fldCharType="separate"/>
          </w:r>
          <w:r>
            <w:rPr>
              <w:rFonts w:hint="eastAsia" w:hAnsi="Times New Roman" w:cs="Times New Roman"/>
              <w:color w:val="auto"/>
              <w:sz w:val="21"/>
            </w:rPr>
            <w:t>8.2 工程最终验收的内容要求</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_Toc24106 \h </w:instrText>
          </w:r>
          <w:r>
            <w:rPr>
              <w:rFonts w:hAnsi="Times New Roman" w:cs="Times New Roman"/>
              <w:color w:val="auto"/>
              <w:sz w:val="21"/>
            </w:rPr>
            <w:fldChar w:fldCharType="separate"/>
          </w:r>
          <w:r>
            <w:rPr>
              <w:rFonts w:hAnsi="Times New Roman" w:cs="Times New Roman"/>
              <w:color w:val="auto"/>
              <w:sz w:val="21"/>
            </w:rPr>
            <w:t>7</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9BEC2FE">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_Toc18421 </w:instrText>
          </w:r>
          <w:r>
            <w:rPr>
              <w:rFonts w:hAnsi="Times New Roman" w:cs="Times New Roman"/>
              <w:color w:val="auto"/>
              <w:sz w:val="21"/>
              <w:lang w:val="en-US" w:eastAsia="zh-CN"/>
            </w:rPr>
            <w:fldChar w:fldCharType="separate"/>
          </w:r>
          <w:r>
            <w:rPr>
              <w:rFonts w:hint="eastAsia" w:hAnsi="Times New Roman" w:cs="Times New Roman"/>
              <w:color w:val="auto"/>
              <w:sz w:val="21"/>
            </w:rPr>
            <w:t>8.3 工程最终验收内容</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_Toc18421 \h </w:instrText>
          </w:r>
          <w:r>
            <w:rPr>
              <w:rFonts w:hAnsi="Times New Roman" w:cs="Times New Roman"/>
              <w:color w:val="auto"/>
              <w:sz w:val="21"/>
            </w:rPr>
            <w:fldChar w:fldCharType="separate"/>
          </w:r>
          <w:r>
            <w:rPr>
              <w:rFonts w:hAnsi="Times New Roman" w:cs="Times New Roman"/>
              <w:color w:val="auto"/>
              <w:sz w:val="21"/>
            </w:rPr>
            <w:t>7</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7D140E24">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_Toc31170 </w:instrText>
          </w:r>
          <w:r>
            <w:rPr>
              <w:rFonts w:hAnsi="Times New Roman" w:cs="Times New Roman"/>
              <w:color w:val="auto"/>
              <w:sz w:val="21"/>
              <w:lang w:val="en-US" w:eastAsia="zh-CN"/>
            </w:rPr>
            <w:fldChar w:fldCharType="separate"/>
          </w:r>
          <w:r>
            <w:rPr>
              <w:rFonts w:hint="eastAsia" w:hAnsi="Times New Roman" w:cs="Times New Roman"/>
              <w:color w:val="auto"/>
              <w:sz w:val="21"/>
            </w:rPr>
            <w:t>8.4 工程最终验收通过条件</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_Toc31170 \h </w:instrText>
          </w:r>
          <w:r>
            <w:rPr>
              <w:rFonts w:hAnsi="Times New Roman" w:cs="Times New Roman"/>
              <w:color w:val="auto"/>
              <w:sz w:val="21"/>
            </w:rPr>
            <w:fldChar w:fldCharType="separate"/>
          </w:r>
          <w:r>
            <w:rPr>
              <w:rFonts w:hAnsi="Times New Roman" w:cs="Times New Roman"/>
              <w:color w:val="auto"/>
              <w:sz w:val="21"/>
            </w:rPr>
            <w:t>8</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6F1022E">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_Toc22849 </w:instrText>
          </w:r>
          <w:r>
            <w:rPr>
              <w:rFonts w:hAnsi="Times New Roman" w:cs="Times New Roman"/>
              <w:color w:val="auto"/>
              <w:sz w:val="21"/>
              <w:lang w:val="en-US" w:eastAsia="zh-CN"/>
            </w:rPr>
            <w:fldChar w:fldCharType="separate"/>
          </w:r>
          <w:r>
            <w:rPr>
              <w:rFonts w:hint="eastAsia" w:hAnsi="Times New Roman" w:cs="Times New Roman"/>
              <w:color w:val="auto"/>
              <w:sz w:val="21"/>
            </w:rPr>
            <w:t>9 移交归档</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_Toc22849 \h </w:instrText>
          </w:r>
          <w:r>
            <w:rPr>
              <w:rFonts w:hAnsi="Times New Roman" w:cs="Times New Roman"/>
              <w:color w:val="auto"/>
              <w:sz w:val="21"/>
            </w:rPr>
            <w:fldChar w:fldCharType="separate"/>
          </w:r>
          <w:r>
            <w:rPr>
              <w:rFonts w:hAnsi="Times New Roman" w:cs="Times New Roman"/>
              <w:color w:val="auto"/>
              <w:sz w:val="21"/>
            </w:rPr>
            <w:t>8</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5AE73226">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_Toc21698 </w:instrText>
          </w:r>
          <w:r>
            <w:rPr>
              <w:rFonts w:hAnsi="Times New Roman" w:cs="Times New Roman"/>
              <w:color w:val="auto"/>
              <w:sz w:val="21"/>
              <w:lang w:val="en-US" w:eastAsia="zh-CN"/>
            </w:rPr>
            <w:fldChar w:fldCharType="separate"/>
          </w:r>
          <w:r>
            <w:rPr>
              <w:rFonts w:hint="eastAsia" w:hAnsi="Times New Roman" w:cs="Times New Roman"/>
              <w:color w:val="auto"/>
              <w:sz w:val="21"/>
            </w:rPr>
            <w:t>9.1 移交管护</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_Toc21698 \h </w:instrText>
          </w:r>
          <w:r>
            <w:rPr>
              <w:rFonts w:hAnsi="Times New Roman" w:cs="Times New Roman"/>
              <w:color w:val="auto"/>
              <w:sz w:val="21"/>
            </w:rPr>
            <w:fldChar w:fldCharType="separate"/>
          </w:r>
          <w:r>
            <w:rPr>
              <w:rFonts w:hAnsi="Times New Roman" w:cs="Times New Roman"/>
              <w:color w:val="auto"/>
              <w:sz w:val="21"/>
            </w:rPr>
            <w:t>8</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527E3626">
          <w:pPr>
            <w:pStyle w:val="21"/>
            <w:tabs>
              <w:tab w:val="right" w:leader="dot" w:pos="9241"/>
            </w:tabs>
            <w:overflowPunct/>
            <w:spacing w:before="78" w:after="78"/>
            <w:ind w:firstLine="210" w:firstLineChars="10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_Toc27192 </w:instrText>
          </w:r>
          <w:r>
            <w:rPr>
              <w:rFonts w:hAnsi="Times New Roman" w:cs="Times New Roman"/>
              <w:color w:val="auto"/>
              <w:sz w:val="21"/>
              <w:lang w:val="en-US" w:eastAsia="zh-CN"/>
            </w:rPr>
            <w:fldChar w:fldCharType="separate"/>
          </w:r>
          <w:r>
            <w:rPr>
              <w:rFonts w:hint="eastAsia" w:hAnsi="Times New Roman" w:cs="Times New Roman"/>
              <w:color w:val="auto"/>
              <w:sz w:val="21"/>
            </w:rPr>
            <w:t>9.2 资料归档</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_Toc27192 \h </w:instrText>
          </w:r>
          <w:r>
            <w:rPr>
              <w:rFonts w:hAnsi="Times New Roman" w:cs="Times New Roman"/>
              <w:color w:val="auto"/>
              <w:sz w:val="21"/>
            </w:rPr>
            <w:fldChar w:fldCharType="separate"/>
          </w:r>
          <w:r>
            <w:rPr>
              <w:rFonts w:hAnsi="Times New Roman" w:cs="Times New Roman"/>
              <w:color w:val="auto"/>
              <w:sz w:val="21"/>
            </w:rPr>
            <w:t>8</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82D374E">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_Toc20504 </w:instrText>
          </w:r>
          <w:r>
            <w:rPr>
              <w:rFonts w:hAnsi="Times New Roman" w:cs="Times New Roman"/>
              <w:color w:val="auto"/>
              <w:sz w:val="21"/>
              <w:lang w:val="en-US" w:eastAsia="zh-CN"/>
            </w:rPr>
            <w:fldChar w:fldCharType="separate"/>
          </w:r>
          <w:r>
            <w:rPr>
              <w:rFonts w:hint="eastAsia" w:hAnsi="Times New Roman" w:cs="Times New Roman"/>
              <w:color w:val="auto"/>
              <w:sz w:val="21"/>
            </w:rPr>
            <w:t xml:space="preserve">附　录　A </w:t>
          </w:r>
          <w:r>
            <w:rPr>
              <w:rFonts w:hAnsi="Times New Roman" w:cs="Times New Roman"/>
              <w:color w:val="auto"/>
              <w:sz w:val="21"/>
            </w:rPr>
            <w:t xml:space="preserve"> （</w:t>
          </w:r>
          <w:r>
            <w:rPr>
              <w:rFonts w:hint="eastAsia" w:hAnsi="Times New Roman" w:cs="Times New Roman"/>
              <w:color w:val="auto"/>
              <w:sz w:val="21"/>
            </w:rPr>
            <w:t>资料</w:t>
          </w:r>
          <w:r>
            <w:rPr>
              <w:rFonts w:hAnsi="Times New Roman" w:cs="Times New Roman"/>
              <w:color w:val="auto"/>
              <w:sz w:val="21"/>
            </w:rPr>
            <w:t xml:space="preserve">性） </w:t>
          </w:r>
          <w:r>
            <w:rPr>
              <w:rFonts w:hint="eastAsia" w:hAnsi="Times New Roman" w:cs="Times New Roman"/>
              <w:color w:val="auto"/>
              <w:sz w:val="21"/>
              <w:lang w:eastAsia="zh-CN"/>
            </w:rPr>
            <w:t>排土场（废石堆）</w:t>
          </w:r>
          <w:r>
            <w:rPr>
              <w:rFonts w:hint="eastAsia" w:hAnsi="Times New Roman" w:cs="Times New Roman"/>
              <w:color w:val="auto"/>
              <w:sz w:val="21"/>
            </w:rPr>
            <w:t>生态修复效果评估</w:t>
          </w:r>
          <w:r>
            <w:rPr>
              <w:rFonts w:hAnsi="Times New Roman" w:cs="Times New Roman"/>
              <w:color w:val="auto"/>
              <w:sz w:val="21"/>
            </w:rPr>
            <w:t>报告编写提纲</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_Toc20504 \h </w:instrText>
          </w:r>
          <w:r>
            <w:rPr>
              <w:rFonts w:hAnsi="Times New Roman" w:cs="Times New Roman"/>
              <w:color w:val="auto"/>
              <w:sz w:val="21"/>
            </w:rPr>
            <w:fldChar w:fldCharType="separate"/>
          </w:r>
          <w:r>
            <w:rPr>
              <w:rFonts w:hAnsi="Times New Roman" w:cs="Times New Roman"/>
              <w:color w:val="auto"/>
              <w:sz w:val="21"/>
            </w:rPr>
            <w:t>9</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0B407836">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_Toc12575 </w:instrText>
          </w:r>
          <w:r>
            <w:rPr>
              <w:rFonts w:hAnsi="Times New Roman" w:cs="Times New Roman"/>
              <w:color w:val="auto"/>
              <w:sz w:val="21"/>
              <w:lang w:val="en-US" w:eastAsia="zh-CN"/>
            </w:rPr>
            <w:fldChar w:fldCharType="separate"/>
          </w:r>
          <w:r>
            <w:rPr>
              <w:rFonts w:hint="eastAsia" w:hAnsi="Times New Roman" w:cs="Times New Roman"/>
              <w:color w:val="auto"/>
              <w:sz w:val="21"/>
            </w:rPr>
            <w:t xml:space="preserve">附　录　B </w:t>
          </w:r>
          <w:r>
            <w:rPr>
              <w:rFonts w:hAnsi="Times New Roman" w:cs="Times New Roman"/>
              <w:color w:val="auto"/>
              <w:sz w:val="21"/>
            </w:rPr>
            <w:t xml:space="preserve"> （规范性） </w:t>
          </w:r>
          <w:r>
            <w:rPr>
              <w:rFonts w:hint="eastAsia" w:hAnsi="Times New Roman" w:cs="Times New Roman"/>
              <w:color w:val="auto"/>
              <w:sz w:val="21"/>
              <w:lang w:eastAsia="zh-CN"/>
            </w:rPr>
            <w:t>排土场（废石堆）</w:t>
          </w:r>
          <w:r>
            <w:rPr>
              <w:rFonts w:hint="eastAsia" w:hAnsi="Times New Roman" w:cs="Times New Roman"/>
              <w:color w:val="auto"/>
              <w:sz w:val="21"/>
            </w:rPr>
            <w:t>生态修复工程验收资料清单</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_Toc12575 \h </w:instrText>
          </w:r>
          <w:r>
            <w:rPr>
              <w:rFonts w:hAnsi="Times New Roman" w:cs="Times New Roman"/>
              <w:color w:val="auto"/>
              <w:sz w:val="21"/>
            </w:rPr>
            <w:fldChar w:fldCharType="separate"/>
          </w:r>
          <w:r>
            <w:rPr>
              <w:rFonts w:hAnsi="Times New Roman" w:cs="Times New Roman"/>
              <w:color w:val="auto"/>
              <w:sz w:val="21"/>
            </w:rPr>
            <w:t>10</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2B063E87">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_Toc16971 </w:instrText>
          </w:r>
          <w:r>
            <w:rPr>
              <w:rFonts w:hAnsi="Times New Roman" w:cs="Times New Roman"/>
              <w:color w:val="auto"/>
              <w:sz w:val="21"/>
              <w:lang w:val="en-US" w:eastAsia="zh-CN"/>
            </w:rPr>
            <w:fldChar w:fldCharType="separate"/>
          </w:r>
          <w:r>
            <w:rPr>
              <w:rFonts w:hint="eastAsia" w:hAnsi="Times New Roman" w:cs="Times New Roman"/>
              <w:color w:val="auto"/>
              <w:sz w:val="21"/>
            </w:rPr>
            <w:t xml:space="preserve">附　录　C </w:t>
          </w:r>
          <w:r>
            <w:rPr>
              <w:rFonts w:hAnsi="Times New Roman" w:cs="Times New Roman"/>
              <w:color w:val="auto"/>
              <w:sz w:val="21"/>
            </w:rPr>
            <w:t xml:space="preserve"> （</w:t>
          </w:r>
          <w:r>
            <w:rPr>
              <w:rFonts w:hint="eastAsia" w:hAnsi="Times New Roman" w:cs="Times New Roman"/>
              <w:color w:val="auto"/>
              <w:sz w:val="21"/>
            </w:rPr>
            <w:t>资料</w:t>
          </w:r>
          <w:r>
            <w:rPr>
              <w:rFonts w:hAnsi="Times New Roman" w:cs="Times New Roman"/>
              <w:color w:val="auto"/>
              <w:sz w:val="21"/>
            </w:rPr>
            <w:t xml:space="preserve">性） </w:t>
          </w:r>
          <w:r>
            <w:rPr>
              <w:rFonts w:hint="eastAsia" w:hAnsi="Times New Roman" w:cs="Times New Roman"/>
              <w:color w:val="auto"/>
              <w:sz w:val="21"/>
              <w:lang w:eastAsia="zh-CN"/>
            </w:rPr>
            <w:t>排土场（废石堆）</w:t>
          </w:r>
          <w:r>
            <w:rPr>
              <w:rFonts w:hint="eastAsia" w:hAnsi="Times New Roman" w:cs="Times New Roman"/>
              <w:color w:val="auto"/>
              <w:sz w:val="21"/>
            </w:rPr>
            <w:t>生态修复工程验收意见书格式</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_Toc16971 \h </w:instrText>
          </w:r>
          <w:r>
            <w:rPr>
              <w:rFonts w:hAnsi="Times New Roman" w:cs="Times New Roman"/>
              <w:color w:val="auto"/>
              <w:sz w:val="21"/>
            </w:rPr>
            <w:fldChar w:fldCharType="separate"/>
          </w:r>
          <w:r>
            <w:rPr>
              <w:rFonts w:hAnsi="Times New Roman" w:cs="Times New Roman"/>
              <w:color w:val="auto"/>
              <w:sz w:val="21"/>
            </w:rPr>
            <w:t>12</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5C010FE7">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_Toc15773 </w:instrText>
          </w:r>
          <w:r>
            <w:rPr>
              <w:rFonts w:hAnsi="Times New Roman" w:cs="Times New Roman"/>
              <w:color w:val="auto"/>
              <w:sz w:val="21"/>
              <w:lang w:val="en-US" w:eastAsia="zh-CN"/>
            </w:rPr>
            <w:fldChar w:fldCharType="separate"/>
          </w:r>
          <w:r>
            <w:rPr>
              <w:rFonts w:hint="eastAsia" w:hAnsi="Times New Roman" w:cs="Times New Roman"/>
              <w:color w:val="auto"/>
              <w:sz w:val="21"/>
            </w:rPr>
            <w:t xml:space="preserve">附　录　D </w:t>
          </w:r>
          <w:r>
            <w:rPr>
              <w:rFonts w:hAnsi="Times New Roman" w:cs="Times New Roman"/>
              <w:color w:val="auto"/>
              <w:sz w:val="21"/>
            </w:rPr>
            <w:t xml:space="preserve"> （</w:t>
          </w:r>
          <w:r>
            <w:rPr>
              <w:rFonts w:hint="eastAsia" w:hAnsi="Times New Roman" w:cs="Times New Roman"/>
              <w:color w:val="auto"/>
              <w:sz w:val="21"/>
            </w:rPr>
            <w:t>资料</w:t>
          </w:r>
          <w:r>
            <w:rPr>
              <w:rFonts w:hAnsi="Times New Roman" w:cs="Times New Roman"/>
              <w:color w:val="auto"/>
              <w:sz w:val="21"/>
            </w:rPr>
            <w:t xml:space="preserve">性） </w:t>
          </w:r>
          <w:r>
            <w:rPr>
              <w:rFonts w:hint="eastAsia" w:hAnsi="Times New Roman" w:cs="Times New Roman"/>
              <w:color w:val="auto"/>
              <w:sz w:val="21"/>
              <w:lang w:eastAsia="zh-CN"/>
            </w:rPr>
            <w:t>排土场（废石堆）</w:t>
          </w:r>
          <w:r>
            <w:rPr>
              <w:rFonts w:hint="eastAsia" w:hAnsi="Times New Roman" w:cs="Times New Roman"/>
              <w:color w:val="auto"/>
              <w:sz w:val="21"/>
            </w:rPr>
            <w:t>生态修复工程（项目）项目绩效自评</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_Toc15773 \h </w:instrText>
          </w:r>
          <w:r>
            <w:rPr>
              <w:rFonts w:hAnsi="Times New Roman" w:cs="Times New Roman"/>
              <w:color w:val="auto"/>
              <w:sz w:val="21"/>
            </w:rPr>
            <w:fldChar w:fldCharType="separate"/>
          </w:r>
          <w:r>
            <w:rPr>
              <w:rFonts w:hAnsi="Times New Roman" w:cs="Times New Roman"/>
              <w:color w:val="auto"/>
              <w:sz w:val="21"/>
            </w:rPr>
            <w:t>18</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2BA9F9A6">
          <w:pPr>
            <w:pStyle w:val="21"/>
            <w:tabs>
              <w:tab w:val="right" w:leader="dot" w:pos="9241"/>
            </w:tabs>
            <w:overflowPunct/>
            <w:spacing w:before="78" w:after="78"/>
            <w:ind w:firstLine="0" w:firstLineChars="0"/>
            <w:jc w:val="left"/>
            <w:textAlignment w:val="auto"/>
            <w:rPr>
              <w:rFonts w:hAnsi="Times New Roman" w:cs="Times New Roman"/>
              <w:color w:val="auto"/>
              <w:sz w:val="21"/>
            </w:rPr>
          </w:pPr>
          <w:r>
            <w:rPr>
              <w:rFonts w:hAnsi="Times New Roman" w:cs="Times New Roman"/>
              <w:color w:val="auto"/>
              <w:sz w:val="21"/>
              <w:lang w:val="en-US" w:eastAsia="zh-CN"/>
            </w:rPr>
            <w:fldChar w:fldCharType="begin"/>
          </w:r>
          <w:r>
            <w:rPr>
              <w:rFonts w:hAnsi="Times New Roman" w:cs="Times New Roman"/>
              <w:color w:val="auto"/>
              <w:sz w:val="21"/>
              <w:lang w:val="en-US" w:eastAsia="zh-CN"/>
            </w:rPr>
            <w:instrText xml:space="preserve"> HYPERLINK \l _Toc8028 </w:instrText>
          </w:r>
          <w:r>
            <w:rPr>
              <w:rFonts w:hAnsi="Times New Roman" w:cs="Times New Roman"/>
              <w:color w:val="auto"/>
              <w:sz w:val="21"/>
              <w:lang w:val="en-US" w:eastAsia="zh-CN"/>
            </w:rPr>
            <w:fldChar w:fldCharType="separate"/>
          </w:r>
          <w:r>
            <w:rPr>
              <w:rFonts w:hint="eastAsia" w:hAnsi="Times New Roman" w:cs="Times New Roman"/>
              <w:color w:val="auto"/>
              <w:sz w:val="21"/>
            </w:rPr>
            <w:t>参考文献</w:t>
          </w:r>
          <w:r>
            <w:rPr>
              <w:rFonts w:hAnsi="Times New Roman" w:cs="Times New Roman"/>
              <w:color w:val="auto"/>
              <w:sz w:val="21"/>
            </w:rPr>
            <w:tab/>
          </w:r>
          <w:r>
            <w:rPr>
              <w:rFonts w:hAnsi="Times New Roman" w:cs="Times New Roman"/>
              <w:color w:val="auto"/>
              <w:sz w:val="21"/>
            </w:rPr>
            <w:fldChar w:fldCharType="begin"/>
          </w:r>
          <w:r>
            <w:rPr>
              <w:rFonts w:hAnsi="Times New Roman" w:cs="Times New Roman"/>
              <w:color w:val="auto"/>
              <w:sz w:val="21"/>
            </w:rPr>
            <w:instrText xml:space="preserve"> PAGEREF _Toc8028 \h </w:instrText>
          </w:r>
          <w:r>
            <w:rPr>
              <w:rFonts w:hAnsi="Times New Roman" w:cs="Times New Roman"/>
              <w:color w:val="auto"/>
              <w:sz w:val="21"/>
            </w:rPr>
            <w:fldChar w:fldCharType="separate"/>
          </w:r>
          <w:r>
            <w:rPr>
              <w:rFonts w:hAnsi="Times New Roman" w:cs="Times New Roman"/>
              <w:color w:val="auto"/>
              <w:sz w:val="21"/>
            </w:rPr>
            <w:t>20</w:t>
          </w:r>
          <w:r>
            <w:rPr>
              <w:rFonts w:hAnsi="Times New Roman" w:cs="Times New Roman"/>
              <w:color w:val="auto"/>
              <w:sz w:val="21"/>
            </w:rPr>
            <w:fldChar w:fldCharType="end"/>
          </w:r>
          <w:r>
            <w:rPr>
              <w:rFonts w:hAnsi="Times New Roman" w:cs="Times New Roman"/>
              <w:color w:val="auto"/>
              <w:sz w:val="21"/>
              <w:lang w:val="en-US" w:eastAsia="zh-CN"/>
            </w:rPr>
            <w:fldChar w:fldCharType="end"/>
          </w:r>
        </w:p>
        <w:p w14:paraId="3547CE82">
          <w:pPr>
            <w:pStyle w:val="21"/>
            <w:tabs>
              <w:tab w:val="right" w:leader="dot" w:pos="9241"/>
            </w:tabs>
            <w:overflowPunct/>
            <w:spacing w:before="78" w:after="78"/>
            <w:ind w:firstLine="0" w:firstLineChars="0"/>
            <w:jc w:val="left"/>
            <w:textAlignment w:val="auto"/>
            <w:rPr>
              <w:rFonts w:ascii="宋体" w:hAnsi="Times New Roman" w:eastAsia="宋体" w:cs="Times New Roman"/>
              <w:color w:val="auto"/>
              <w:kern w:val="2"/>
              <w:sz w:val="28"/>
              <w:szCs w:val="21"/>
              <w:lang w:val="en-US" w:eastAsia="zh-CN" w:bidi="ar-SA"/>
            </w:rPr>
          </w:pPr>
          <w:r>
            <w:rPr>
              <w:rFonts w:hAnsi="Times New Roman" w:cs="Times New Roman"/>
              <w:color w:val="auto"/>
              <w:sz w:val="21"/>
              <w:lang w:val="en-US" w:eastAsia="zh-CN"/>
            </w:rPr>
            <w:fldChar w:fldCharType="end"/>
          </w:r>
        </w:p>
      </w:sdtContent>
    </w:sdt>
    <w:p w14:paraId="47D7B2F4">
      <w:pPr>
        <w:rPr>
          <w:rFonts w:hAnsi="Times New Roman" w:cs="Times New Roman"/>
          <w:color w:val="auto"/>
          <w:sz w:val="21"/>
          <w:lang w:val="en-US" w:eastAsia="zh-CN"/>
        </w:rPr>
      </w:pPr>
    </w:p>
    <w:p w14:paraId="7D32F5F7">
      <w:pPr>
        <w:pStyle w:val="21"/>
        <w:tabs>
          <w:tab w:val="right" w:leader="dot" w:pos="9241"/>
        </w:tabs>
        <w:overflowPunct/>
        <w:spacing w:before="78" w:after="78"/>
        <w:ind w:firstLine="0" w:firstLineChars="0"/>
        <w:jc w:val="left"/>
        <w:textAlignment w:val="auto"/>
        <w:rPr>
          <w:rFonts w:hAnsi="Times New Roman" w:cs="Times New Roman"/>
          <w:color w:val="auto"/>
          <w:sz w:val="21"/>
        </w:rPr>
        <w:sectPr>
          <w:headerReference r:id="rId11" w:type="default"/>
          <w:footerReference r:id="rId12" w:type="default"/>
          <w:footerReference r:id="rId13" w:type="even"/>
          <w:pgSz w:w="11906" w:h="16838"/>
          <w:pgMar w:top="567" w:right="1134" w:bottom="1134" w:left="1417" w:header="851" w:footer="992" w:gutter="0"/>
          <w:pgNumType w:fmt="upperRoman" w:start="1"/>
          <w:cols w:space="425" w:num="1"/>
          <w:docGrid w:type="lines" w:linePitch="312" w:charSpace="0"/>
        </w:sectPr>
      </w:pPr>
    </w:p>
    <w:p w14:paraId="1C3BF35C">
      <w:pPr>
        <w:pStyle w:val="63"/>
        <w:shd w:val="clear" w:color="FFFFFF" w:fill="FFFFFF"/>
        <w:rPr>
          <w:rFonts w:hint="eastAsia"/>
          <w:color w:val="auto"/>
        </w:rPr>
      </w:pPr>
      <w:bookmarkStart w:id="8" w:name="_Toc2396"/>
      <w:bookmarkStart w:id="9" w:name="_Toc450293150"/>
      <w:bookmarkStart w:id="10" w:name="_Toc7444"/>
      <w:bookmarkStart w:id="11" w:name="_Toc26762"/>
      <w:r>
        <w:rPr>
          <w:rFonts w:hint="eastAsia"/>
          <w:color w:val="auto"/>
        </w:rPr>
        <w:t>前</w:t>
      </w:r>
      <w:bookmarkStart w:id="12" w:name="BKQY"/>
      <w:r>
        <w:rPr>
          <w:rFonts w:hint="eastAsia"/>
          <w:color w:val="auto"/>
        </w:rPr>
        <w:t>  言</w:t>
      </w:r>
      <w:bookmarkEnd w:id="8"/>
      <w:bookmarkEnd w:id="9"/>
      <w:bookmarkEnd w:id="10"/>
      <w:bookmarkEnd w:id="11"/>
      <w:bookmarkEnd w:id="12"/>
    </w:p>
    <w:p w14:paraId="68D18FA2">
      <w:pPr>
        <w:pStyle w:val="14"/>
        <w:ind w:firstLine="420"/>
        <w:rPr>
          <w:rFonts w:hint="eastAsia" w:ascii="Times New Roman" w:hAnsi="Times New Roman" w:eastAsia="宋体" w:cs="Times New Roman"/>
          <w:color w:val="auto"/>
          <w:sz w:val="21"/>
          <w:szCs w:val="21"/>
          <w:lang w:val="en-US" w:eastAsia="zh-CN" w:bidi="ar-SA"/>
        </w:rPr>
      </w:pPr>
      <w:r>
        <w:rPr>
          <w:rFonts w:hint="eastAsia" w:hAnsi="Times New Roman" w:cs="Times New Roman"/>
          <w:color w:val="auto"/>
          <w:sz w:val="21"/>
        </w:rPr>
        <w:t>本文件</w:t>
      </w:r>
      <w:r>
        <w:rPr>
          <w:rFonts w:hint="eastAsia" w:ascii="Times New Roman" w:hAnsi="Times New Roman" w:eastAsia="宋体" w:cs="Times New Roman"/>
          <w:color w:val="auto"/>
          <w:sz w:val="21"/>
          <w:szCs w:val="21"/>
          <w:lang w:val="en-US" w:eastAsia="zh-CN" w:bidi="ar-SA"/>
        </w:rPr>
        <w:t>按照GB/T 1.1-2020《标准化工作导则 第1部分</w:t>
      </w:r>
      <w:r>
        <w:rPr>
          <w:rFonts w:hint="eastAsia" w:ascii="Times New Roman" w:hAnsi="Times New Roman" w:cs="Times New Roman"/>
          <w:color w:val="auto"/>
          <w:sz w:val="21"/>
          <w:szCs w:val="21"/>
          <w:lang w:val="en-US" w:eastAsia="zh-CN" w:bidi="ar-SA"/>
        </w:rPr>
        <w:t>：</w:t>
      </w:r>
      <w:r>
        <w:rPr>
          <w:rFonts w:hint="eastAsia" w:ascii="Times New Roman" w:hAnsi="Times New Roman" w:eastAsia="宋体" w:cs="Times New Roman"/>
          <w:color w:val="auto"/>
          <w:sz w:val="21"/>
          <w:szCs w:val="21"/>
          <w:lang w:val="en-US" w:eastAsia="zh-CN" w:bidi="ar-SA"/>
        </w:rPr>
        <w:t>标准化文件的结构和起草规则》的规定起草。</w:t>
      </w:r>
    </w:p>
    <w:p w14:paraId="075430C6">
      <w:pPr>
        <w:pStyle w:val="14"/>
        <w:ind w:firstLine="420"/>
        <w:rPr>
          <w:rFonts w:hAnsi="Times New Roman" w:cs="Times New Roman"/>
          <w:color w:val="auto"/>
          <w:sz w:val="21"/>
        </w:rPr>
      </w:pPr>
      <w:r>
        <w:rPr>
          <w:rFonts w:hint="eastAsia" w:hAnsi="Times New Roman" w:cs="Times New Roman"/>
          <w:color w:val="auto"/>
          <w:sz w:val="21"/>
        </w:rPr>
        <w:t>请注意本文件的某些内容可能涉及专利。本文件的发布机构不承担识别专利的责任。</w:t>
      </w:r>
    </w:p>
    <w:p w14:paraId="134F522A">
      <w:pPr>
        <w:pStyle w:val="14"/>
        <w:ind w:firstLine="420"/>
        <w:rPr>
          <w:rFonts w:hAnsi="Times New Roman" w:cs="Times New Roman"/>
          <w:color w:val="auto"/>
          <w:sz w:val="21"/>
        </w:rPr>
      </w:pPr>
      <w:r>
        <w:rPr>
          <w:rFonts w:hint="eastAsia" w:hAnsi="Times New Roman" w:cs="Times New Roman"/>
          <w:color w:val="auto"/>
          <w:sz w:val="21"/>
        </w:rPr>
        <w:t>本文件由中国地质灾害防治与生态修复协会提出并归口。</w:t>
      </w:r>
    </w:p>
    <w:p w14:paraId="2E199849">
      <w:pPr>
        <w:pStyle w:val="14"/>
        <w:ind w:firstLine="420"/>
        <w:rPr>
          <w:rFonts w:hAnsi="Times New Roman" w:cs="Times New Roman"/>
          <w:color w:val="auto"/>
          <w:sz w:val="21"/>
        </w:rPr>
      </w:pPr>
      <w:r>
        <w:rPr>
          <w:rFonts w:hint="eastAsia" w:hAnsi="Times New Roman" w:cs="Times New Roman"/>
          <w:color w:val="auto"/>
          <w:sz w:val="21"/>
        </w:rPr>
        <w:t>本文件起草单位：河北省地质矿产勘查开发局第五地质大队（河北省海洋地质环境调查中心）、江苏绿岩生态技术股份有限公司、天津市地质研究和海洋地质中心、中国地质调查局成都地质调查中心、北京筑业志远软件开发有限公司、中煤地华盛水文地质勘察有限公司。</w:t>
      </w:r>
    </w:p>
    <w:p w14:paraId="5E04BE28">
      <w:pPr>
        <w:pStyle w:val="14"/>
        <w:ind w:firstLine="420"/>
        <w:rPr>
          <w:rFonts w:hAnsi="Times New Roman" w:cs="Times New Roman"/>
          <w:color w:val="auto"/>
          <w:sz w:val="21"/>
        </w:rPr>
      </w:pPr>
      <w:r>
        <w:rPr>
          <w:rFonts w:hint="eastAsia" w:hAnsi="Times New Roman" w:cs="Times New Roman"/>
          <w:color w:val="auto"/>
          <w:sz w:val="21"/>
        </w:rPr>
        <w:t>本文件主要起草人：赵建业、张瑞明、肖飞、张波、杨爱山、刘天一、胡文君、师伟、任建波、冯朋、苑丽宁、丁芙蓉、孙浩、王铭艺、赵阳。</w:t>
      </w:r>
    </w:p>
    <w:p w14:paraId="4E944323">
      <w:pPr>
        <w:pStyle w:val="14"/>
        <w:ind w:firstLine="420"/>
        <w:rPr>
          <w:rFonts w:hAnsi="Times New Roman" w:cs="Times New Roman"/>
          <w:color w:val="auto"/>
          <w:sz w:val="21"/>
        </w:rPr>
      </w:pPr>
      <w:r>
        <w:rPr>
          <w:rFonts w:hint="eastAsia" w:hAnsi="Times New Roman" w:cs="Times New Roman"/>
          <w:color w:val="auto"/>
          <w:sz w:val="21"/>
        </w:rPr>
        <w:t>本文件由中国地质灾害防治与生态修复协会负责解释。</w:t>
      </w:r>
    </w:p>
    <w:p w14:paraId="0EE65DA1">
      <w:pPr>
        <w:ind w:firstLine="480"/>
        <w:rPr>
          <w:rFonts w:ascii="仿宋_GB2312" w:hAnsi="仿宋" w:cs="Times New Roman"/>
          <w:color w:val="auto"/>
          <w:kern w:val="0"/>
          <w:sz w:val="24"/>
          <w:lang w:val="zh-CN"/>
        </w:rPr>
      </w:pPr>
    </w:p>
    <w:p w14:paraId="639D0165">
      <w:pPr>
        <w:pStyle w:val="14"/>
        <w:ind w:firstLine="560"/>
        <w:rPr>
          <w:color w:val="auto"/>
        </w:rPr>
        <w:sectPr>
          <w:footerReference r:id="rId14" w:type="default"/>
          <w:footerReference r:id="rId15" w:type="even"/>
          <w:pgSz w:w="11906" w:h="16838"/>
          <w:pgMar w:top="567" w:right="1134" w:bottom="1134" w:left="1417" w:header="851" w:footer="992" w:gutter="0"/>
          <w:pgNumType w:fmt="upperRoman"/>
          <w:cols w:space="425" w:num="1"/>
          <w:docGrid w:type="lines" w:linePitch="312" w:charSpace="0"/>
        </w:sectPr>
      </w:pPr>
    </w:p>
    <w:p w14:paraId="5E48BCE6">
      <w:pPr>
        <w:ind w:firstLine="0" w:firstLineChars="0"/>
        <w:jc w:val="center"/>
        <w:rPr>
          <w:rFonts w:ascii="黑体" w:hAnsi="黑体" w:eastAsia="黑体" w:cs="黑体"/>
          <w:color w:val="auto"/>
          <w:sz w:val="32"/>
          <w:szCs w:val="32"/>
        </w:rPr>
      </w:pPr>
      <w:bookmarkStart w:id="13" w:name="_Toc7030"/>
      <w:r>
        <w:rPr>
          <w:rFonts w:hint="eastAsia" w:ascii="黑体" w:hAnsi="黑体" w:eastAsia="黑体" w:cs="黑体"/>
          <w:color w:val="auto"/>
          <w:sz w:val="32"/>
          <w:szCs w:val="32"/>
        </w:rPr>
        <w:t>排土场（废石堆）生态修复工程验收规范</w:t>
      </w:r>
      <w:bookmarkEnd w:id="13"/>
    </w:p>
    <w:p w14:paraId="2D7C5CAF">
      <w:pPr>
        <w:pStyle w:val="66"/>
        <w:rPr>
          <w:rFonts w:hint="eastAsia"/>
          <w:color w:val="auto"/>
        </w:rPr>
      </w:pPr>
      <w:bookmarkStart w:id="14" w:name="_Toc5513"/>
      <w:bookmarkStart w:id="15" w:name="_Toc5256"/>
      <w:bookmarkStart w:id="16" w:name="_Toc23186"/>
      <w:r>
        <w:rPr>
          <w:rFonts w:hint="eastAsia"/>
          <w:color w:val="auto"/>
        </w:rPr>
        <w:t>范围</w:t>
      </w:r>
      <w:bookmarkEnd w:id="14"/>
      <w:bookmarkEnd w:id="15"/>
      <w:bookmarkEnd w:id="16"/>
    </w:p>
    <w:p w14:paraId="3B7ADF0C">
      <w:pPr>
        <w:pStyle w:val="62"/>
        <w:rPr>
          <w:rFonts w:hint="eastAsia"/>
          <w:color w:val="auto"/>
        </w:rPr>
      </w:pPr>
      <w:r>
        <w:rPr>
          <w:rFonts w:hint="eastAsia"/>
          <w:color w:val="auto"/>
        </w:rPr>
        <w:t>本文件规定了排土场（废石堆）生态修复工程验收的总体要求，并规定了排土场（废石堆）生态修复工程验收的条件、依据、内容、方法、要求、成果和档案管理等内容。</w:t>
      </w:r>
    </w:p>
    <w:p w14:paraId="55D946FB">
      <w:pPr>
        <w:pStyle w:val="62"/>
        <w:rPr>
          <w:rFonts w:hint="eastAsia"/>
          <w:color w:val="auto"/>
        </w:rPr>
      </w:pPr>
      <w:r>
        <w:rPr>
          <w:rFonts w:hint="eastAsia"/>
          <w:color w:val="auto"/>
        </w:rPr>
        <w:t>本文件适用于排土场（废石堆）完全结束使用后进行的排土场（废石堆）生态修复工程验收工作，其他排土场（废石堆）生态修复工程验收可参照执行。</w:t>
      </w:r>
    </w:p>
    <w:p w14:paraId="06F9EC1E">
      <w:pPr>
        <w:pStyle w:val="66"/>
        <w:rPr>
          <w:rFonts w:hint="eastAsia"/>
          <w:color w:val="auto"/>
        </w:rPr>
      </w:pPr>
      <w:bookmarkStart w:id="17" w:name="_Toc15821"/>
      <w:bookmarkStart w:id="18" w:name="_Toc4846"/>
      <w:bookmarkStart w:id="19" w:name="_Toc11787"/>
      <w:r>
        <w:rPr>
          <w:rFonts w:hint="eastAsia"/>
          <w:color w:val="auto"/>
        </w:rPr>
        <w:t>规范性引用文件</w:t>
      </w:r>
      <w:bookmarkEnd w:id="17"/>
      <w:bookmarkEnd w:id="18"/>
      <w:bookmarkEnd w:id="19"/>
    </w:p>
    <w:p w14:paraId="67FCA9C5">
      <w:pPr>
        <w:pStyle w:val="62"/>
        <w:rPr>
          <w:rFonts w:hint="eastAsia"/>
          <w:color w:val="auto"/>
        </w:rPr>
      </w:pPr>
      <w:r>
        <w:rPr>
          <w:rFonts w:hint="eastAsia"/>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C8348B1">
      <w:pPr>
        <w:pStyle w:val="62"/>
        <w:rPr>
          <w:rFonts w:hint="eastAsia" w:ascii="Times New Roman" w:hAnsi="Times New Roman" w:eastAsia="宋体" w:cs="Times New Roman"/>
          <w:color w:val="auto"/>
          <w:sz w:val="21"/>
          <w:szCs w:val="21"/>
          <w:lang w:val="en-US" w:eastAsia="zh-CN" w:bidi="ar-SA"/>
        </w:rPr>
      </w:pPr>
      <w:bookmarkStart w:id="20" w:name="OLE_LINK15"/>
      <w:r>
        <w:rPr>
          <w:rFonts w:hint="eastAsia" w:ascii="Times New Roman" w:hAnsi="Times New Roman" w:eastAsia="宋体" w:cs="Times New Roman"/>
          <w:color w:val="auto"/>
          <w:sz w:val="21"/>
          <w:szCs w:val="21"/>
          <w:lang w:val="en-US" w:eastAsia="zh-CN" w:bidi="ar-SA"/>
        </w:rPr>
        <w:t>GB 3838  地表水环境质量标准</w:t>
      </w:r>
    </w:p>
    <w:p w14:paraId="038EEE6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14848  地下水质量标准</w:t>
      </w:r>
    </w:p>
    <w:p w14:paraId="31BD2FA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40112  地质灾害危险性评估规范</w:t>
      </w:r>
    </w:p>
    <w:p w14:paraId="0A159BD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15776  造林技术规程</w:t>
      </w:r>
    </w:p>
    <w:p w14:paraId="3C38A3A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38360  裸露坡面植被恢复技术规范</w:t>
      </w:r>
    </w:p>
    <w:p w14:paraId="4425A24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33469  耕地质量等级</w:t>
      </w:r>
    </w:p>
    <w:p w14:paraId="6190529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 15618  土壤环境质量 农用地土壤污染风险管控标准（试行）</w:t>
      </w:r>
    </w:p>
    <w:p w14:paraId="5B3A7F75">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 36600  土壤环境质量 建设用地土壤污染风险管控标准（试行）</w:t>
      </w:r>
    </w:p>
    <w:p w14:paraId="69B3DD6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43933  金属矿土地复垦与生态修复技术规范</w:t>
      </w:r>
    </w:p>
    <w:p w14:paraId="5AB3CF49">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43935  矿山土地复垦与生态修复监测评价技术规范</w:t>
      </w:r>
    </w:p>
    <w:p w14:paraId="242C39CB">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 50007  建筑地基基础设计规范</w:t>
      </w:r>
    </w:p>
    <w:p w14:paraId="1F3D314B">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 50330  建筑边坡工程技术规范</w:t>
      </w:r>
    </w:p>
    <w:p w14:paraId="6A6C1AD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 51351  建筑边坡工程施工质量验收标准</w:t>
      </w:r>
    </w:p>
    <w:p w14:paraId="2228A61C">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15773  水土保持综合治理验收规范</w:t>
      </w:r>
    </w:p>
    <w:p w14:paraId="2EDE80F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38509  滑坡防治设计规范</w:t>
      </w:r>
    </w:p>
    <w:p w14:paraId="1EB7357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28407  农用地质量分等规程</w:t>
      </w:r>
    </w:p>
    <w:p w14:paraId="1D0F043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GB/T 18507  城镇土地分等定级规程</w:t>
      </w:r>
    </w:p>
    <w:p w14:paraId="1E82603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DZ/T 0287  矿山地质环境监测技术规程</w:t>
      </w:r>
    </w:p>
    <w:p w14:paraId="362F1819">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DZ/T 0219  滑坡防治工程设计与施工技术规范</w:t>
      </w:r>
    </w:p>
    <w:p w14:paraId="563F56CB">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DZ/T 0239  泥石流灾害防治工程设计规范</w:t>
      </w:r>
    </w:p>
    <w:bookmarkEnd w:id="20"/>
    <w:p w14:paraId="41594783">
      <w:pPr>
        <w:pStyle w:val="62"/>
        <w:rPr>
          <w:rFonts w:hint="eastAsia" w:ascii="Times New Roman" w:hAnsi="Times New Roman" w:eastAsia="宋体" w:cs="Times New Roman"/>
          <w:color w:val="auto"/>
          <w:sz w:val="21"/>
          <w:szCs w:val="21"/>
          <w:lang w:val="en-US" w:eastAsia="zh-CN" w:bidi="ar-SA"/>
        </w:rPr>
      </w:pPr>
      <w:bookmarkStart w:id="21" w:name="OLE_LINK18"/>
      <w:r>
        <w:rPr>
          <w:rFonts w:hint="eastAsia" w:ascii="Times New Roman" w:hAnsi="Times New Roman" w:eastAsia="宋体" w:cs="Times New Roman"/>
          <w:color w:val="auto"/>
          <w:sz w:val="21"/>
          <w:szCs w:val="21"/>
          <w:lang w:val="en-US" w:eastAsia="zh-CN" w:bidi="ar-SA"/>
        </w:rPr>
        <w:t>HJ651  矿山生态环境保护与恢复治理技术规范（试行）</w:t>
      </w:r>
    </w:p>
    <w:p w14:paraId="436D47B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HJ 166  土壤环境监测技术规范</w:t>
      </w:r>
    </w:p>
    <w:p w14:paraId="0D38CBFF">
      <w:pPr>
        <w:pStyle w:val="62"/>
        <w:rPr>
          <w:rFonts w:hint="eastAsia" w:ascii="Times New Roman" w:hAnsi="Times New Roman" w:eastAsia="宋体" w:cs="Times New Roman"/>
          <w:color w:val="auto"/>
          <w:sz w:val="21"/>
          <w:szCs w:val="21"/>
          <w:lang w:val="en-US" w:eastAsia="zh-CN" w:bidi="ar-SA"/>
        </w:rPr>
      </w:pPr>
      <w:bookmarkStart w:id="22" w:name="OLE_LINK45"/>
      <w:r>
        <w:rPr>
          <w:rFonts w:hint="eastAsia" w:ascii="Times New Roman" w:hAnsi="Times New Roman" w:eastAsia="宋体" w:cs="Times New Roman"/>
          <w:color w:val="auto"/>
          <w:sz w:val="21"/>
          <w:szCs w:val="21"/>
          <w:lang w:val="en-US" w:eastAsia="zh-CN" w:bidi="ar-SA"/>
        </w:rPr>
        <w:t>HJ</w:t>
      </w:r>
      <w:bookmarkEnd w:id="22"/>
      <w:r>
        <w:rPr>
          <w:rFonts w:hint="eastAsia" w:ascii="Times New Roman" w:hAnsi="Times New Roman" w:eastAsia="宋体" w:cs="Times New Roman"/>
          <w:color w:val="auto"/>
          <w:sz w:val="21"/>
          <w:szCs w:val="21"/>
          <w:lang w:val="en-US" w:eastAsia="zh-CN" w:bidi="ar-SA"/>
        </w:rPr>
        <w:t xml:space="preserve"> 1272  生态修复保护成效评估技术指南（试行）</w:t>
      </w:r>
    </w:p>
    <w:p w14:paraId="06F136D0">
      <w:pPr>
        <w:pStyle w:val="62"/>
        <w:rPr>
          <w:rFonts w:hint="eastAsia"/>
          <w:color w:val="auto"/>
        </w:rPr>
      </w:pPr>
      <w:r>
        <w:rPr>
          <w:rFonts w:hint="eastAsia" w:ascii="Times New Roman" w:hAnsi="Times New Roman" w:eastAsia="宋体" w:cs="Times New Roman"/>
          <w:color w:val="auto"/>
          <w:sz w:val="21"/>
          <w:szCs w:val="21"/>
          <w:lang w:val="en-US" w:eastAsia="zh-CN" w:bidi="ar-SA"/>
        </w:rPr>
        <w:t>HJ 1172  全国生态状况调查评估技术规范</w:t>
      </w:r>
      <w:r>
        <w:rPr>
          <w:rFonts w:hint="eastAsia" w:ascii="Times New Roman" w:cs="Times New Roman"/>
          <w:color w:val="auto"/>
          <w:sz w:val="21"/>
          <w:szCs w:val="21"/>
          <w:lang w:val="en-US" w:eastAsia="zh-CN" w:bidi="ar-SA"/>
        </w:rPr>
        <w:t>——</w:t>
      </w:r>
      <w:r>
        <w:rPr>
          <w:rFonts w:hint="eastAsia" w:ascii="Times New Roman" w:hAnsi="Times New Roman" w:eastAsia="宋体" w:cs="Times New Roman"/>
          <w:color w:val="auto"/>
          <w:sz w:val="21"/>
          <w:szCs w:val="21"/>
          <w:lang w:val="en-US" w:eastAsia="zh-CN" w:bidi="ar-SA"/>
        </w:rPr>
        <w:t>生态系统质量评估</w:t>
      </w:r>
    </w:p>
    <w:p w14:paraId="7650291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1068  国土空间生态保护修复工程实施方案编制规程</w:t>
      </w:r>
    </w:p>
    <w:p w14:paraId="34F633B3">
      <w:pPr>
        <w:pStyle w:val="62"/>
        <w:rPr>
          <w:rFonts w:hint="eastAsia" w:ascii="Times New Roman" w:hAnsi="Times New Roman" w:eastAsia="宋体" w:cs="Times New Roman"/>
          <w:color w:val="auto"/>
          <w:sz w:val="21"/>
          <w:szCs w:val="21"/>
          <w:lang w:val="en-US" w:eastAsia="zh-CN" w:bidi="ar-SA"/>
        </w:rPr>
      </w:pPr>
      <w:bookmarkStart w:id="23" w:name="OLE_LINK4"/>
      <w:r>
        <w:rPr>
          <w:rFonts w:hint="eastAsia" w:ascii="Times New Roman" w:hAnsi="Times New Roman" w:eastAsia="宋体" w:cs="Times New Roman"/>
          <w:color w:val="auto"/>
          <w:sz w:val="21"/>
          <w:szCs w:val="21"/>
          <w:lang w:val="en-US" w:eastAsia="zh-CN" w:bidi="ar-SA"/>
        </w:rPr>
        <w:t>TD/T 1069  国土空间生态保护修复工程验收规范</w:t>
      </w:r>
    </w:p>
    <w:bookmarkEnd w:id="23"/>
    <w:p w14:paraId="1D62224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1070  矿山生态修复技术规范</w:t>
      </w:r>
    </w:p>
    <w:p w14:paraId="3994119F">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1036  土地复垦质量控制标准</w:t>
      </w:r>
    </w:p>
    <w:p w14:paraId="62B92670">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1044  生产项目土地复垦验收规程</w:t>
      </w:r>
    </w:p>
    <w:p w14:paraId="639ECA7B">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1033  高标准农田建设标准</w:t>
      </w:r>
    </w:p>
    <w:p w14:paraId="462163E1">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1013  土地整治项目验收规程</w:t>
      </w:r>
    </w:p>
    <w:p w14:paraId="62F446E1">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1055  第三次全国国土调查技术规程</w:t>
      </w:r>
    </w:p>
    <w:p w14:paraId="74D541F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1071  园地分等定级规程</w:t>
      </w:r>
    </w:p>
    <w:p w14:paraId="0F185CF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1060  自然资源分等定级通则</w:t>
      </w:r>
    </w:p>
    <w:p w14:paraId="76A2628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TD/T 1092  矿山生态修复工程验收规范</w:t>
      </w:r>
    </w:p>
    <w:p w14:paraId="7DEACB39">
      <w:pPr>
        <w:pStyle w:val="62"/>
        <w:rPr>
          <w:rFonts w:hint="eastAsia" w:ascii="Times New Roman" w:hAnsi="Times New Roman" w:eastAsia="宋体" w:cs="Times New Roman"/>
          <w:color w:val="auto"/>
          <w:sz w:val="21"/>
          <w:szCs w:val="21"/>
          <w:lang w:val="en-US" w:eastAsia="zh-CN" w:bidi="ar-SA"/>
        </w:rPr>
      </w:pPr>
      <w:bookmarkStart w:id="24" w:name="OLE_LINK46"/>
      <w:r>
        <w:rPr>
          <w:rFonts w:hint="eastAsia" w:ascii="Times New Roman" w:hAnsi="Times New Roman" w:eastAsia="宋体" w:cs="Times New Roman"/>
          <w:color w:val="auto"/>
          <w:sz w:val="21"/>
          <w:szCs w:val="21"/>
          <w:lang w:val="en-US" w:eastAsia="zh-CN" w:bidi="ar-SA"/>
        </w:rPr>
        <w:t>T/CSOTE</w:t>
      </w:r>
      <w:bookmarkEnd w:id="24"/>
      <w:r>
        <w:rPr>
          <w:rFonts w:hint="eastAsia" w:ascii="Times New Roman" w:hAnsi="Times New Roman" w:eastAsia="宋体" w:cs="Times New Roman"/>
          <w:color w:val="auto"/>
          <w:sz w:val="21"/>
          <w:szCs w:val="21"/>
          <w:lang w:val="en-US" w:eastAsia="zh-CN" w:bidi="ar-SA"/>
        </w:rPr>
        <w:t xml:space="preserve"> 0003  矿山生态环境修复工程技术规范</w:t>
      </w:r>
    </w:p>
    <w:p w14:paraId="464702F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T/CAGHP 027  坡面防护工程设计规范（试行）</w:t>
      </w:r>
    </w:p>
    <w:p w14:paraId="7073D68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DB34/T 4756.3  矿山生态修复规程 第3部分：工程验收</w:t>
      </w:r>
    </w:p>
    <w:p w14:paraId="7DA7DA8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DB43/T 2889  矿山生态保护修复验收规范</w:t>
      </w:r>
    </w:p>
    <w:p w14:paraId="4455906C">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CJ/T 340  绿化种植土壤</w:t>
      </w:r>
      <w:bookmarkEnd w:id="21"/>
    </w:p>
    <w:p w14:paraId="5E49F213">
      <w:pPr>
        <w:pStyle w:val="66"/>
        <w:rPr>
          <w:rFonts w:hint="eastAsia"/>
          <w:color w:val="auto"/>
        </w:rPr>
      </w:pPr>
      <w:bookmarkStart w:id="25" w:name="_Toc22274"/>
      <w:bookmarkStart w:id="26" w:name="_Toc28659"/>
      <w:bookmarkStart w:id="27" w:name="_Toc9573"/>
      <w:r>
        <w:rPr>
          <w:rFonts w:hint="eastAsia"/>
          <w:color w:val="auto"/>
        </w:rPr>
        <w:t>术语和定义</w:t>
      </w:r>
      <w:bookmarkEnd w:id="25"/>
      <w:bookmarkEnd w:id="26"/>
      <w:bookmarkEnd w:id="27"/>
    </w:p>
    <w:p w14:paraId="0ACA5841">
      <w:pPr>
        <w:pStyle w:val="62"/>
        <w:rPr>
          <w:rFonts w:hint="eastAsia"/>
          <w:color w:val="auto"/>
        </w:rPr>
      </w:pPr>
      <w:r>
        <w:rPr>
          <w:rFonts w:hint="eastAsia"/>
          <w:color w:val="auto"/>
        </w:rPr>
        <w:t>下列术语和定义</w:t>
      </w:r>
      <w:r>
        <w:rPr>
          <w:rFonts w:hint="eastAsia"/>
          <w:color w:val="auto"/>
          <w:lang w:eastAsia="zh-CN"/>
        </w:rPr>
        <w:t>适用</w:t>
      </w:r>
      <w:r>
        <w:rPr>
          <w:rFonts w:hint="eastAsia"/>
          <w:color w:val="auto"/>
        </w:rPr>
        <w:t>于本文件。</w:t>
      </w:r>
    </w:p>
    <w:p w14:paraId="3C588292">
      <w:pPr>
        <w:pStyle w:val="65"/>
        <w:spacing w:before="156" w:after="156"/>
        <w:ind w:left="0"/>
        <w:outlineLvl w:val="2"/>
        <w:rPr>
          <w:rFonts w:hint="eastAsia"/>
          <w:color w:val="auto"/>
        </w:rPr>
      </w:pPr>
      <w:bookmarkStart w:id="28" w:name="_Toc25770"/>
      <w:bookmarkStart w:id="29" w:name="_Toc20941"/>
      <w:r>
        <w:rPr>
          <w:rFonts w:hint="eastAsia"/>
          <w:color w:val="auto"/>
        </w:rPr>
        <w:t>排土场（废石堆）生态修复工程  Ecological restoration project of waste dump (waste rock heap)</w:t>
      </w:r>
      <w:bookmarkEnd w:id="28"/>
      <w:bookmarkEnd w:id="29"/>
    </w:p>
    <w:p w14:paraId="2F7C45D5">
      <w:pPr>
        <w:pStyle w:val="62"/>
        <w:rPr>
          <w:rFonts w:hint="eastAsia"/>
          <w:color w:val="auto"/>
        </w:rPr>
      </w:pPr>
      <w:r>
        <w:rPr>
          <w:rFonts w:hint="eastAsia"/>
          <w:color w:val="auto"/>
        </w:rPr>
        <w:t>指依靠自然力量或通过人工措施干预，对因矿产资源开采或其他人类工程建设活动过程中排弃物集中排放形成的排土场（废石堆），造成的地质环境破坏、土地损毁和植被破坏等问题进行生态修复，使排土场（废石堆）地质环境达到稳定、损毁土地得到复垦利用、生态系统功能得到恢复和改善等。</w:t>
      </w:r>
    </w:p>
    <w:p w14:paraId="114A4FD8">
      <w:pPr>
        <w:pStyle w:val="65"/>
        <w:spacing w:before="156" w:after="156"/>
        <w:ind w:left="0"/>
        <w:outlineLvl w:val="2"/>
        <w:rPr>
          <w:rFonts w:hint="eastAsia"/>
          <w:color w:val="auto"/>
        </w:rPr>
      </w:pPr>
      <w:bookmarkStart w:id="30" w:name="_Toc15817"/>
      <w:bookmarkStart w:id="31" w:name="_Toc18685"/>
      <w:r>
        <w:rPr>
          <w:rFonts w:hint="eastAsia"/>
          <w:color w:val="auto"/>
          <w:lang w:val="en-US" w:eastAsia="zh-CN"/>
        </w:rPr>
        <w:t>生态</w:t>
      </w:r>
      <w:r>
        <w:rPr>
          <w:rFonts w:hint="eastAsia"/>
          <w:color w:val="auto"/>
        </w:rPr>
        <w:t xml:space="preserve">修复工程验收  </w:t>
      </w:r>
      <w:bookmarkEnd w:id="30"/>
      <w:bookmarkEnd w:id="31"/>
      <w:r>
        <w:rPr>
          <w:rFonts w:hint="eastAsia"/>
          <w:color w:val="auto"/>
        </w:rPr>
        <w:t>Ecological restoration project acceptance</w:t>
      </w:r>
    </w:p>
    <w:p w14:paraId="4942E3A5">
      <w:pPr>
        <w:ind w:firstLine="420"/>
        <w:rPr>
          <w:color w:val="auto"/>
          <w:sz w:val="21"/>
          <w:szCs w:val="21"/>
        </w:rPr>
      </w:pPr>
      <w:r>
        <w:rPr>
          <w:rFonts w:hint="eastAsia"/>
          <w:color w:val="auto"/>
          <w:sz w:val="21"/>
          <w:szCs w:val="21"/>
        </w:rPr>
        <w:t>在</w:t>
      </w:r>
      <w:r>
        <w:rPr>
          <w:rFonts w:hint="eastAsia"/>
          <w:color w:val="auto"/>
          <w:sz w:val="21"/>
          <w:szCs w:val="21"/>
          <w:lang w:val="en-US" w:eastAsia="zh-CN"/>
        </w:rPr>
        <w:t>生态修复</w:t>
      </w:r>
      <w:r>
        <w:rPr>
          <w:rFonts w:hint="eastAsia"/>
          <w:color w:val="auto"/>
          <w:sz w:val="21"/>
          <w:szCs w:val="21"/>
        </w:rPr>
        <w:t>项目实施完工后，根据有关规定和技术标准</w:t>
      </w:r>
      <w:r>
        <w:rPr>
          <w:rFonts w:hint="eastAsia"/>
          <w:color w:val="auto"/>
          <w:sz w:val="21"/>
          <w:szCs w:val="21"/>
          <w:lang w:eastAsia="zh-CN"/>
        </w:rPr>
        <w:t>的</w:t>
      </w:r>
      <w:r>
        <w:rPr>
          <w:rFonts w:hint="eastAsia"/>
          <w:color w:val="auto"/>
          <w:sz w:val="21"/>
          <w:szCs w:val="21"/>
        </w:rPr>
        <w:t>要求，组织对</w:t>
      </w:r>
      <w:r>
        <w:rPr>
          <w:rFonts w:hint="eastAsia"/>
          <w:color w:val="auto"/>
          <w:sz w:val="21"/>
          <w:szCs w:val="21"/>
          <w:lang w:val="en-US" w:eastAsia="zh-CN"/>
        </w:rPr>
        <w:t>生态修复</w:t>
      </w:r>
      <w:r>
        <w:rPr>
          <w:rFonts w:hint="eastAsia"/>
          <w:color w:val="auto"/>
          <w:sz w:val="21"/>
          <w:szCs w:val="21"/>
        </w:rPr>
        <w:t>项目的建设内容、工程量、工程质量、工程资金使用、</w:t>
      </w:r>
      <w:r>
        <w:rPr>
          <w:rFonts w:hint="eastAsia"/>
          <w:color w:val="auto"/>
          <w:sz w:val="21"/>
          <w:szCs w:val="21"/>
          <w:lang w:val="en-US" w:eastAsia="zh-CN"/>
        </w:rPr>
        <w:t>生态修复</w:t>
      </w:r>
      <w:r>
        <w:rPr>
          <w:rFonts w:hint="eastAsia"/>
          <w:color w:val="auto"/>
          <w:sz w:val="21"/>
          <w:szCs w:val="21"/>
        </w:rPr>
        <w:t>效果、绩效目标等进行查验与核实，形成验收结论，编写验收资料的过程与活动。</w:t>
      </w:r>
    </w:p>
    <w:p w14:paraId="50AE40F6">
      <w:pPr>
        <w:pStyle w:val="66"/>
        <w:rPr>
          <w:rFonts w:hint="eastAsia"/>
          <w:color w:val="auto"/>
        </w:rPr>
      </w:pPr>
      <w:bookmarkStart w:id="32" w:name="_Toc20796"/>
      <w:bookmarkStart w:id="33" w:name="_Toc26830"/>
      <w:bookmarkStart w:id="34" w:name="_Toc27754"/>
      <w:r>
        <w:rPr>
          <w:rFonts w:hint="eastAsia"/>
          <w:color w:val="auto"/>
        </w:rPr>
        <w:t>总体要求</w:t>
      </w:r>
      <w:bookmarkEnd w:id="32"/>
      <w:bookmarkEnd w:id="33"/>
      <w:bookmarkEnd w:id="34"/>
    </w:p>
    <w:p w14:paraId="363F43E9">
      <w:pPr>
        <w:pStyle w:val="65"/>
        <w:spacing w:before="156" w:after="156"/>
        <w:ind w:left="0"/>
        <w:outlineLvl w:val="2"/>
        <w:rPr>
          <w:rFonts w:hint="eastAsia"/>
          <w:color w:val="auto"/>
        </w:rPr>
      </w:pPr>
      <w:bookmarkStart w:id="35" w:name="_Toc9837"/>
      <w:bookmarkStart w:id="36" w:name="_Toc12728"/>
      <w:r>
        <w:rPr>
          <w:rFonts w:hint="eastAsia"/>
          <w:color w:val="auto"/>
        </w:rPr>
        <w:t>基本原则</w:t>
      </w:r>
      <w:bookmarkEnd w:id="35"/>
      <w:bookmarkEnd w:id="36"/>
    </w:p>
    <w:p w14:paraId="666E05EB">
      <w:pPr>
        <w:pStyle w:val="62"/>
        <w:rPr>
          <w:rFonts w:hint="eastAsia"/>
          <w:color w:val="auto"/>
        </w:rPr>
      </w:pPr>
      <w:r>
        <w:rPr>
          <w:rFonts w:hint="eastAsia"/>
          <w:color w:val="auto"/>
        </w:rPr>
        <w:t>按照“谁批准实施方案、谁负责组织验收”的原则，由批准部门或其所委托单位依据相关规定，组织开展工程验收，做好工程档案管理和成果备案工作。</w:t>
      </w:r>
    </w:p>
    <w:p w14:paraId="0952FC54">
      <w:pPr>
        <w:pStyle w:val="65"/>
        <w:spacing w:before="156" w:after="156"/>
        <w:ind w:left="0"/>
        <w:outlineLvl w:val="2"/>
        <w:rPr>
          <w:rFonts w:hint="eastAsia"/>
          <w:color w:val="auto"/>
        </w:rPr>
      </w:pPr>
      <w:bookmarkStart w:id="37" w:name="_Toc19467"/>
      <w:bookmarkStart w:id="38" w:name="_Toc13168"/>
      <w:r>
        <w:rPr>
          <w:rFonts w:hint="eastAsia"/>
          <w:color w:val="auto"/>
        </w:rPr>
        <w:t>验收依据</w:t>
      </w:r>
      <w:bookmarkEnd w:id="37"/>
      <w:bookmarkEnd w:id="38"/>
    </w:p>
    <w:p w14:paraId="6226F8DA">
      <w:pPr>
        <w:pStyle w:val="62"/>
        <w:rPr>
          <w:rFonts w:hint="eastAsia"/>
          <w:color w:val="auto"/>
        </w:rPr>
      </w:pPr>
      <w:r>
        <w:rPr>
          <w:rFonts w:hint="eastAsia"/>
          <w:color w:val="auto"/>
        </w:rPr>
        <w:t>排土场（废石堆）生态修复工程验收依据主要包括：</w:t>
      </w:r>
    </w:p>
    <w:p w14:paraId="01FD8C4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1.经批准的实施方案（含工程项目绩效目标）；</w:t>
      </w:r>
    </w:p>
    <w:p w14:paraId="188064A6">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2.经批准的项目设计、施工图、设计变更、补充设计等；</w:t>
      </w:r>
    </w:p>
    <w:p w14:paraId="3C1A960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3.相关标准规范。</w:t>
      </w:r>
    </w:p>
    <w:p w14:paraId="2E1CA261">
      <w:pPr>
        <w:pStyle w:val="65"/>
        <w:spacing w:before="156" w:after="156"/>
        <w:ind w:left="0"/>
        <w:outlineLvl w:val="2"/>
        <w:rPr>
          <w:rFonts w:hint="eastAsia"/>
          <w:color w:val="auto"/>
        </w:rPr>
      </w:pPr>
      <w:bookmarkStart w:id="39" w:name="_Toc10708"/>
      <w:bookmarkStart w:id="40" w:name="_Toc24240"/>
      <w:r>
        <w:rPr>
          <w:rFonts w:hint="eastAsia"/>
          <w:color w:val="auto"/>
        </w:rPr>
        <w:t>工作流程</w:t>
      </w:r>
      <w:bookmarkEnd w:id="39"/>
      <w:bookmarkEnd w:id="40"/>
    </w:p>
    <w:p w14:paraId="0DFB8C2C">
      <w:pPr>
        <w:pStyle w:val="62"/>
        <w:rPr>
          <w:rFonts w:hint="eastAsia"/>
          <w:color w:val="auto"/>
        </w:rPr>
      </w:pPr>
      <w:r>
        <w:rPr>
          <w:rFonts w:hint="eastAsia"/>
          <w:color w:val="auto"/>
        </w:rPr>
        <w:t>验收工作应当科学组织，遵照验收条件和依据，采取定量和定性相结合、室内审核资料与实地查验工程完成情况相结合的方法，客观、公正给出验收意见和结论。</w:t>
      </w:r>
    </w:p>
    <w:p w14:paraId="1031D28C">
      <w:pPr>
        <w:pStyle w:val="62"/>
        <w:rPr>
          <w:rFonts w:hint="eastAsia"/>
          <w:color w:val="auto"/>
        </w:rPr>
      </w:pPr>
      <w:r>
        <w:rPr>
          <w:rFonts w:hint="eastAsia"/>
          <w:color w:val="auto"/>
        </w:rPr>
        <w:t>排土场（废石堆）生态修复工程工程验收分为工程自验、最终验收两个阶段。工程验收宜采用定性与定量</w:t>
      </w:r>
      <w:r>
        <w:rPr>
          <w:rFonts w:hint="eastAsia"/>
          <w:color w:val="auto"/>
          <w:lang w:eastAsia="zh-CN"/>
        </w:rPr>
        <w:t>相结合的方式进行，</w:t>
      </w:r>
      <w:r>
        <w:rPr>
          <w:rFonts w:hint="eastAsia"/>
          <w:color w:val="auto"/>
        </w:rPr>
        <w:t>并充分听取公众意见。</w:t>
      </w:r>
    </w:p>
    <w:p w14:paraId="31E1D5CE">
      <w:pPr>
        <w:pStyle w:val="65"/>
        <w:spacing w:before="156" w:after="156"/>
        <w:ind w:left="0"/>
        <w:outlineLvl w:val="2"/>
        <w:rPr>
          <w:rFonts w:hint="eastAsia"/>
          <w:color w:val="auto"/>
        </w:rPr>
      </w:pPr>
      <w:bookmarkStart w:id="41" w:name="_Toc17074"/>
      <w:bookmarkStart w:id="42" w:name="_Toc32627"/>
      <w:r>
        <w:rPr>
          <w:rFonts w:hint="eastAsia"/>
          <w:color w:val="auto"/>
        </w:rPr>
        <w:t>工程验收结论</w:t>
      </w:r>
      <w:bookmarkEnd w:id="41"/>
      <w:bookmarkEnd w:id="42"/>
    </w:p>
    <w:p w14:paraId="6848796F">
      <w:pPr>
        <w:pStyle w:val="62"/>
        <w:rPr>
          <w:rFonts w:hint="eastAsia"/>
          <w:color w:val="auto"/>
        </w:rPr>
      </w:pPr>
      <w:r>
        <w:rPr>
          <w:rFonts w:hint="eastAsia"/>
          <w:color w:val="auto"/>
        </w:rPr>
        <w:t>工程验收结论分为通过、不通过。出现以下负面清单情况的，验收专家组应评定为验收不通过，并在验收意见中载明需整改的事项和时限，</w:t>
      </w:r>
      <w:r>
        <w:rPr>
          <w:rFonts w:hint="eastAsia"/>
          <w:color w:val="auto"/>
          <w:lang w:val="en-US" w:eastAsia="zh-CN"/>
        </w:rPr>
        <w:t>整改期间应明确管控责任、严格执行安全环保要求，</w:t>
      </w:r>
      <w:r>
        <w:rPr>
          <w:rFonts w:hint="eastAsia"/>
          <w:color w:val="auto"/>
        </w:rPr>
        <w:t>整改完成后再进行验收：</w:t>
      </w:r>
    </w:p>
    <w:p w14:paraId="2A9AB3C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1.未完成实施方案提出的绩效目标，设计修复工程量未完成，修复工程质量不达标；</w:t>
      </w:r>
    </w:p>
    <w:p w14:paraId="0F85C428">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2.随意变更技术手段或工作量，且未经变更同意的；</w:t>
      </w:r>
    </w:p>
    <w:p w14:paraId="47D645B5">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3.未按设计要求消除地质安全隐患或产生新的地质安全隐患的；</w:t>
      </w:r>
    </w:p>
    <w:p w14:paraId="1029AE3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4.资料造假或资料与实际严重不符的。</w:t>
      </w:r>
    </w:p>
    <w:p w14:paraId="688B5E42">
      <w:pPr>
        <w:pStyle w:val="65"/>
        <w:spacing w:before="156" w:after="156"/>
        <w:ind w:left="0"/>
        <w:outlineLvl w:val="2"/>
        <w:rPr>
          <w:rFonts w:hint="eastAsia"/>
          <w:color w:val="auto"/>
        </w:rPr>
      </w:pPr>
      <w:bookmarkStart w:id="43" w:name="_Toc10627"/>
      <w:bookmarkStart w:id="44" w:name="_Toc30692"/>
      <w:r>
        <w:rPr>
          <w:rFonts w:hint="eastAsia"/>
          <w:color w:val="auto"/>
        </w:rPr>
        <w:t>工程验收资料</w:t>
      </w:r>
      <w:bookmarkEnd w:id="43"/>
      <w:bookmarkEnd w:id="44"/>
    </w:p>
    <w:p w14:paraId="76FEE2E7">
      <w:pPr>
        <w:pStyle w:val="72"/>
        <w:spacing w:before="156" w:beforeLines="50" w:after="156" w:afterLines="50"/>
        <w:ind w:firstLine="0" w:firstLineChars="0"/>
        <w:rPr>
          <w:rFonts w:hint="eastAsia"/>
          <w:color w:val="auto"/>
        </w:rPr>
      </w:pPr>
      <w:bookmarkStart w:id="45" w:name="_Toc15646"/>
      <w:r>
        <w:rPr>
          <w:rFonts w:hint="eastAsia"/>
          <w:color w:val="auto"/>
        </w:rPr>
        <w:t>4.5.1 一般要求</w:t>
      </w:r>
      <w:bookmarkEnd w:id="45"/>
    </w:p>
    <w:p w14:paraId="2FBE05C4">
      <w:pPr>
        <w:pStyle w:val="62"/>
        <w:rPr>
          <w:rFonts w:hint="eastAsia"/>
          <w:color w:val="auto"/>
        </w:rPr>
      </w:pPr>
      <w:bookmarkStart w:id="46" w:name="OLE_LINK52"/>
      <w:r>
        <w:rPr>
          <w:rFonts w:hint="eastAsia"/>
          <w:color w:val="auto"/>
        </w:rPr>
        <w:t>排土场（废石堆）生态修复工程项目验收前，实施主体/建设单位应确保项目已按设计文件完成全部工程内容，且各项工程性能、指标均符合设计要求，并通过自检评定合格。验收资料应组织编制完整，内容真实、准确、有效，签章齐全，并按规定归档。资料编制应符合国家、行业及团体标准的相关规定。</w:t>
      </w:r>
    </w:p>
    <w:bookmarkEnd w:id="46"/>
    <w:p w14:paraId="0E1DB4EE">
      <w:pPr>
        <w:pStyle w:val="72"/>
        <w:spacing w:before="156" w:beforeLines="50" w:after="156" w:afterLines="50"/>
        <w:ind w:firstLine="0" w:firstLineChars="0"/>
        <w:rPr>
          <w:rFonts w:hint="eastAsia"/>
          <w:color w:val="auto"/>
        </w:rPr>
      </w:pPr>
      <w:bookmarkStart w:id="47" w:name="_Toc21109"/>
      <w:r>
        <w:rPr>
          <w:rFonts w:hint="eastAsia"/>
          <w:color w:val="auto"/>
        </w:rPr>
        <w:t xml:space="preserve">4.5.2 </w:t>
      </w:r>
      <w:bookmarkStart w:id="48" w:name="OLE_LINK53"/>
      <w:r>
        <w:rPr>
          <w:rFonts w:hint="eastAsia"/>
          <w:color w:val="auto"/>
        </w:rPr>
        <w:t>排土场（废石堆）生态修复工程项目实施主体/建设单位应组织编制完成以下有关工程档案和施工管理等资料，资料分类及内容如下：</w:t>
      </w:r>
      <w:bookmarkEnd w:id="47"/>
    </w:p>
    <w:p w14:paraId="61C169B8">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 前期准备文件：包括项目调查报告、勘查报告、可行性研究报告、实施方案及批复文件等。</w:t>
      </w:r>
    </w:p>
    <w:p w14:paraId="46945C3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 设计文件：包括项目设计说明书、施工图、设计变更记录、补充设计文件及审查意见等。</w:t>
      </w:r>
    </w:p>
    <w:p w14:paraId="72B65E3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 施工过程文件：包括施工组织设计、开工报告、施工日志、材料检验报告、隐蔽工程验收记录、竣工图、施工总结报告等。</w:t>
      </w:r>
    </w:p>
    <w:p w14:paraId="0394493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 监理文件：包括监理规划</w:t>
      </w:r>
      <w:r>
        <w:rPr>
          <w:rFonts w:hint="eastAsia" w:ascii="Times New Roman" w:cs="Times New Roman"/>
          <w:color w:val="auto"/>
          <w:sz w:val="21"/>
          <w:szCs w:val="21"/>
          <w:lang w:val="en-US" w:eastAsia="zh-CN" w:bidi="ar-SA"/>
        </w:rPr>
        <w:t>（</w:t>
      </w:r>
      <w:r>
        <w:rPr>
          <w:rFonts w:hint="eastAsia" w:ascii="Times New Roman" w:hAnsi="Times New Roman" w:eastAsia="宋体" w:cs="Times New Roman"/>
          <w:color w:val="auto"/>
          <w:sz w:val="21"/>
          <w:szCs w:val="21"/>
          <w:lang w:val="en-US" w:eastAsia="zh-CN" w:bidi="ar-SA"/>
        </w:rPr>
        <w:t>含工程项目划分</w:t>
      </w:r>
      <w:r>
        <w:rPr>
          <w:rFonts w:hint="eastAsia" w:ascii="Times New Roman" w:cs="Times New Roman"/>
          <w:color w:val="auto"/>
          <w:sz w:val="21"/>
          <w:szCs w:val="21"/>
          <w:lang w:val="en-US" w:eastAsia="zh-CN" w:bidi="ar-SA"/>
        </w:rPr>
        <w:t>）</w:t>
      </w:r>
      <w:r>
        <w:rPr>
          <w:rFonts w:hint="eastAsia" w:ascii="Times New Roman" w:hAnsi="Times New Roman" w:eastAsia="宋体" w:cs="Times New Roman"/>
          <w:color w:val="auto"/>
          <w:sz w:val="21"/>
          <w:szCs w:val="21"/>
          <w:lang w:val="en-US" w:eastAsia="zh-CN" w:bidi="ar-SA"/>
        </w:rPr>
        <w:t>、监理报表、监理日志、工程质量评估报告、监理工作专题报告、监理总结报告等。</w:t>
      </w:r>
    </w:p>
    <w:p w14:paraId="3C72C44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5. 监测及检验文件：包括监测报告、工程质量检测报告、绩效评估报告等。</w:t>
      </w:r>
    </w:p>
    <w:p w14:paraId="552A6AA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6. 管理文件：包括项目招投标文件、合同协议、财务管理记录、安全环保管理文件、验收申请文件等。</w:t>
      </w:r>
    </w:p>
    <w:p w14:paraId="7E6A48BF">
      <w:pPr>
        <w:pStyle w:val="62"/>
        <w:rPr>
          <w:rFonts w:hint="eastAsia"/>
          <w:color w:val="auto"/>
        </w:rPr>
      </w:pPr>
      <w:r>
        <w:rPr>
          <w:rFonts w:hint="eastAsia" w:ascii="Times New Roman" w:hAnsi="Times New Roman" w:eastAsia="宋体" w:cs="Times New Roman"/>
          <w:color w:val="auto"/>
          <w:sz w:val="21"/>
          <w:szCs w:val="21"/>
          <w:lang w:val="en-US" w:eastAsia="zh-CN" w:bidi="ar-SA"/>
        </w:rPr>
        <w:t>7. 其他相关材料：包括会议纪要、影像资料、电子文件等与项目验收相关的辅助资料</w:t>
      </w:r>
      <w:bookmarkEnd w:id="48"/>
      <w:r>
        <w:rPr>
          <w:rFonts w:hint="eastAsia" w:ascii="Times New Roman" w:hAnsi="Times New Roman" w:eastAsia="宋体" w:cs="Times New Roman"/>
          <w:color w:val="auto"/>
          <w:sz w:val="21"/>
          <w:szCs w:val="21"/>
          <w:lang w:val="en-US" w:eastAsia="zh-CN" w:bidi="ar-SA"/>
        </w:rPr>
        <w:t>。</w:t>
      </w:r>
    </w:p>
    <w:p w14:paraId="06DAE7C9">
      <w:pPr>
        <w:pStyle w:val="72"/>
        <w:spacing w:before="156" w:beforeLines="50" w:after="156" w:afterLines="50"/>
        <w:ind w:firstLine="0" w:firstLineChars="0"/>
        <w:rPr>
          <w:rFonts w:hint="eastAsia"/>
          <w:color w:val="auto"/>
        </w:rPr>
      </w:pPr>
      <w:bookmarkStart w:id="49" w:name="_Toc26895"/>
      <w:r>
        <w:rPr>
          <w:rFonts w:hint="eastAsia"/>
          <w:color w:val="auto"/>
        </w:rPr>
        <w:t xml:space="preserve">4.5.3 </w:t>
      </w:r>
      <w:bookmarkStart w:id="50" w:name="OLE_LINK54"/>
      <w:r>
        <w:rPr>
          <w:rFonts w:hint="eastAsia"/>
          <w:color w:val="auto"/>
        </w:rPr>
        <w:t>项目实施主体/建设单位组织编制完成以下有关排土场（废石堆）生态修复工程项目验收佐证材料。</w:t>
      </w:r>
      <w:bookmarkEnd w:id="49"/>
    </w:p>
    <w:p w14:paraId="02705B9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 工程质量检验与评定资料。</w:t>
      </w:r>
    </w:p>
    <w:p w14:paraId="605A062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 工程质量抽检报告。</w:t>
      </w:r>
    </w:p>
    <w:p w14:paraId="5BEE527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 土地质量评定报告。</w:t>
      </w:r>
    </w:p>
    <w:p w14:paraId="17470FC1">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 监测评估数据等资料。</w:t>
      </w:r>
    </w:p>
    <w:p w14:paraId="2A55E83C">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5. 竣工测量报告。</w:t>
      </w:r>
    </w:p>
    <w:p w14:paraId="2AEB90D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6. 移交管护责任单位资料。</w:t>
      </w:r>
    </w:p>
    <w:p w14:paraId="32CCB717">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7. 其他相关材料。</w:t>
      </w:r>
    </w:p>
    <w:bookmarkEnd w:id="50"/>
    <w:p w14:paraId="47D51AD6">
      <w:pPr>
        <w:pStyle w:val="72"/>
        <w:spacing w:before="156" w:beforeLines="50" w:after="156" w:afterLines="50"/>
        <w:ind w:firstLine="0" w:firstLineChars="0"/>
        <w:rPr>
          <w:rFonts w:hint="eastAsia"/>
          <w:color w:val="auto"/>
        </w:rPr>
      </w:pPr>
      <w:bookmarkStart w:id="51" w:name="_Toc20562"/>
      <w:r>
        <w:rPr>
          <w:rFonts w:hint="eastAsia"/>
          <w:color w:val="auto"/>
        </w:rPr>
        <w:t>4.5.4 排土场（废石堆）生态修复工程项目验收前应对以下内容进行合法合规性审核。</w:t>
      </w:r>
      <w:bookmarkEnd w:id="51"/>
    </w:p>
    <w:p w14:paraId="71918E5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 符合国家法律法规及相关政策，符合国土空间规划和用途管制的要求，各项工程不存在违法占地和破坏耕地行为。</w:t>
      </w:r>
    </w:p>
    <w:p w14:paraId="7C8C96B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 涉及占用或调整永久基本农田的，应符合永久基本农田管控要求。</w:t>
      </w:r>
    </w:p>
    <w:p w14:paraId="32F17180">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 涉及生态保护红线的，应符合有关管控要求。</w:t>
      </w:r>
    </w:p>
    <w:p w14:paraId="622D365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 涉及地类变更的，应通过年度国土变更调查或日常变更机制完成地类变更；涉及土地权属调整的，应符合土地权属调整相关要求。</w:t>
      </w:r>
    </w:p>
    <w:p w14:paraId="4BCD359D">
      <w:pPr>
        <w:pStyle w:val="72"/>
        <w:spacing w:before="156" w:beforeLines="50" w:after="156" w:afterLines="50"/>
        <w:ind w:firstLine="0" w:firstLineChars="0"/>
        <w:rPr>
          <w:rFonts w:hint="eastAsia"/>
          <w:color w:val="auto"/>
        </w:rPr>
      </w:pPr>
      <w:bookmarkStart w:id="52" w:name="_Toc19584"/>
      <w:r>
        <w:rPr>
          <w:rFonts w:hint="eastAsia"/>
          <w:color w:val="auto"/>
        </w:rPr>
        <w:t>4.5.5 排土场（废石堆）生态修复工程项目工程验收资料应及时分类整理，上一阶段验收资料、验收结论、整改情况等作为下一阶段验收依据。</w:t>
      </w:r>
      <w:bookmarkEnd w:id="52"/>
    </w:p>
    <w:p w14:paraId="02491ABF">
      <w:pPr>
        <w:pStyle w:val="72"/>
        <w:spacing w:before="156" w:beforeLines="50" w:after="156" w:afterLines="50"/>
        <w:ind w:firstLine="0" w:firstLineChars="0"/>
        <w:rPr>
          <w:rFonts w:hint="eastAsia"/>
          <w:color w:val="auto"/>
        </w:rPr>
      </w:pPr>
      <w:bookmarkStart w:id="53" w:name="_Toc26754"/>
      <w:r>
        <w:rPr>
          <w:rFonts w:hint="eastAsia"/>
          <w:color w:val="auto"/>
        </w:rPr>
        <w:t>4.5.6 在工程验收后，验收单位应及时将验收资料进行整理、分类，统一编号后存档。</w:t>
      </w:r>
      <w:bookmarkEnd w:id="53"/>
    </w:p>
    <w:p w14:paraId="0768D2AB">
      <w:pPr>
        <w:pStyle w:val="66"/>
        <w:rPr>
          <w:rFonts w:hint="eastAsia"/>
          <w:color w:val="auto"/>
        </w:rPr>
      </w:pPr>
      <w:bookmarkStart w:id="54" w:name="_Toc765"/>
      <w:bookmarkStart w:id="55" w:name="_Toc23157"/>
      <w:bookmarkStart w:id="56" w:name="_Toc12171"/>
      <w:r>
        <w:rPr>
          <w:rFonts w:hint="eastAsia"/>
          <w:color w:val="auto"/>
        </w:rPr>
        <w:t>验收组织与程序</w:t>
      </w:r>
      <w:bookmarkEnd w:id="54"/>
      <w:bookmarkEnd w:id="55"/>
      <w:bookmarkEnd w:id="56"/>
    </w:p>
    <w:p w14:paraId="4059B781">
      <w:pPr>
        <w:pStyle w:val="65"/>
        <w:spacing w:before="156" w:after="156"/>
        <w:ind w:left="0"/>
        <w:outlineLvl w:val="2"/>
        <w:rPr>
          <w:rFonts w:hint="eastAsia"/>
          <w:color w:val="auto"/>
        </w:rPr>
      </w:pPr>
      <w:bookmarkStart w:id="57" w:name="_Toc218763123"/>
      <w:bookmarkStart w:id="58" w:name="_Toc25398"/>
      <w:bookmarkStart w:id="59" w:name="_Toc218763794"/>
      <w:bookmarkStart w:id="60" w:name="_Toc218963329"/>
      <w:bookmarkStart w:id="61" w:name="_Toc14722"/>
      <w:r>
        <w:rPr>
          <w:rFonts w:hint="eastAsia"/>
          <w:color w:val="auto"/>
        </w:rPr>
        <w:t>验收组织</w:t>
      </w:r>
      <w:bookmarkEnd w:id="57"/>
      <w:bookmarkEnd w:id="58"/>
      <w:bookmarkEnd w:id="59"/>
      <w:bookmarkEnd w:id="60"/>
      <w:bookmarkEnd w:id="61"/>
    </w:p>
    <w:p w14:paraId="0FBA5CCC">
      <w:pPr>
        <w:pStyle w:val="72"/>
        <w:spacing w:before="156" w:beforeLines="50" w:after="156" w:afterLines="50"/>
        <w:ind w:firstLine="0" w:firstLineChars="0"/>
        <w:rPr>
          <w:rFonts w:hint="eastAsia"/>
          <w:color w:val="auto"/>
        </w:rPr>
      </w:pPr>
      <w:bookmarkStart w:id="62" w:name="_Toc24591"/>
      <w:bookmarkStart w:id="63" w:name="OLE_LINK26"/>
      <w:r>
        <w:rPr>
          <w:rFonts w:hint="eastAsia"/>
          <w:color w:val="auto"/>
        </w:rPr>
        <w:t>5.1.1 工程自验由工程实施责任单位组织专家、设计单位、施工单位、监理单位进行；最终验收一般由工程监管责任单位组织专家组、工程实施责任单位、设计单位、施工单位、监理单位进行。</w:t>
      </w:r>
      <w:bookmarkEnd w:id="62"/>
    </w:p>
    <w:p w14:paraId="24E1CEDC">
      <w:pPr>
        <w:pStyle w:val="72"/>
        <w:spacing w:before="156" w:beforeLines="50" w:after="156" w:afterLines="50"/>
        <w:ind w:firstLine="0" w:firstLineChars="0"/>
        <w:rPr>
          <w:rFonts w:hint="eastAsia"/>
          <w:color w:val="auto"/>
        </w:rPr>
      </w:pPr>
      <w:bookmarkStart w:id="64" w:name="_Toc19298"/>
      <w:r>
        <w:rPr>
          <w:rFonts w:hint="eastAsia"/>
          <w:color w:val="auto"/>
        </w:rPr>
        <w:t>5.1.2 排土场（废石堆）生态修复工程验收时，验收工作成立专家组，实行组长负责制，由专家组组长签署验收意见。专家组成员由验收组织部门从省、市自然资源专家库中随机抽取，专家组人数一般应为3</w:t>
      </w:r>
      <w:r>
        <w:rPr>
          <w:rFonts w:hint="eastAsia"/>
          <w:color w:val="auto"/>
          <w:lang w:eastAsia="zh-CN"/>
        </w:rPr>
        <w:t>～</w:t>
      </w:r>
      <w:r>
        <w:rPr>
          <w:rFonts w:hint="eastAsia"/>
          <w:color w:val="auto"/>
        </w:rPr>
        <w:t>7人</w:t>
      </w:r>
      <w:r>
        <w:rPr>
          <w:rFonts w:hint="eastAsia"/>
          <w:color w:val="auto"/>
          <w:lang w:val="en-US" w:eastAsia="zh-CN"/>
        </w:rPr>
        <w:t>单数</w:t>
      </w:r>
      <w:r>
        <w:rPr>
          <w:rFonts w:hint="eastAsia"/>
          <w:color w:val="auto"/>
        </w:rPr>
        <w:t>，专业领域应涵盖地质环境、地质工程（侧重边坡稳定性）、水文地质、生态修复或具备排土场（废石堆）修复丰富经验的专家。</w:t>
      </w:r>
      <w:bookmarkEnd w:id="64"/>
    </w:p>
    <w:p w14:paraId="0E61FD7D">
      <w:pPr>
        <w:pStyle w:val="72"/>
        <w:spacing w:before="156" w:beforeLines="50" w:after="156" w:afterLines="50"/>
        <w:ind w:firstLine="0" w:firstLineChars="0"/>
        <w:rPr>
          <w:rFonts w:hint="eastAsia"/>
          <w:color w:val="auto"/>
        </w:rPr>
      </w:pPr>
      <w:bookmarkStart w:id="65" w:name="_Toc10113"/>
      <w:r>
        <w:rPr>
          <w:rFonts w:hint="eastAsia"/>
          <w:color w:val="auto"/>
        </w:rPr>
        <w:t>5.1.3 排土场（废石堆）生态修复工程验收工作应依据批准的排土场（废石堆）生态修复设计（方案）、设计（方案）审查意见、招标文件、合同、相关技术标准要求等，客观、公正、科学地开展工程验收，给出真实、准确的验收意见。科学组织，遵照各阶段验收条件与依据，采用定量与定性相结合、室内审阅文件与实地核查相结合的方法，合理开展验收，编制各阶段验收资料，实事求是给出公正、真实的验收意见和结论。</w:t>
      </w:r>
      <w:bookmarkEnd w:id="65"/>
    </w:p>
    <w:p w14:paraId="688BF7E1">
      <w:pPr>
        <w:pStyle w:val="72"/>
        <w:spacing w:before="156" w:beforeLines="50" w:after="156" w:afterLines="50"/>
        <w:ind w:firstLine="0" w:firstLineChars="0"/>
        <w:rPr>
          <w:rFonts w:hint="eastAsia"/>
          <w:color w:val="auto"/>
        </w:rPr>
      </w:pPr>
      <w:bookmarkStart w:id="66" w:name="_Toc11724"/>
      <w:r>
        <w:rPr>
          <w:rFonts w:hint="eastAsia"/>
          <w:color w:val="auto"/>
        </w:rPr>
        <w:t>5.1.4 排土场（废石堆）生态修复工程验收涉及新增耕地指标、城乡建设用地增减挂钩、耕地质量建设、生态保护红线、存量采矿用地复垦修复与采矿项目新增用地相挂钩等政策时，执行有关规定。涉及地类变更的，通过国土变更调查相关程序予以认定。</w:t>
      </w:r>
      <w:bookmarkEnd w:id="66"/>
    </w:p>
    <w:p w14:paraId="2135EE85">
      <w:pPr>
        <w:pStyle w:val="72"/>
        <w:spacing w:before="156" w:beforeLines="50" w:after="156" w:afterLines="50"/>
        <w:ind w:firstLine="0" w:firstLineChars="0"/>
        <w:rPr>
          <w:rFonts w:hint="eastAsia"/>
          <w:color w:val="auto"/>
        </w:rPr>
      </w:pPr>
      <w:bookmarkStart w:id="67" w:name="_Toc11303"/>
      <w:r>
        <w:rPr>
          <w:rFonts w:hint="eastAsia"/>
          <w:color w:val="auto"/>
        </w:rPr>
        <w:t>5.1.5 排土场（废石堆）生态修复工程验收后应及时整理各阶段形成的文件资料，分类标注，统一编号存档。工程需移交管护的，接收方应参加最终验收。生态修复效果委托第三方评估的，评估方宜参加最终验收。生态修复效果评估报告编写提纲参照附录 A。</w:t>
      </w:r>
      <w:bookmarkEnd w:id="67"/>
    </w:p>
    <w:bookmarkEnd w:id="63"/>
    <w:p w14:paraId="6DC97351">
      <w:pPr>
        <w:pStyle w:val="65"/>
        <w:spacing w:before="156" w:after="156"/>
        <w:ind w:left="0"/>
        <w:outlineLvl w:val="2"/>
        <w:rPr>
          <w:rFonts w:hint="eastAsia"/>
          <w:color w:val="auto"/>
        </w:rPr>
      </w:pPr>
      <w:bookmarkStart w:id="68" w:name="_Toc12104"/>
      <w:bookmarkStart w:id="69" w:name="_Toc218763795"/>
      <w:bookmarkStart w:id="70" w:name="_Toc218963330"/>
      <w:bookmarkStart w:id="71" w:name="_Toc6608"/>
      <w:bookmarkStart w:id="72" w:name="_Toc218763124"/>
      <w:r>
        <w:rPr>
          <w:rFonts w:hint="eastAsia"/>
          <w:color w:val="auto"/>
        </w:rPr>
        <w:t>验收程序</w:t>
      </w:r>
      <w:bookmarkEnd w:id="68"/>
      <w:bookmarkEnd w:id="69"/>
      <w:bookmarkEnd w:id="70"/>
      <w:bookmarkEnd w:id="71"/>
      <w:bookmarkEnd w:id="72"/>
    </w:p>
    <w:p w14:paraId="2939DFCC">
      <w:pPr>
        <w:pStyle w:val="72"/>
        <w:spacing w:before="156" w:beforeLines="50" w:after="156" w:afterLines="50"/>
        <w:ind w:firstLine="0" w:firstLineChars="0"/>
        <w:rPr>
          <w:rFonts w:hint="eastAsia"/>
          <w:color w:val="auto"/>
        </w:rPr>
      </w:pPr>
      <w:bookmarkStart w:id="73" w:name="_Toc340"/>
      <w:r>
        <w:rPr>
          <w:rFonts w:hint="eastAsia" w:ascii="Times New Roman" w:hAnsi="Times New Roman" w:eastAsia="宋体" w:cs="Times New Roman"/>
          <w:color w:val="auto"/>
          <w:sz w:val="21"/>
          <w:szCs w:val="21"/>
          <w:lang w:val="en-US" w:eastAsia="zh-CN" w:bidi="ar-SA"/>
        </w:rPr>
        <w:t>5.2.1</w:t>
      </w:r>
      <w:r>
        <w:rPr>
          <w:rFonts w:hint="eastAsia"/>
          <w:color w:val="auto"/>
        </w:rPr>
        <w:t xml:space="preserve"> 整体工程按设计文件和合同要求完工后，施工单位应在整体工程质量检验评定合格基础上，向工程实施责任单位提交验收申请，工程实施责任单位收到申请后，组织专家组和设计、施工、监理单位代表进行工程自验，形成自验验收意见。</w:t>
      </w:r>
      <w:bookmarkEnd w:id="73"/>
    </w:p>
    <w:p w14:paraId="118ECB99">
      <w:pPr>
        <w:pStyle w:val="72"/>
        <w:spacing w:before="156" w:beforeLines="50" w:after="156" w:afterLines="50"/>
        <w:ind w:firstLine="0" w:firstLineChars="0"/>
        <w:rPr>
          <w:rFonts w:hint="eastAsia"/>
          <w:color w:val="auto"/>
        </w:rPr>
      </w:pPr>
      <w:bookmarkStart w:id="74" w:name="_Toc14652"/>
      <w:r>
        <w:rPr>
          <w:rFonts w:hint="eastAsia"/>
          <w:color w:val="auto"/>
        </w:rPr>
        <w:t>5.2.2 工程自验通过后，工程实施责任单位向工程监管责任单位提交最终验收申请，工程监管责任单位组织工程实施责任单位、设计单位、施工单位、监理单位代表及专家组开展工程终验，形成最终验收意见。</w:t>
      </w:r>
      <w:bookmarkEnd w:id="74"/>
    </w:p>
    <w:p w14:paraId="1085A64D">
      <w:pPr>
        <w:pStyle w:val="66"/>
        <w:rPr>
          <w:rFonts w:hint="eastAsia"/>
          <w:color w:val="auto"/>
        </w:rPr>
      </w:pPr>
      <w:bookmarkStart w:id="75" w:name="_Toc13628"/>
      <w:bookmarkStart w:id="76" w:name="_Toc1629"/>
      <w:bookmarkStart w:id="77" w:name="_Toc7007"/>
      <w:r>
        <w:rPr>
          <w:rFonts w:hint="eastAsia"/>
          <w:color w:val="auto"/>
        </w:rPr>
        <w:t>工程验收形式和内容</w:t>
      </w:r>
      <w:bookmarkEnd w:id="75"/>
      <w:bookmarkEnd w:id="76"/>
      <w:bookmarkEnd w:id="77"/>
    </w:p>
    <w:p w14:paraId="3835C3C6">
      <w:pPr>
        <w:pStyle w:val="65"/>
        <w:spacing w:before="156" w:after="156"/>
        <w:ind w:left="0"/>
        <w:outlineLvl w:val="2"/>
        <w:rPr>
          <w:rFonts w:hint="eastAsia"/>
          <w:color w:val="auto"/>
        </w:rPr>
      </w:pPr>
      <w:bookmarkStart w:id="78" w:name="_Toc218763797"/>
      <w:bookmarkStart w:id="79" w:name="_Toc16349"/>
      <w:bookmarkStart w:id="80" w:name="_Toc218763126"/>
      <w:bookmarkStart w:id="81" w:name="_Toc218963332"/>
      <w:bookmarkStart w:id="82" w:name="_Toc25231"/>
      <w:r>
        <w:rPr>
          <w:rFonts w:hint="eastAsia"/>
          <w:color w:val="auto"/>
        </w:rPr>
        <w:t>工程验收形式</w:t>
      </w:r>
      <w:bookmarkEnd w:id="78"/>
      <w:bookmarkEnd w:id="79"/>
      <w:bookmarkEnd w:id="80"/>
      <w:bookmarkEnd w:id="81"/>
      <w:bookmarkEnd w:id="82"/>
    </w:p>
    <w:p w14:paraId="0A44A424">
      <w:pPr>
        <w:pStyle w:val="62"/>
        <w:rPr>
          <w:rFonts w:hint="eastAsia"/>
          <w:color w:val="auto"/>
        </w:rPr>
      </w:pPr>
      <w:bookmarkStart w:id="83" w:name="OLE_LINK28"/>
      <w:r>
        <w:rPr>
          <w:rFonts w:hint="eastAsia"/>
          <w:color w:val="auto"/>
        </w:rPr>
        <w:t>工程验收宜采用会议形式，程序一般包括</w:t>
      </w:r>
      <w:r>
        <w:rPr>
          <w:rFonts w:hint="eastAsia"/>
          <w:color w:val="auto"/>
          <w:lang w:eastAsia="zh-CN"/>
        </w:rPr>
        <w:t>查</w:t>
      </w:r>
      <w:r>
        <w:rPr>
          <w:rFonts w:hint="eastAsia"/>
          <w:color w:val="auto"/>
        </w:rPr>
        <w:t>看现场、听取汇报、查验资料、质询讨论、形成意见。</w:t>
      </w:r>
    </w:p>
    <w:p w14:paraId="4F410CDC">
      <w:pPr>
        <w:pStyle w:val="62"/>
        <w:rPr>
          <w:rFonts w:hint="eastAsia"/>
          <w:color w:val="auto"/>
        </w:rPr>
      </w:pPr>
      <w:r>
        <w:rPr>
          <w:rFonts w:hint="eastAsia"/>
          <w:color w:val="auto"/>
        </w:rPr>
        <w:t>查看现场时，应重点</w:t>
      </w:r>
      <w:r>
        <w:rPr>
          <w:rFonts w:hint="eastAsia"/>
          <w:color w:val="auto"/>
          <w:lang w:eastAsia="zh-CN"/>
        </w:rPr>
        <w:t>检查</w:t>
      </w:r>
      <w:r>
        <w:rPr>
          <w:rFonts w:hint="eastAsia"/>
          <w:color w:val="auto"/>
        </w:rPr>
        <w:t>工程布置、工程量、工程质量、管护措施等的落实情况和排土场（废石堆）生态修复的效果；查验资料时，应重点检查管理、设计、施工、监理、财务等各类资料的真实性、完整性、合规性和规范性。验收资料清单按照附录</w:t>
      </w:r>
      <w:r>
        <w:rPr>
          <w:rFonts w:hint="eastAsia" w:ascii="Times New Roman" w:hAnsi="Times New Roman" w:eastAsia="宋体" w:cs="Times New Roman"/>
          <w:color w:val="auto"/>
          <w:sz w:val="21"/>
          <w:szCs w:val="21"/>
          <w:lang w:val="en-US" w:eastAsia="zh-CN" w:bidi="ar-SA"/>
        </w:rPr>
        <w:t>B</w:t>
      </w:r>
      <w:r>
        <w:rPr>
          <w:rFonts w:hint="eastAsia"/>
          <w:color w:val="auto"/>
        </w:rPr>
        <w:t>提供。</w:t>
      </w:r>
    </w:p>
    <w:bookmarkEnd w:id="83"/>
    <w:p w14:paraId="3C379C73">
      <w:pPr>
        <w:pStyle w:val="65"/>
        <w:spacing w:before="156" w:after="156"/>
        <w:ind w:left="0"/>
        <w:outlineLvl w:val="2"/>
        <w:rPr>
          <w:rFonts w:hint="eastAsia"/>
          <w:color w:val="auto"/>
        </w:rPr>
      </w:pPr>
      <w:bookmarkStart w:id="84" w:name="_Toc218963333"/>
      <w:bookmarkStart w:id="85" w:name="_Toc20371"/>
      <w:bookmarkStart w:id="86" w:name="_Toc29280"/>
      <w:bookmarkStart w:id="87" w:name="_Toc218763127"/>
      <w:bookmarkStart w:id="88" w:name="_Toc218763798"/>
      <w:r>
        <w:rPr>
          <w:rFonts w:hint="eastAsia"/>
          <w:color w:val="auto"/>
        </w:rPr>
        <w:t>工程验收验收组审查意见</w:t>
      </w:r>
      <w:bookmarkEnd w:id="84"/>
      <w:bookmarkEnd w:id="85"/>
      <w:bookmarkEnd w:id="86"/>
      <w:bookmarkEnd w:id="87"/>
      <w:bookmarkEnd w:id="88"/>
    </w:p>
    <w:p w14:paraId="4774EDF3">
      <w:pPr>
        <w:pStyle w:val="62"/>
        <w:rPr>
          <w:rFonts w:hint="eastAsia"/>
          <w:color w:val="auto"/>
        </w:rPr>
      </w:pPr>
      <w:r>
        <w:rPr>
          <w:rFonts w:hint="eastAsia"/>
          <w:color w:val="auto"/>
        </w:rPr>
        <w:t>参与会议专家应逐个发言、广泛质询、充分讨论。</w:t>
      </w:r>
    </w:p>
    <w:p w14:paraId="71754E96">
      <w:pPr>
        <w:pStyle w:val="62"/>
        <w:rPr>
          <w:rFonts w:hint="eastAsia"/>
          <w:color w:val="auto"/>
        </w:rPr>
      </w:pPr>
      <w:r>
        <w:rPr>
          <w:rFonts w:hint="eastAsia"/>
          <w:color w:val="auto"/>
        </w:rPr>
        <w:t>验收组审查意见，由专家组长综合与会方代表、专家意见后形成，并明确告知是否通过。</w:t>
      </w:r>
    </w:p>
    <w:p w14:paraId="1DB3EF4C">
      <w:pPr>
        <w:pStyle w:val="62"/>
        <w:rPr>
          <w:rFonts w:hint="eastAsia"/>
          <w:color w:val="auto"/>
        </w:rPr>
      </w:pPr>
      <w:r>
        <w:rPr>
          <w:rFonts w:hint="eastAsia"/>
          <w:color w:val="auto"/>
        </w:rPr>
        <w:t>工程验收不通过的，应给出验收不通过的理由，工程验收通过需整改的，应给出整改意见清单。验收意见书格式参照附录</w:t>
      </w:r>
      <w:r>
        <w:rPr>
          <w:rFonts w:hint="eastAsia" w:ascii="Times New Roman" w:hAnsi="Times New Roman" w:eastAsia="宋体" w:cs="Times New Roman"/>
          <w:color w:val="auto"/>
          <w:sz w:val="21"/>
          <w:szCs w:val="21"/>
          <w:lang w:val="en-US" w:eastAsia="zh-CN" w:bidi="ar-SA"/>
        </w:rPr>
        <w:t>C</w:t>
      </w:r>
      <w:r>
        <w:rPr>
          <w:rFonts w:hint="eastAsia"/>
          <w:color w:val="auto"/>
        </w:rPr>
        <w:t>。</w:t>
      </w:r>
    </w:p>
    <w:p w14:paraId="788FC6BE">
      <w:pPr>
        <w:pStyle w:val="65"/>
        <w:spacing w:before="156" w:after="156"/>
        <w:ind w:left="0"/>
        <w:outlineLvl w:val="2"/>
        <w:rPr>
          <w:rFonts w:hint="eastAsia"/>
          <w:color w:val="auto"/>
        </w:rPr>
      </w:pPr>
      <w:bookmarkStart w:id="89" w:name="_Toc218763799"/>
      <w:bookmarkStart w:id="90" w:name="_Toc218963334"/>
      <w:bookmarkStart w:id="91" w:name="_Toc218763128"/>
      <w:bookmarkStart w:id="92" w:name="_Toc14528"/>
      <w:bookmarkStart w:id="93" w:name="_Toc20991"/>
      <w:r>
        <w:rPr>
          <w:rFonts w:hint="eastAsia"/>
          <w:color w:val="auto"/>
        </w:rPr>
        <w:t>工程验收内容和要求</w:t>
      </w:r>
      <w:bookmarkEnd w:id="89"/>
      <w:bookmarkEnd w:id="90"/>
      <w:bookmarkEnd w:id="91"/>
      <w:bookmarkEnd w:id="92"/>
      <w:bookmarkEnd w:id="93"/>
    </w:p>
    <w:p w14:paraId="19EA1457">
      <w:pPr>
        <w:pStyle w:val="72"/>
        <w:spacing w:before="156" w:beforeLines="50" w:after="156" w:afterLines="50"/>
        <w:ind w:firstLine="0" w:firstLineChars="0"/>
        <w:rPr>
          <w:rFonts w:hint="eastAsia"/>
          <w:color w:val="auto"/>
        </w:rPr>
      </w:pPr>
      <w:bookmarkStart w:id="94" w:name="_Toc6931"/>
      <w:r>
        <w:rPr>
          <w:rFonts w:hint="eastAsia"/>
          <w:color w:val="auto"/>
        </w:rPr>
        <w:t>6.3.1查验项目修复工程建设内容和质量，应符合以下要求：</w:t>
      </w:r>
      <w:bookmarkEnd w:id="94"/>
    </w:p>
    <w:p w14:paraId="3FCB4F30">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1.按合同段进行复核，将修复工程建设情况和经批准的项目设计文件进行对比，检查修复工程建设任务目标完成情况，修复工程内容和数量应符合设计规定；</w:t>
      </w:r>
    </w:p>
    <w:p w14:paraId="6AE60F2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2.查阅修复工程质量检验与评定资料，全部修复工程质量应满足修复工程设计和施工质量标准；</w:t>
      </w:r>
    </w:p>
    <w:p w14:paraId="1A71512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3.排土场（废石堆）地质环境治理恢复和监测类修复任务现场抽查比例不低于该类型修复任务数量的30%，土地复垦利用和生态系统功能恢复类修复任务现场抽查数量按照TD/T 1044现场抽样要求确定。现场抽查合格率应达到100%。现场抽查应填写修复工程任务和质量情况抽查表（参照TD/T 1092附录 B）；</w:t>
      </w:r>
    </w:p>
    <w:p w14:paraId="37210285">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4.修复工程项目存在变更或调整时，应符合有关规定程序。</w:t>
      </w:r>
    </w:p>
    <w:p w14:paraId="1C82F042">
      <w:pPr>
        <w:pStyle w:val="72"/>
        <w:spacing w:before="156" w:beforeLines="50" w:after="156" w:afterLines="50"/>
        <w:ind w:firstLine="0" w:firstLineChars="0"/>
        <w:rPr>
          <w:rFonts w:hint="eastAsia"/>
          <w:color w:val="auto"/>
        </w:rPr>
      </w:pPr>
      <w:bookmarkStart w:id="95" w:name="_Toc9780"/>
      <w:r>
        <w:rPr>
          <w:rFonts w:hint="eastAsia"/>
          <w:color w:val="auto"/>
        </w:rPr>
        <w:t>6.3.2查验</w:t>
      </w:r>
      <w:r>
        <w:rPr>
          <w:rFonts w:hint="eastAsia"/>
          <w:color w:val="auto"/>
          <w:lang w:val="en-US"/>
        </w:rPr>
        <w:t>排土场（废石堆）</w:t>
      </w:r>
      <w:r>
        <w:rPr>
          <w:rFonts w:hint="eastAsia"/>
          <w:color w:val="auto"/>
        </w:rPr>
        <w:t>地质环境治理恢复情况，可填写地质环境治理恢复情况表（</w:t>
      </w:r>
      <w:r>
        <w:rPr>
          <w:rFonts w:hint="eastAsia"/>
          <w:color w:val="auto"/>
          <w:lang w:val="en-US"/>
        </w:rPr>
        <w:t>参照TD/T 1092</w:t>
      </w:r>
      <w:r>
        <w:rPr>
          <w:rFonts w:hint="eastAsia"/>
          <w:color w:val="auto"/>
        </w:rPr>
        <w:t xml:space="preserve">附录 </w:t>
      </w:r>
      <w:r>
        <w:rPr>
          <w:rFonts w:hint="eastAsia"/>
          <w:color w:val="auto"/>
          <w:lang w:val="en-US"/>
        </w:rPr>
        <w:t>C</w:t>
      </w:r>
      <w:r>
        <w:rPr>
          <w:rFonts w:hint="eastAsia"/>
          <w:color w:val="auto"/>
        </w:rPr>
        <w:t>）。查验内容主要包括地质环境隐患点消除、地貌重塑等技术措施的实施效果以及水体状况，应符合以下要求：</w:t>
      </w:r>
      <w:bookmarkEnd w:id="95"/>
    </w:p>
    <w:p w14:paraId="541CD91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1.不稳定边坡、泥石流等地质环境隐患应全部按实施方案、设计文件采取治理措施，并符合GB/T 38509、TD/T 1070规定，应包括但不限于挡护、截排水、边坡稳定性治理等内容；</w:t>
      </w:r>
    </w:p>
    <w:p w14:paraId="35F42C3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2.地貌重塑应全部按照实施方案、设计文件进行治理，并符合TD/T 1070规定，修复后的地形地貌应与周边景观相协调；</w:t>
      </w:r>
    </w:p>
    <w:p w14:paraId="1487964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3.水体状况应得到改善，水资源保障程度应满足实施区域生态保护修复需要。</w:t>
      </w:r>
    </w:p>
    <w:p w14:paraId="604EE17A">
      <w:pPr>
        <w:pStyle w:val="72"/>
        <w:spacing w:before="156" w:beforeLines="50" w:after="156" w:afterLines="50"/>
        <w:ind w:firstLine="0" w:firstLineChars="0"/>
        <w:rPr>
          <w:rFonts w:hint="eastAsia"/>
          <w:color w:val="auto"/>
        </w:rPr>
      </w:pPr>
      <w:bookmarkStart w:id="96" w:name="_Toc14129"/>
      <w:r>
        <w:rPr>
          <w:rFonts w:hint="eastAsia"/>
          <w:color w:val="auto"/>
        </w:rPr>
        <w:t>6.3.3查验</w:t>
      </w:r>
      <w:r>
        <w:rPr>
          <w:rFonts w:hint="eastAsia"/>
          <w:color w:val="auto"/>
          <w:lang w:val="en-US"/>
        </w:rPr>
        <w:t>排土场（废石堆）</w:t>
      </w:r>
      <w:r>
        <w:rPr>
          <w:rFonts w:hint="eastAsia"/>
          <w:color w:val="auto"/>
        </w:rPr>
        <w:t>土地复垦利用情况，可填写土地利用变化情况表（</w:t>
      </w:r>
      <w:r>
        <w:rPr>
          <w:rFonts w:hint="eastAsia"/>
          <w:color w:val="auto"/>
          <w:lang w:val="en-US"/>
        </w:rPr>
        <w:t>参照TD/T 1092</w:t>
      </w:r>
      <w:r>
        <w:rPr>
          <w:rFonts w:hint="eastAsia"/>
          <w:color w:val="auto"/>
        </w:rPr>
        <w:t>附录 D）。查验内容主要包括土地利用类型、面积、质量等内容，应符合以下要求：</w:t>
      </w:r>
      <w:bookmarkEnd w:id="96"/>
    </w:p>
    <w:p w14:paraId="0ED675C1">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复垦为耕地、园地、林地、草地等农用地时，地面坡度、土层厚度、耕作层质量和配套修复工程建设应符合TD/T1036规定；耕地建设应符合现有农田建设标准规定；用于建设用地时，应符合TD/T1036规定。农用地、建设用地的土壤环境质量应分别符合GB 15618、GB 36600规定；</w:t>
      </w:r>
    </w:p>
    <w:p w14:paraId="5090FE05">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2.复垦后的土地利用地类划分应符合TD/T 1055的规定。复垦后的耕地、园地、林地、草地质量评定应符合GB/T 28407、TD/T 1036、TD/T 1060、TD/T 1071规定，国有建设用地质量评定应符合GB/T 18507规定；</w:t>
      </w:r>
    </w:p>
    <w:p w14:paraId="238DB407">
      <w:pPr>
        <w:pStyle w:val="62"/>
        <w:rPr>
          <w:rFonts w:hint="eastAsia"/>
          <w:color w:val="auto"/>
        </w:rPr>
      </w:pPr>
      <w:r>
        <w:rPr>
          <w:rFonts w:hint="eastAsia" w:ascii="Times New Roman" w:hAnsi="Times New Roman" w:eastAsia="宋体" w:cs="Times New Roman"/>
          <w:color w:val="auto"/>
          <w:sz w:val="21"/>
          <w:szCs w:val="21"/>
          <w:lang w:val="en-US" w:eastAsia="zh-CN" w:bidi="ar-SA"/>
        </w:rPr>
        <w:t>3.涉及新增耕地拟用于占补平衡的，还应符合新增耕地核实认定的有关标准和要求。</w:t>
      </w:r>
    </w:p>
    <w:p w14:paraId="7B78745A">
      <w:pPr>
        <w:pStyle w:val="72"/>
        <w:spacing w:before="156" w:beforeLines="50" w:after="156" w:afterLines="50"/>
        <w:ind w:firstLine="0" w:firstLineChars="0"/>
        <w:rPr>
          <w:rFonts w:hint="eastAsia"/>
          <w:color w:val="auto"/>
        </w:rPr>
      </w:pPr>
      <w:bookmarkStart w:id="97" w:name="_Toc21256"/>
      <w:r>
        <w:rPr>
          <w:rFonts w:hint="eastAsia"/>
          <w:color w:val="auto"/>
        </w:rPr>
        <w:t>6.3.4评价</w:t>
      </w:r>
      <w:r>
        <w:rPr>
          <w:rFonts w:hint="eastAsia"/>
          <w:color w:val="auto"/>
          <w:lang w:val="en-US"/>
        </w:rPr>
        <w:t>排土场（废石堆）</w:t>
      </w:r>
      <w:r>
        <w:rPr>
          <w:rFonts w:hint="eastAsia"/>
          <w:color w:val="auto"/>
        </w:rPr>
        <w:t>生态系统功能恢复改善情况，可填写生态系统功能恢复情况表（</w:t>
      </w:r>
      <w:r>
        <w:rPr>
          <w:rFonts w:hint="eastAsia"/>
          <w:color w:val="auto"/>
          <w:lang w:val="en-US"/>
        </w:rPr>
        <w:t>参照TD/T 1092</w:t>
      </w:r>
      <w:r>
        <w:rPr>
          <w:rFonts w:hint="eastAsia"/>
          <w:color w:val="auto"/>
        </w:rPr>
        <w:t>附录 E）。核查植被的</w:t>
      </w:r>
      <w:r>
        <w:rPr>
          <w:rFonts w:hint="eastAsia"/>
          <w:color w:val="auto"/>
          <w:lang w:val="en-US"/>
        </w:rPr>
        <w:t>物种选择、群落配置、种植方法以及数量、规格、</w:t>
      </w:r>
      <w:r>
        <w:rPr>
          <w:rFonts w:hint="eastAsia"/>
          <w:color w:val="auto"/>
        </w:rPr>
        <w:t>成活率</w:t>
      </w:r>
      <w:r>
        <w:rPr>
          <w:rFonts w:hint="eastAsia"/>
          <w:color w:val="auto"/>
          <w:lang w:val="en-US"/>
        </w:rPr>
        <w:t>等</w:t>
      </w:r>
      <w:r>
        <w:rPr>
          <w:rFonts w:hint="eastAsia"/>
          <w:color w:val="auto"/>
        </w:rPr>
        <w:t>，对比参照生态系统，对景观协调性、生物多样性、水土保持、水源涵养、碳汇等内容进行评价，应符合以下要求：</w:t>
      </w:r>
      <w:bookmarkEnd w:id="97"/>
    </w:p>
    <w:p w14:paraId="08C7440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1.植被恢复面积符合设计要求，质量符合GB/T 15776、GB/T 38360规定，修复后的植物种群组成和结构合理；</w:t>
      </w:r>
    </w:p>
    <w:p w14:paraId="5F192473">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2.植被的物种选择、群落配置、种植方法以及数量、规格、成活率等均需符合设计要求；</w:t>
      </w:r>
    </w:p>
    <w:p w14:paraId="1BF3C0C1">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3.地形地貌和土地利用类型应与周边相协调；</w:t>
      </w:r>
    </w:p>
    <w:p w14:paraId="3A00E86D">
      <w:pPr>
        <w:pStyle w:val="62"/>
        <w:rPr>
          <w:rFonts w:hint="eastAsia"/>
          <w:color w:val="auto"/>
        </w:rPr>
      </w:pPr>
      <w:r>
        <w:rPr>
          <w:rFonts w:hint="eastAsia" w:ascii="Times New Roman" w:hAnsi="Times New Roman" w:eastAsia="宋体" w:cs="Times New Roman"/>
          <w:color w:val="auto"/>
          <w:sz w:val="21"/>
          <w:szCs w:val="21"/>
          <w:lang w:val="en-US" w:eastAsia="zh-CN" w:bidi="ar-SA"/>
        </w:rPr>
        <w:t>4.生物多样性、水土保持、水源涵养、碳汇等生态系统功能应得到改善和提升</w:t>
      </w:r>
      <w:r>
        <w:rPr>
          <w:rFonts w:hint="eastAsia"/>
          <w:color w:val="auto"/>
        </w:rPr>
        <w:t>。</w:t>
      </w:r>
    </w:p>
    <w:p w14:paraId="3E4DE25F">
      <w:pPr>
        <w:pStyle w:val="72"/>
        <w:spacing w:before="156" w:beforeLines="50" w:after="156" w:afterLines="50"/>
        <w:ind w:firstLine="0" w:firstLineChars="0"/>
        <w:rPr>
          <w:rFonts w:hint="eastAsia"/>
          <w:color w:val="auto"/>
        </w:rPr>
      </w:pPr>
      <w:bookmarkStart w:id="98" w:name="_Toc8522"/>
      <w:r>
        <w:rPr>
          <w:rFonts w:hint="eastAsia"/>
          <w:color w:val="auto"/>
        </w:rPr>
        <w:t>6.3.5查验</w:t>
      </w:r>
      <w:r>
        <w:rPr>
          <w:rFonts w:hint="eastAsia"/>
          <w:color w:val="auto"/>
          <w:lang w:val="en-US"/>
        </w:rPr>
        <w:t>排土场（废石堆）生态修复项目</w:t>
      </w:r>
      <w:r>
        <w:rPr>
          <w:rFonts w:hint="eastAsia"/>
          <w:color w:val="auto"/>
        </w:rPr>
        <w:t>后期管护、监测措施落实和适应性管理情况，应符合以下要求：</w:t>
      </w:r>
      <w:bookmarkEnd w:id="98"/>
    </w:p>
    <w:p w14:paraId="7C9602B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1.明确了后期管护的责任主体、具体措施和资金来源等，管护周期合理；</w:t>
      </w:r>
    </w:p>
    <w:p w14:paraId="15D050A2">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2.监测内容、方法、周期和监测点布设等符合实施方案、设计文件和DZ/T 0287、TD/T 1070的要求，监测设备齐全，运行正常；</w:t>
      </w:r>
    </w:p>
    <w:p w14:paraId="22CF00C9">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3.根据完整的监测结果，制定了适应性管理措施。</w:t>
      </w:r>
    </w:p>
    <w:p w14:paraId="4D9DC5BE">
      <w:pPr>
        <w:pStyle w:val="72"/>
        <w:spacing w:before="156" w:beforeLines="50" w:after="156" w:afterLines="50"/>
        <w:ind w:firstLine="0" w:firstLineChars="0"/>
        <w:rPr>
          <w:rFonts w:hint="eastAsia"/>
          <w:color w:val="auto"/>
        </w:rPr>
      </w:pPr>
      <w:bookmarkStart w:id="99" w:name="_Toc26274"/>
      <w:r>
        <w:rPr>
          <w:rFonts w:hint="eastAsia"/>
          <w:color w:val="auto"/>
        </w:rPr>
        <w:t>6.3.6查验项目资金来源和使用、绩效目标完成情况。查验内容应符合以下要求：</w:t>
      </w:r>
      <w:bookmarkEnd w:id="99"/>
    </w:p>
    <w:p w14:paraId="61D853A0">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1.按合同段修复工程划分，复核项目资金及时到位情况，各项资金筹措按计划落实；</w:t>
      </w:r>
    </w:p>
    <w:p w14:paraId="550C20BF">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2.资金使用规范合理，财政资金支出范围符合财政事权和支出责任划分的有关规定；</w:t>
      </w:r>
    </w:p>
    <w:p w14:paraId="464F8BBE">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3.分项工程各项绩效指标应全部完成。</w:t>
      </w:r>
    </w:p>
    <w:p w14:paraId="7EE39BDE">
      <w:pPr>
        <w:pStyle w:val="72"/>
        <w:spacing w:before="156" w:beforeLines="50" w:after="156" w:afterLines="50"/>
        <w:ind w:firstLine="0" w:firstLineChars="0"/>
        <w:rPr>
          <w:rFonts w:hint="eastAsia"/>
          <w:color w:val="auto"/>
        </w:rPr>
      </w:pPr>
      <w:bookmarkStart w:id="100" w:name="_Toc1523"/>
      <w:r>
        <w:rPr>
          <w:rFonts w:hint="eastAsia"/>
          <w:color w:val="auto"/>
        </w:rPr>
        <w:t>6.3.7开展项目生态修复效果评估，采用专家打分法对</w:t>
      </w:r>
      <w:r>
        <w:rPr>
          <w:rFonts w:hint="eastAsia"/>
          <w:color w:val="auto"/>
          <w:lang w:val="en-US"/>
        </w:rPr>
        <w:t>排土场（废石堆）</w:t>
      </w:r>
      <w:r>
        <w:rPr>
          <w:rFonts w:hint="eastAsia"/>
          <w:color w:val="auto"/>
        </w:rPr>
        <w:t>地质环境治理恢复、土地复垦利用、生态系统功能恢复、社会经济效益、监测管护等内容进行综合评估。</w:t>
      </w:r>
      <w:bookmarkEnd w:id="100"/>
    </w:p>
    <w:p w14:paraId="7080819B">
      <w:pPr>
        <w:pStyle w:val="66"/>
        <w:rPr>
          <w:rFonts w:hint="eastAsia"/>
          <w:color w:val="auto"/>
        </w:rPr>
      </w:pPr>
      <w:bookmarkStart w:id="101" w:name="_Toc31425"/>
      <w:bookmarkStart w:id="102" w:name="_Toc6878"/>
      <w:bookmarkStart w:id="103" w:name="_Toc11139"/>
      <w:r>
        <w:rPr>
          <w:rFonts w:hint="eastAsia"/>
          <w:color w:val="auto"/>
        </w:rPr>
        <w:t>工程自验</w:t>
      </w:r>
      <w:bookmarkEnd w:id="101"/>
      <w:bookmarkEnd w:id="102"/>
      <w:bookmarkEnd w:id="103"/>
    </w:p>
    <w:p w14:paraId="6479529D">
      <w:pPr>
        <w:pStyle w:val="65"/>
        <w:spacing w:before="156" w:after="156"/>
        <w:ind w:left="0"/>
        <w:outlineLvl w:val="2"/>
        <w:rPr>
          <w:rFonts w:hint="eastAsia"/>
          <w:color w:val="auto"/>
        </w:rPr>
      </w:pPr>
      <w:bookmarkStart w:id="104" w:name="_Toc2841"/>
      <w:bookmarkStart w:id="105" w:name="_Toc218763801"/>
      <w:bookmarkStart w:id="106" w:name="_Toc218963336"/>
      <w:bookmarkStart w:id="107" w:name="_Toc218763130"/>
      <w:bookmarkStart w:id="108" w:name="_Toc183"/>
      <w:bookmarkStart w:id="109" w:name="_Toc66119051"/>
      <w:r>
        <w:rPr>
          <w:rFonts w:hint="eastAsia"/>
          <w:color w:val="auto"/>
        </w:rPr>
        <w:t>工程自验内容</w:t>
      </w:r>
      <w:bookmarkEnd w:id="104"/>
      <w:bookmarkEnd w:id="105"/>
      <w:bookmarkEnd w:id="106"/>
      <w:bookmarkEnd w:id="107"/>
      <w:bookmarkEnd w:id="108"/>
    </w:p>
    <w:p w14:paraId="33B6FDCF">
      <w:pPr>
        <w:pStyle w:val="62"/>
        <w:rPr>
          <w:rFonts w:hint="eastAsia"/>
          <w:color w:val="auto"/>
        </w:rPr>
      </w:pPr>
      <w:r>
        <w:rPr>
          <w:rFonts w:hint="eastAsia"/>
          <w:color w:val="auto"/>
        </w:rPr>
        <w:t>工程自验包括以下内容：</w:t>
      </w:r>
    </w:p>
    <w:p w14:paraId="1E1E45AB">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 资料完整性，检查设计、施工、监理、财务类资料的真实性、完整性、规范性；</w:t>
      </w:r>
    </w:p>
    <w:p w14:paraId="3F0DB04A">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 指标完成情况，检查生态修复范围、地类、面积、工程量完成情况；</w:t>
      </w:r>
    </w:p>
    <w:p w14:paraId="719C656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 措施落实情况，检查工程治理、植被管护、生物多样性保护、生态监测、安全保护、质量保证措施落实情况；</w:t>
      </w:r>
    </w:p>
    <w:p w14:paraId="041D866D">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 工程质量，检查整体工程质量，及其检验与评定记录；</w:t>
      </w:r>
    </w:p>
    <w:p w14:paraId="3B1CA48F">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5. 地质安全隐患和修复效果，检查地质安全隐患消除和植被覆盖状况，绿化美化效果；</w:t>
      </w:r>
    </w:p>
    <w:p w14:paraId="19DC2EE6">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6. 经费执行情况，检查工程施工费用清单、经费收支情况。</w:t>
      </w:r>
    </w:p>
    <w:bookmarkEnd w:id="109"/>
    <w:p w14:paraId="2B284D95">
      <w:pPr>
        <w:pStyle w:val="65"/>
        <w:spacing w:before="156" w:after="156"/>
        <w:ind w:left="0"/>
        <w:outlineLvl w:val="2"/>
        <w:rPr>
          <w:rFonts w:hint="eastAsia"/>
          <w:color w:val="auto"/>
        </w:rPr>
      </w:pPr>
      <w:bookmarkStart w:id="110" w:name="_Toc218763802"/>
      <w:bookmarkStart w:id="111" w:name="_Toc10710"/>
      <w:bookmarkStart w:id="112" w:name="_Toc10799"/>
      <w:bookmarkStart w:id="113" w:name="_Toc218963337"/>
      <w:bookmarkStart w:id="114" w:name="_Toc218763131"/>
      <w:r>
        <w:rPr>
          <w:rFonts w:hint="eastAsia"/>
          <w:color w:val="auto"/>
        </w:rPr>
        <w:t>工程自验通过条件</w:t>
      </w:r>
      <w:bookmarkEnd w:id="110"/>
      <w:bookmarkEnd w:id="111"/>
      <w:bookmarkEnd w:id="112"/>
      <w:bookmarkEnd w:id="113"/>
      <w:bookmarkEnd w:id="114"/>
    </w:p>
    <w:p w14:paraId="0C3BBBF3">
      <w:pPr>
        <w:pStyle w:val="62"/>
        <w:rPr>
          <w:rFonts w:hint="eastAsia"/>
          <w:color w:val="auto"/>
        </w:rPr>
      </w:pPr>
      <w:r>
        <w:rPr>
          <w:rFonts w:hint="eastAsia"/>
          <w:color w:val="auto"/>
        </w:rPr>
        <w:t>工程自验通过应符合下列条件：</w:t>
      </w:r>
    </w:p>
    <w:p w14:paraId="08F51006">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 完成了设计指标及合同规定的工作内容；</w:t>
      </w:r>
    </w:p>
    <w:p w14:paraId="1A5D81F4">
      <w:pPr>
        <w:pStyle w:val="62"/>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 各项措施已落实到位；</w:t>
      </w:r>
    </w:p>
    <w:p w14:paraId="3FC8D7D9">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分部、分项、整体工程质量合格；</w:t>
      </w:r>
    </w:p>
    <w:p w14:paraId="77220B21">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4. </w:t>
      </w:r>
      <w:r>
        <w:rPr>
          <w:rFonts w:hint="eastAsia"/>
          <w:color w:val="auto"/>
        </w:rPr>
        <w:t>地质安全隐患已消除，植被覆盖度高，绿化美化效果好，景观协调性好；</w:t>
      </w:r>
    </w:p>
    <w:p w14:paraId="16F98516">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5. </w:t>
      </w:r>
      <w:r>
        <w:rPr>
          <w:rFonts w:hint="eastAsia"/>
          <w:color w:val="auto"/>
        </w:rPr>
        <w:t>工程经费收支规范，使用合理；</w:t>
      </w:r>
    </w:p>
    <w:p w14:paraId="0EBEA6B1">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6. </w:t>
      </w:r>
      <w:r>
        <w:rPr>
          <w:rFonts w:hint="eastAsia"/>
          <w:color w:val="auto"/>
        </w:rPr>
        <w:t>资料完整、内容真实、制作规范。</w:t>
      </w:r>
    </w:p>
    <w:p w14:paraId="5C201157">
      <w:pPr>
        <w:pStyle w:val="66"/>
        <w:rPr>
          <w:rFonts w:hint="eastAsia"/>
          <w:color w:val="auto"/>
        </w:rPr>
      </w:pPr>
      <w:bookmarkStart w:id="115" w:name="_Toc14092"/>
      <w:bookmarkStart w:id="116" w:name="_Toc218763803"/>
      <w:bookmarkStart w:id="117" w:name="_Toc1322"/>
      <w:bookmarkStart w:id="118" w:name="_Toc218963338"/>
      <w:bookmarkStart w:id="119" w:name="_Toc218763132"/>
      <w:bookmarkStart w:id="120" w:name="_Toc19649"/>
      <w:bookmarkStart w:id="121" w:name="OLE_LINK48"/>
      <w:r>
        <w:rPr>
          <w:rFonts w:hint="eastAsia"/>
          <w:color w:val="auto"/>
        </w:rPr>
        <w:t>工程最终验收</w:t>
      </w:r>
      <w:bookmarkEnd w:id="115"/>
      <w:bookmarkEnd w:id="116"/>
      <w:bookmarkEnd w:id="117"/>
      <w:bookmarkEnd w:id="118"/>
      <w:bookmarkEnd w:id="119"/>
      <w:bookmarkEnd w:id="120"/>
    </w:p>
    <w:p w14:paraId="029CF734">
      <w:pPr>
        <w:pStyle w:val="65"/>
        <w:spacing w:before="156" w:after="156"/>
        <w:ind w:left="0"/>
        <w:outlineLvl w:val="2"/>
        <w:rPr>
          <w:rFonts w:hint="eastAsia"/>
          <w:color w:val="auto"/>
        </w:rPr>
      </w:pPr>
      <w:bookmarkStart w:id="122" w:name="_Toc218963339"/>
      <w:bookmarkStart w:id="123" w:name="_Toc218763804"/>
      <w:bookmarkStart w:id="124" w:name="OLE_LINK20"/>
      <w:bookmarkStart w:id="125" w:name="_Toc21755"/>
      <w:bookmarkStart w:id="126" w:name="_Toc218763133"/>
      <w:bookmarkStart w:id="127" w:name="_Toc31494"/>
      <w:bookmarkStart w:id="128" w:name="_Hlk196065043"/>
      <w:bookmarkStart w:id="129" w:name="_Toc66366146"/>
      <w:r>
        <w:rPr>
          <w:rFonts w:hint="eastAsia"/>
          <w:color w:val="auto"/>
        </w:rPr>
        <w:t>工程最终验收的条件与依据</w:t>
      </w:r>
      <w:bookmarkEnd w:id="122"/>
      <w:bookmarkEnd w:id="123"/>
      <w:bookmarkEnd w:id="124"/>
      <w:bookmarkEnd w:id="125"/>
      <w:bookmarkEnd w:id="126"/>
      <w:bookmarkEnd w:id="127"/>
    </w:p>
    <w:bookmarkEnd w:id="128"/>
    <w:p w14:paraId="654A9F67">
      <w:pPr>
        <w:pStyle w:val="72"/>
        <w:spacing w:before="156" w:beforeLines="50" w:after="156" w:afterLines="50"/>
        <w:ind w:firstLine="0" w:firstLineChars="0"/>
        <w:rPr>
          <w:rFonts w:hint="eastAsia"/>
          <w:color w:val="auto"/>
        </w:rPr>
      </w:pPr>
      <w:bookmarkStart w:id="130" w:name="_Toc7704"/>
      <w:bookmarkStart w:id="131" w:name="OLE_LINK21"/>
      <w:r>
        <w:rPr>
          <w:rFonts w:hint="eastAsia"/>
          <w:color w:val="auto"/>
        </w:rPr>
        <w:t>8.1.1 工程最终验收的条件包括以下内容。</w:t>
      </w:r>
      <w:bookmarkEnd w:id="130"/>
    </w:p>
    <w:p w14:paraId="5DE78D2D">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项目任务全部完成，各项工程性能、指标均满足设计要求，项目自验收通过，资料完整、内容真实有效、签章齐全。</w:t>
      </w:r>
    </w:p>
    <w:p w14:paraId="442C4D91">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按照实施方案完成了全部工程内容，修复目标全部完成。</w:t>
      </w:r>
    </w:p>
    <w:p w14:paraId="42867BFE">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涉及地类变更的，已经通过国土变更调查相关程序予以认定。</w:t>
      </w:r>
    </w:p>
    <w:bookmarkEnd w:id="131"/>
    <w:p w14:paraId="6E5855AA">
      <w:pPr>
        <w:pStyle w:val="72"/>
        <w:spacing w:before="156" w:beforeLines="50" w:after="156" w:afterLines="50"/>
        <w:ind w:firstLine="0" w:firstLineChars="0"/>
        <w:rPr>
          <w:rFonts w:hint="eastAsia"/>
          <w:color w:val="auto"/>
        </w:rPr>
      </w:pPr>
      <w:bookmarkStart w:id="132" w:name="_Toc4709"/>
      <w:bookmarkStart w:id="133" w:name="OLE_LINK22"/>
      <w:r>
        <w:rPr>
          <w:rFonts w:hint="eastAsia"/>
          <w:color w:val="auto"/>
        </w:rPr>
        <w:t>8.1.2 工程最终验收的依据主要包括以下内容。</w:t>
      </w:r>
      <w:bookmarkEnd w:id="132"/>
    </w:p>
    <w:p w14:paraId="1151AA18">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国家和地方出台的排土场（废石堆）或矿山生态修复有关法律法规、政策文件、标准规范等。</w:t>
      </w:r>
    </w:p>
    <w:p w14:paraId="6AE3F7D4">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项目立项批复文件。</w:t>
      </w:r>
    </w:p>
    <w:p w14:paraId="51EBE130">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经批准的实施方案。</w:t>
      </w:r>
    </w:p>
    <w:p w14:paraId="67737E87">
      <w:pPr>
        <w:pStyle w:val="62"/>
        <w:rPr>
          <w:rFonts w:hint="eastAsia"/>
          <w:color w:val="auto"/>
        </w:rPr>
      </w:pPr>
      <w:r>
        <w:rPr>
          <w:rFonts w:hint="eastAsia" w:ascii="Times New Roman" w:hAnsi="Times New Roman" w:eastAsia="宋体" w:cs="Times New Roman"/>
          <w:color w:val="auto"/>
          <w:sz w:val="21"/>
          <w:szCs w:val="21"/>
          <w:lang w:val="en-US" w:eastAsia="zh-CN" w:bidi="ar-SA"/>
        </w:rPr>
        <w:t>4.</w:t>
      </w:r>
      <w:r>
        <w:rPr>
          <w:rFonts w:hint="eastAsia"/>
          <w:color w:val="auto"/>
        </w:rPr>
        <w:t xml:space="preserve"> 经批准的项目设计、施工图、设计变更、补充设计等。</w:t>
      </w:r>
    </w:p>
    <w:p w14:paraId="3E1AD8C6">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5. </w:t>
      </w:r>
      <w:r>
        <w:rPr>
          <w:rFonts w:hint="eastAsia"/>
          <w:color w:val="auto"/>
        </w:rPr>
        <w:t>项目自验收等相关材料。</w:t>
      </w:r>
    </w:p>
    <w:p w14:paraId="5F57194E">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6. </w:t>
      </w:r>
      <w:r>
        <w:rPr>
          <w:rFonts w:hint="eastAsia"/>
          <w:color w:val="auto"/>
        </w:rPr>
        <w:t>其他相关材料。</w:t>
      </w:r>
    </w:p>
    <w:bookmarkEnd w:id="133"/>
    <w:p w14:paraId="67E82ED8">
      <w:pPr>
        <w:pStyle w:val="65"/>
        <w:spacing w:before="156" w:after="156"/>
        <w:ind w:left="0"/>
        <w:outlineLvl w:val="2"/>
        <w:rPr>
          <w:rFonts w:hint="eastAsia"/>
          <w:color w:val="auto"/>
        </w:rPr>
      </w:pPr>
      <w:bookmarkStart w:id="134" w:name="_Toc24106"/>
      <w:bookmarkStart w:id="135" w:name="_Toc218963340"/>
      <w:bookmarkStart w:id="136" w:name="_Toc218763134"/>
      <w:bookmarkStart w:id="137" w:name="_Toc218763805"/>
      <w:bookmarkStart w:id="138" w:name="OLE_LINK23"/>
      <w:bookmarkStart w:id="139" w:name="_Toc6820"/>
      <w:r>
        <w:rPr>
          <w:rFonts w:hint="eastAsia"/>
          <w:color w:val="auto"/>
        </w:rPr>
        <w:t>工程最终验收的内容要求</w:t>
      </w:r>
      <w:bookmarkEnd w:id="134"/>
      <w:bookmarkEnd w:id="135"/>
      <w:bookmarkEnd w:id="136"/>
      <w:bookmarkEnd w:id="137"/>
      <w:bookmarkEnd w:id="138"/>
      <w:bookmarkEnd w:id="139"/>
    </w:p>
    <w:p w14:paraId="71EAF922">
      <w:pPr>
        <w:pStyle w:val="72"/>
        <w:spacing w:before="156" w:beforeLines="50" w:after="156" w:afterLines="50"/>
        <w:ind w:firstLine="0" w:firstLineChars="0"/>
        <w:rPr>
          <w:rFonts w:hint="eastAsia"/>
          <w:color w:val="auto"/>
        </w:rPr>
      </w:pPr>
      <w:bookmarkStart w:id="140" w:name="_Toc6504"/>
      <w:bookmarkStart w:id="141" w:name="OLE_LINK41"/>
      <w:bookmarkStart w:id="142" w:name="OLE_LINK24"/>
      <w:r>
        <w:rPr>
          <w:rFonts w:hint="eastAsia"/>
          <w:color w:val="auto"/>
        </w:rPr>
        <w:t>8.2.1 复核合法合规性。按照4.5.4的要求，验收组织部门通过资料比对和外业查验，复核项目的合法合规性。</w:t>
      </w:r>
      <w:bookmarkEnd w:id="140"/>
    </w:p>
    <w:p w14:paraId="4148F3E0">
      <w:pPr>
        <w:pStyle w:val="72"/>
        <w:spacing w:before="156" w:beforeLines="50" w:after="156" w:afterLines="50"/>
        <w:ind w:firstLine="0" w:firstLineChars="0"/>
        <w:rPr>
          <w:rFonts w:hint="eastAsia"/>
          <w:color w:val="auto"/>
        </w:rPr>
      </w:pPr>
      <w:bookmarkStart w:id="143" w:name="_Toc16840"/>
      <w:r>
        <w:rPr>
          <w:rFonts w:hint="eastAsia"/>
          <w:color w:val="auto"/>
        </w:rPr>
        <w:t>8.2.2 复核总体目标和绩效目标完成情况。按照TD/T1069的相关要求，对排土场（废石堆）生态修复工程总体目标、资金使用和绩效目标完成情况进行复核。</w:t>
      </w:r>
      <w:bookmarkEnd w:id="143"/>
    </w:p>
    <w:p w14:paraId="5B2B3F73">
      <w:pPr>
        <w:pStyle w:val="72"/>
        <w:spacing w:before="156" w:beforeLines="50" w:after="156" w:afterLines="50"/>
        <w:ind w:firstLine="0" w:firstLineChars="0"/>
        <w:rPr>
          <w:rFonts w:hint="eastAsia"/>
          <w:color w:val="auto"/>
        </w:rPr>
      </w:pPr>
      <w:bookmarkStart w:id="144" w:name="_Toc22801"/>
      <w:r>
        <w:rPr>
          <w:rFonts w:hint="eastAsia"/>
          <w:color w:val="auto"/>
        </w:rPr>
        <w:t>8.2.3 综合评定排土场（废石堆）生态修复效果，应符合以下要求。</w:t>
      </w:r>
      <w:bookmarkEnd w:id="144"/>
    </w:p>
    <w:p w14:paraId="5F83F578">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复核矿山地质环境治理恢复工程内容、质量和实施效果。现场抽查同类型修复任务工程数量不低于</w:t>
      </w:r>
      <w:r>
        <w:rPr>
          <w:rFonts w:hint="eastAsia" w:ascii="Times New Roman" w:hAnsi="Times New Roman" w:eastAsia="宋体" w:cs="Times New Roman"/>
          <w:color w:val="auto"/>
          <w:sz w:val="21"/>
          <w:szCs w:val="21"/>
          <w:lang w:val="en-US" w:eastAsia="zh-CN" w:bidi="ar-SA"/>
        </w:rPr>
        <w:t>10%</w:t>
      </w:r>
      <w:r>
        <w:rPr>
          <w:rFonts w:hint="eastAsia"/>
          <w:color w:val="auto"/>
        </w:rPr>
        <w:t>的项目。按照</w:t>
      </w:r>
      <w:r>
        <w:rPr>
          <w:rFonts w:hint="eastAsia" w:ascii="Times New Roman" w:hAnsi="Times New Roman" w:eastAsia="宋体" w:cs="Times New Roman"/>
          <w:color w:val="auto"/>
          <w:sz w:val="21"/>
          <w:szCs w:val="21"/>
          <w:lang w:val="en-US" w:eastAsia="zh-CN" w:bidi="ar-SA"/>
        </w:rPr>
        <w:t>6.3.2</w:t>
      </w:r>
      <w:r>
        <w:rPr>
          <w:rFonts w:hint="eastAsia"/>
          <w:color w:val="auto"/>
        </w:rPr>
        <w:t>的要求，查验排土场（废石堆）地质环境隐患点消除、地貌重塑效果，以及水体状况。</w:t>
      </w:r>
    </w:p>
    <w:p w14:paraId="0A9203E4">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复核土地复垦利用工程内容、质量和实施效果。按照</w:t>
      </w:r>
      <w:r>
        <w:rPr>
          <w:rFonts w:hint="eastAsia" w:ascii="Times New Roman" w:hAnsi="Times New Roman" w:eastAsia="宋体" w:cs="Times New Roman"/>
          <w:color w:val="auto"/>
          <w:sz w:val="21"/>
          <w:szCs w:val="21"/>
          <w:lang w:val="en-US" w:eastAsia="zh-CN" w:bidi="ar-SA"/>
        </w:rPr>
        <w:t>TD/T 1044</w:t>
      </w:r>
      <w:r>
        <w:rPr>
          <w:rFonts w:hint="eastAsia"/>
          <w:color w:val="auto"/>
        </w:rPr>
        <w:t>现场抽样要求抽查该类型修复任务一定数量的工程项目。按照</w:t>
      </w:r>
      <w:r>
        <w:rPr>
          <w:rFonts w:hint="eastAsia" w:ascii="Times New Roman" w:hAnsi="Times New Roman" w:eastAsia="宋体" w:cs="Times New Roman"/>
          <w:color w:val="auto"/>
          <w:sz w:val="21"/>
          <w:szCs w:val="21"/>
          <w:lang w:val="en-US" w:eastAsia="zh-CN" w:bidi="ar-SA"/>
        </w:rPr>
        <w:t>6.3.3</w:t>
      </w:r>
      <w:r>
        <w:rPr>
          <w:rFonts w:hint="eastAsia"/>
          <w:color w:val="auto"/>
        </w:rPr>
        <w:t>的要求，查验土地复垦质量效果、土地利用变化情况。</w:t>
      </w:r>
    </w:p>
    <w:p w14:paraId="6BB81B80">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评价生态系统功能恢复改善情况。核验植被恢复情况，对比参照生态系统，评价景观协调性、生物多样性、水土保持、水源涵养等功能提升情况。</w:t>
      </w:r>
    </w:p>
    <w:p w14:paraId="0EBE2CA1">
      <w:pPr>
        <w:pStyle w:val="72"/>
        <w:spacing w:before="156" w:beforeLines="50" w:after="156" w:afterLines="50"/>
        <w:ind w:firstLine="0" w:firstLineChars="0"/>
        <w:rPr>
          <w:rFonts w:hint="eastAsia"/>
          <w:color w:val="auto"/>
        </w:rPr>
      </w:pPr>
      <w:bookmarkStart w:id="145" w:name="_Toc9899"/>
      <w:r>
        <w:rPr>
          <w:rFonts w:hint="eastAsia"/>
          <w:color w:val="auto"/>
        </w:rPr>
        <w:t>8.2.4 综合评定管护、监测措施落实和适应性管理情况，应符合以下要求。</w:t>
      </w:r>
      <w:bookmarkEnd w:id="145"/>
    </w:p>
    <w:p w14:paraId="13AD3E95">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综合评定后期管护责任主体、管护措施和资金落实情况，保障和维护工程设施正常运行。</w:t>
      </w:r>
    </w:p>
    <w:p w14:paraId="400D16A0">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综合评定实施方案提出的监测点和监测指标设置的科学合理有效性、数据真实可靠性、监测措施落实情况、监测制度完善情况等。</w:t>
      </w:r>
    </w:p>
    <w:p w14:paraId="12F06BCC">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综合评定工程实施中适应性管理措施的及时性、针对性、可行性，涉及工程变更或调整的，综合评定变更或调整的程序合规性、内容科学性、措施合理性，以及对总体目标和绩效目标的影响；根据最终验收情况，提出拟采取的适应性管理措施和建议。</w:t>
      </w:r>
      <w:bookmarkEnd w:id="141"/>
    </w:p>
    <w:bookmarkEnd w:id="142"/>
    <w:p w14:paraId="33E316C8">
      <w:pPr>
        <w:pStyle w:val="65"/>
        <w:spacing w:before="156" w:after="156"/>
        <w:ind w:left="0"/>
        <w:outlineLvl w:val="2"/>
        <w:rPr>
          <w:rFonts w:hint="eastAsia"/>
          <w:color w:val="auto"/>
        </w:rPr>
      </w:pPr>
      <w:bookmarkStart w:id="146" w:name="_Toc218763135"/>
      <w:bookmarkStart w:id="147" w:name="_Toc30065"/>
      <w:bookmarkStart w:id="148" w:name="_Toc18421"/>
      <w:bookmarkStart w:id="149" w:name="_Toc218763806"/>
      <w:bookmarkStart w:id="150" w:name="_Toc218963341"/>
      <w:r>
        <w:rPr>
          <w:rFonts w:hint="eastAsia"/>
          <w:color w:val="auto"/>
        </w:rPr>
        <w:t>工程最终验收内容</w:t>
      </w:r>
      <w:bookmarkEnd w:id="146"/>
      <w:bookmarkEnd w:id="147"/>
      <w:bookmarkEnd w:id="148"/>
      <w:bookmarkEnd w:id="149"/>
      <w:bookmarkEnd w:id="150"/>
    </w:p>
    <w:p w14:paraId="5E9CD2DC">
      <w:pPr>
        <w:pStyle w:val="62"/>
        <w:rPr>
          <w:rFonts w:hint="eastAsia"/>
          <w:color w:val="auto"/>
        </w:rPr>
      </w:pPr>
      <w:bookmarkStart w:id="151" w:name="OLE_LINK42"/>
      <w:r>
        <w:rPr>
          <w:rFonts w:hint="eastAsia"/>
          <w:color w:val="auto"/>
        </w:rPr>
        <w:t>工程最终验收包括以下内容：</w:t>
      </w:r>
    </w:p>
    <w:p w14:paraId="4B3B40CB">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资料完整性，检查设计、施工、监理、财务类资料的真实性、完整性、规范性；</w:t>
      </w:r>
    </w:p>
    <w:p w14:paraId="77614EB8">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指标完成情况，检查生态修复范围、地类、面积、工程量完成情况；</w:t>
      </w:r>
    </w:p>
    <w:p w14:paraId="0EC7D3FA">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措施落实情况，检查工程治理、植被管护、生物多样性保护、生态监测、安全保护、质量保证措施落实情况；</w:t>
      </w:r>
    </w:p>
    <w:p w14:paraId="092CB563">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4. </w:t>
      </w:r>
      <w:r>
        <w:rPr>
          <w:rFonts w:hint="eastAsia"/>
          <w:color w:val="auto"/>
        </w:rPr>
        <w:t>工程质量，检查分部、分项、整体工程质量，及其检验与评定记录；</w:t>
      </w:r>
    </w:p>
    <w:p w14:paraId="35E5ACCD">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5. </w:t>
      </w:r>
      <w:r>
        <w:rPr>
          <w:rFonts w:hint="eastAsia"/>
          <w:color w:val="auto"/>
        </w:rPr>
        <w:t>地质安全隐患和修复效果，检查地质安全隐患消除和植被覆盖状况，绿化美化效果；</w:t>
      </w:r>
    </w:p>
    <w:p w14:paraId="5C79B303">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6. </w:t>
      </w:r>
      <w:r>
        <w:rPr>
          <w:rFonts w:hint="eastAsia"/>
          <w:color w:val="auto"/>
        </w:rPr>
        <w:t>经费执行情况，检查工程施工费用清单、经费收支情况；</w:t>
      </w:r>
    </w:p>
    <w:p w14:paraId="17D48473">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7. </w:t>
      </w:r>
      <w:r>
        <w:rPr>
          <w:rFonts w:hint="eastAsia"/>
          <w:color w:val="auto"/>
        </w:rPr>
        <w:t>工程自验问题整改情况；</w:t>
      </w:r>
    </w:p>
    <w:p w14:paraId="41DAFA3F">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8. </w:t>
      </w:r>
      <w:r>
        <w:rPr>
          <w:rFonts w:hint="eastAsia"/>
          <w:color w:val="auto"/>
        </w:rPr>
        <w:t>工程决算报告检查；</w:t>
      </w:r>
    </w:p>
    <w:p w14:paraId="276CCECD">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9. </w:t>
      </w:r>
      <w:r>
        <w:rPr>
          <w:rFonts w:hint="eastAsia"/>
          <w:color w:val="auto"/>
        </w:rPr>
        <w:t>项目决算审计；</w:t>
      </w:r>
    </w:p>
    <w:p w14:paraId="6A2F300A">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10. </w:t>
      </w:r>
      <w:r>
        <w:rPr>
          <w:rFonts w:hint="eastAsia"/>
          <w:color w:val="auto"/>
        </w:rPr>
        <w:t>项目绩效自评价；</w:t>
      </w:r>
    </w:p>
    <w:p w14:paraId="621A4C53">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11. </w:t>
      </w:r>
      <w:r>
        <w:rPr>
          <w:rFonts w:hint="eastAsia"/>
          <w:color w:val="auto"/>
        </w:rPr>
        <w:t>矿山生态修复效果自评估</w:t>
      </w:r>
      <w:r>
        <w:rPr>
          <w:rFonts w:hint="eastAsia"/>
          <w:color w:val="auto"/>
          <w:lang w:eastAsia="zh-CN"/>
        </w:rPr>
        <w:t>（</w:t>
      </w:r>
      <w:r>
        <w:rPr>
          <w:rFonts w:hint="eastAsia"/>
          <w:color w:val="auto"/>
        </w:rPr>
        <w:t>或第三方评估</w:t>
      </w:r>
      <w:r>
        <w:rPr>
          <w:rFonts w:hint="eastAsia"/>
          <w:color w:val="auto"/>
          <w:lang w:eastAsia="zh-CN"/>
        </w:rPr>
        <w:t>）</w:t>
      </w:r>
      <w:r>
        <w:rPr>
          <w:rFonts w:hint="eastAsia"/>
          <w:color w:val="auto"/>
        </w:rPr>
        <w:t>；</w:t>
      </w:r>
    </w:p>
    <w:p w14:paraId="4C499E6C">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12. </w:t>
      </w:r>
      <w:r>
        <w:rPr>
          <w:rFonts w:hint="eastAsia"/>
          <w:color w:val="auto"/>
        </w:rPr>
        <w:t>工程后期管护责任单位落实情况检查。</w:t>
      </w:r>
      <w:bookmarkEnd w:id="151"/>
    </w:p>
    <w:p w14:paraId="1B41A42A">
      <w:pPr>
        <w:pStyle w:val="65"/>
        <w:spacing w:before="156" w:after="156"/>
        <w:ind w:left="0"/>
        <w:outlineLvl w:val="2"/>
        <w:rPr>
          <w:rFonts w:hint="eastAsia"/>
          <w:color w:val="auto"/>
        </w:rPr>
      </w:pPr>
      <w:bookmarkStart w:id="152" w:name="_Toc19601"/>
      <w:bookmarkStart w:id="153" w:name="_Toc218763807"/>
      <w:bookmarkStart w:id="154" w:name="_Toc218963342"/>
      <w:bookmarkStart w:id="155" w:name="_Toc31170"/>
      <w:bookmarkStart w:id="156" w:name="_Toc218763136"/>
      <w:r>
        <w:rPr>
          <w:rFonts w:hint="eastAsia"/>
          <w:color w:val="auto"/>
        </w:rPr>
        <w:t>工程最终验收通过条件</w:t>
      </w:r>
      <w:bookmarkEnd w:id="152"/>
      <w:bookmarkEnd w:id="153"/>
      <w:bookmarkEnd w:id="154"/>
      <w:bookmarkEnd w:id="155"/>
      <w:bookmarkEnd w:id="156"/>
    </w:p>
    <w:p w14:paraId="642C9303">
      <w:pPr>
        <w:pStyle w:val="62"/>
        <w:rPr>
          <w:rFonts w:hint="eastAsia"/>
          <w:color w:val="auto"/>
        </w:rPr>
      </w:pPr>
      <w:bookmarkStart w:id="157" w:name="OLE_LINK43"/>
      <w:r>
        <w:rPr>
          <w:rFonts w:hint="eastAsia"/>
          <w:color w:val="auto"/>
        </w:rPr>
        <w:t>工程最终验收通过应符合下列条件：</w:t>
      </w:r>
    </w:p>
    <w:p w14:paraId="51FC7404">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1. </w:t>
      </w:r>
      <w:r>
        <w:rPr>
          <w:rFonts w:hint="eastAsia"/>
          <w:color w:val="auto"/>
        </w:rPr>
        <w:t>完成了设计指标及合同规定的工作内容；</w:t>
      </w:r>
    </w:p>
    <w:p w14:paraId="1B27435D">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2. </w:t>
      </w:r>
      <w:r>
        <w:rPr>
          <w:rFonts w:hint="eastAsia"/>
          <w:color w:val="auto"/>
        </w:rPr>
        <w:t>各项措施已落实到位；</w:t>
      </w:r>
    </w:p>
    <w:p w14:paraId="7C18E818">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3. </w:t>
      </w:r>
      <w:r>
        <w:rPr>
          <w:rFonts w:hint="eastAsia"/>
          <w:color w:val="auto"/>
        </w:rPr>
        <w:t>分部、分项、整体工程质量合格，自验收问题已整改；</w:t>
      </w:r>
    </w:p>
    <w:p w14:paraId="04C282C0">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4. </w:t>
      </w:r>
      <w:r>
        <w:rPr>
          <w:rFonts w:hint="eastAsia"/>
          <w:color w:val="auto"/>
        </w:rPr>
        <w:t>地质安全隐患已消除，植被覆盖度高，绿化美化效果好，景观协调性好；</w:t>
      </w:r>
    </w:p>
    <w:p w14:paraId="283C94B3">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5. </w:t>
      </w:r>
      <w:r>
        <w:rPr>
          <w:rFonts w:hint="eastAsia"/>
          <w:color w:val="auto"/>
        </w:rPr>
        <w:t>具有审计机构出具的项目决算审计报告，项目设计、施工、监理、审计等费用安排合理、支付规范；</w:t>
      </w:r>
    </w:p>
    <w:p w14:paraId="4B69A0BB">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6. </w:t>
      </w:r>
      <w:r>
        <w:rPr>
          <w:rFonts w:hint="eastAsia"/>
          <w:color w:val="auto"/>
        </w:rPr>
        <w:t>工程总结报告内容齐全；绩效自评价评分</w:t>
      </w:r>
      <w:r>
        <w:rPr>
          <w:rFonts w:hint="eastAsia" w:ascii="Times New Roman" w:hAnsi="Times New Roman" w:eastAsia="宋体" w:cs="Times New Roman"/>
          <w:color w:val="auto"/>
          <w:sz w:val="21"/>
          <w:szCs w:val="21"/>
          <w:lang w:val="en-US" w:eastAsia="zh-CN" w:bidi="ar-SA"/>
        </w:rPr>
        <w:t>75</w:t>
      </w:r>
      <w:r>
        <w:rPr>
          <w:rFonts w:hint="eastAsia"/>
          <w:color w:val="auto"/>
        </w:rPr>
        <w:t>分以上，评分合理；生态修复效果自评估</w:t>
      </w:r>
      <w:r>
        <w:rPr>
          <w:rFonts w:hint="eastAsia"/>
          <w:color w:val="auto"/>
          <w:lang w:eastAsia="zh-CN"/>
        </w:rPr>
        <w:t>（</w:t>
      </w:r>
      <w:r>
        <w:rPr>
          <w:rFonts w:hint="eastAsia"/>
          <w:color w:val="auto"/>
        </w:rPr>
        <w:t>或第三方评估</w:t>
      </w:r>
      <w:r>
        <w:rPr>
          <w:rFonts w:hint="eastAsia"/>
          <w:color w:val="auto"/>
          <w:lang w:eastAsia="zh-CN"/>
        </w:rPr>
        <w:t>）</w:t>
      </w:r>
      <w:r>
        <w:rPr>
          <w:rFonts w:hint="eastAsia"/>
          <w:color w:val="auto"/>
        </w:rPr>
        <w:t>结论准确；工程后期管护责任单位已落实，管护合同已签订。绩效自评参照附录E；</w:t>
      </w:r>
    </w:p>
    <w:p w14:paraId="54670340">
      <w:pPr>
        <w:pStyle w:val="62"/>
        <w:rPr>
          <w:rFonts w:hint="eastAsia"/>
          <w:color w:val="auto"/>
        </w:rPr>
      </w:pPr>
      <w:r>
        <w:rPr>
          <w:rFonts w:hint="eastAsia" w:ascii="Times New Roman" w:hAnsi="Times New Roman" w:eastAsia="宋体" w:cs="Times New Roman"/>
          <w:color w:val="auto"/>
          <w:sz w:val="21"/>
          <w:szCs w:val="21"/>
          <w:lang w:val="en-US" w:eastAsia="zh-CN" w:bidi="ar-SA"/>
        </w:rPr>
        <w:t xml:space="preserve">7. </w:t>
      </w:r>
      <w:r>
        <w:rPr>
          <w:rFonts w:hint="eastAsia"/>
          <w:color w:val="auto"/>
        </w:rPr>
        <w:t>资料完整、内容真实、制作规范。</w:t>
      </w:r>
    </w:p>
    <w:bookmarkEnd w:id="121"/>
    <w:bookmarkEnd w:id="157"/>
    <w:p w14:paraId="0FF640EB">
      <w:pPr>
        <w:pStyle w:val="66"/>
        <w:rPr>
          <w:rFonts w:hint="eastAsia"/>
          <w:color w:val="auto"/>
        </w:rPr>
      </w:pPr>
      <w:bookmarkStart w:id="158" w:name="_Toc22849"/>
      <w:bookmarkStart w:id="159" w:name="_Toc218763808"/>
      <w:bookmarkStart w:id="160" w:name="_Toc32330"/>
      <w:bookmarkStart w:id="161" w:name="_Toc706"/>
      <w:bookmarkStart w:id="162" w:name="_Toc218963343"/>
      <w:bookmarkStart w:id="163" w:name="_Toc218763137"/>
      <w:r>
        <w:rPr>
          <w:rFonts w:hint="eastAsia"/>
          <w:color w:val="auto"/>
        </w:rPr>
        <w:t>移交归档</w:t>
      </w:r>
      <w:bookmarkEnd w:id="158"/>
      <w:bookmarkEnd w:id="159"/>
      <w:bookmarkEnd w:id="160"/>
      <w:bookmarkEnd w:id="161"/>
      <w:bookmarkEnd w:id="162"/>
      <w:bookmarkEnd w:id="163"/>
    </w:p>
    <w:p w14:paraId="421B9ABE">
      <w:pPr>
        <w:pStyle w:val="65"/>
        <w:spacing w:before="156" w:after="156"/>
        <w:ind w:left="0"/>
        <w:outlineLvl w:val="2"/>
        <w:rPr>
          <w:rFonts w:hint="eastAsia"/>
          <w:color w:val="auto"/>
        </w:rPr>
      </w:pPr>
      <w:bookmarkStart w:id="164" w:name="_Toc218763138"/>
      <w:bookmarkStart w:id="165" w:name="_Toc21698"/>
      <w:bookmarkStart w:id="166" w:name="_Toc218763809"/>
      <w:bookmarkStart w:id="167" w:name="_Toc218963344"/>
      <w:bookmarkStart w:id="168" w:name="_Toc32639"/>
      <w:r>
        <w:rPr>
          <w:rFonts w:hint="eastAsia"/>
          <w:color w:val="auto"/>
        </w:rPr>
        <w:t>移交管护</w:t>
      </w:r>
      <w:bookmarkEnd w:id="164"/>
      <w:bookmarkEnd w:id="165"/>
      <w:bookmarkEnd w:id="166"/>
      <w:bookmarkEnd w:id="167"/>
      <w:bookmarkEnd w:id="168"/>
    </w:p>
    <w:p w14:paraId="680129EA">
      <w:pPr>
        <w:pStyle w:val="72"/>
        <w:spacing w:before="156" w:beforeLines="50" w:after="156" w:afterLines="50"/>
        <w:ind w:firstLine="0" w:firstLineChars="0"/>
        <w:rPr>
          <w:rFonts w:hint="eastAsia"/>
          <w:color w:val="auto"/>
        </w:rPr>
      </w:pPr>
      <w:bookmarkStart w:id="169" w:name="_Toc17846"/>
      <w:r>
        <w:rPr>
          <w:rFonts w:hint="eastAsia"/>
          <w:color w:val="auto"/>
        </w:rPr>
        <w:t>9.1.1 排土场（废石堆）生态修复工程最终验收合格，施工管护期满，工程实施责任单位应与工程后期管护责任方办理工程移交手续。</w:t>
      </w:r>
      <w:bookmarkEnd w:id="169"/>
    </w:p>
    <w:p w14:paraId="0D65805E">
      <w:pPr>
        <w:pStyle w:val="72"/>
        <w:spacing w:before="156" w:beforeLines="50" w:after="156" w:afterLines="50"/>
        <w:ind w:firstLine="0" w:firstLineChars="0"/>
        <w:rPr>
          <w:rFonts w:hint="eastAsia"/>
          <w:color w:val="auto"/>
        </w:rPr>
      </w:pPr>
      <w:bookmarkStart w:id="170" w:name="_Toc11970"/>
      <w:r>
        <w:rPr>
          <w:rFonts w:hint="eastAsia"/>
          <w:color w:val="auto"/>
        </w:rPr>
        <w:t>9.1.2 工程后期管护责任方应及时编制工程后期管护组织实施方案，明确工程移交管护范围、期限、对象、内容、费用及责任等，并提交工程实施责任单位审查批准。</w:t>
      </w:r>
      <w:bookmarkEnd w:id="170"/>
    </w:p>
    <w:p w14:paraId="6EFC344D">
      <w:pPr>
        <w:pStyle w:val="72"/>
        <w:spacing w:before="156" w:beforeLines="50" w:after="156" w:afterLines="50"/>
        <w:ind w:firstLine="0" w:firstLineChars="0"/>
        <w:rPr>
          <w:rFonts w:hint="eastAsia"/>
          <w:color w:val="auto"/>
        </w:rPr>
      </w:pPr>
      <w:bookmarkStart w:id="171" w:name="_Toc13557"/>
      <w:r>
        <w:rPr>
          <w:rFonts w:hint="eastAsia"/>
          <w:color w:val="auto"/>
        </w:rPr>
        <w:t>9.1.3 管护范围为实施修复的区域，以四至坐标范围为准。</w:t>
      </w:r>
      <w:bookmarkEnd w:id="171"/>
    </w:p>
    <w:p w14:paraId="6B731BB4">
      <w:pPr>
        <w:pStyle w:val="72"/>
        <w:spacing w:before="156" w:beforeLines="50" w:after="156" w:afterLines="50"/>
        <w:ind w:firstLine="0" w:firstLineChars="0"/>
        <w:rPr>
          <w:rFonts w:hint="eastAsia"/>
          <w:color w:val="auto"/>
        </w:rPr>
      </w:pPr>
      <w:bookmarkStart w:id="172" w:name="_Toc16643"/>
      <w:r>
        <w:rPr>
          <w:rFonts w:hint="eastAsia"/>
          <w:color w:val="auto"/>
        </w:rPr>
        <w:t>9.1.4 管护期限，宜根据施工管护期满后的排土场（废石堆）生态系统</w:t>
      </w:r>
      <w:r>
        <w:rPr>
          <w:rFonts w:hint="eastAsia"/>
          <w:color w:val="auto"/>
          <w:lang w:eastAsia="zh-CN"/>
        </w:rPr>
        <w:t>的</w:t>
      </w:r>
      <w:r>
        <w:rPr>
          <w:rFonts w:hint="eastAsia"/>
          <w:color w:val="auto"/>
        </w:rPr>
        <w:t>稳定程度确定，一般2年～3年。行业行政管理部门有要求时，执行其规定。</w:t>
      </w:r>
      <w:bookmarkEnd w:id="172"/>
    </w:p>
    <w:p w14:paraId="1FCA885D">
      <w:pPr>
        <w:pStyle w:val="72"/>
        <w:spacing w:before="156" w:beforeLines="50" w:after="156" w:afterLines="50"/>
        <w:ind w:firstLine="0" w:firstLineChars="0"/>
        <w:rPr>
          <w:rFonts w:hint="eastAsia"/>
          <w:color w:val="auto"/>
        </w:rPr>
      </w:pPr>
      <w:bookmarkStart w:id="173" w:name="_Toc22746"/>
      <w:r>
        <w:rPr>
          <w:rFonts w:hint="eastAsia"/>
          <w:color w:val="auto"/>
        </w:rPr>
        <w:t>9.1.5 管护的对象、内容包括建构筑物的管理和维护、基础设施的运行和维护、植被管养，以及生态系统稳定性提升等。</w:t>
      </w:r>
      <w:bookmarkEnd w:id="173"/>
    </w:p>
    <w:p w14:paraId="4889DD35">
      <w:pPr>
        <w:pStyle w:val="72"/>
        <w:spacing w:before="156" w:beforeLines="50" w:after="156" w:afterLines="50"/>
        <w:ind w:firstLine="0" w:firstLineChars="0"/>
        <w:rPr>
          <w:rFonts w:hint="eastAsia"/>
          <w:color w:val="auto"/>
        </w:rPr>
      </w:pPr>
      <w:bookmarkStart w:id="174" w:name="_Toc21890"/>
      <w:r>
        <w:rPr>
          <w:rFonts w:hint="eastAsia"/>
          <w:color w:val="auto"/>
        </w:rPr>
        <w:t>9.1.6 与工程后期管护有关的设计、施工、监测等资料宜一并移交。</w:t>
      </w:r>
      <w:bookmarkEnd w:id="174"/>
    </w:p>
    <w:p w14:paraId="206B674D">
      <w:pPr>
        <w:pStyle w:val="65"/>
        <w:spacing w:before="156" w:after="156"/>
        <w:ind w:left="0"/>
        <w:outlineLvl w:val="2"/>
        <w:rPr>
          <w:rFonts w:hint="eastAsia"/>
          <w:color w:val="auto"/>
        </w:rPr>
      </w:pPr>
      <w:bookmarkStart w:id="175" w:name="_Toc218963345"/>
      <w:bookmarkStart w:id="176" w:name="_Toc27245"/>
      <w:bookmarkStart w:id="177" w:name="_Toc27192"/>
      <w:bookmarkStart w:id="178" w:name="_Toc218763810"/>
      <w:bookmarkStart w:id="179" w:name="_Toc218763139"/>
      <w:r>
        <w:rPr>
          <w:rFonts w:hint="eastAsia"/>
          <w:color w:val="auto"/>
        </w:rPr>
        <w:t>资料归档</w:t>
      </w:r>
      <w:bookmarkEnd w:id="175"/>
      <w:bookmarkEnd w:id="176"/>
      <w:bookmarkEnd w:id="177"/>
      <w:bookmarkEnd w:id="178"/>
      <w:bookmarkEnd w:id="179"/>
    </w:p>
    <w:p w14:paraId="6C2679F5">
      <w:pPr>
        <w:pStyle w:val="72"/>
        <w:spacing w:before="156" w:beforeLines="50" w:after="156" w:afterLines="50"/>
        <w:ind w:firstLine="0" w:firstLineChars="0"/>
        <w:rPr>
          <w:rFonts w:hint="eastAsia"/>
          <w:color w:val="auto"/>
        </w:rPr>
      </w:pPr>
      <w:bookmarkStart w:id="180" w:name="_Toc17590"/>
      <w:r>
        <w:rPr>
          <w:rFonts w:hint="eastAsia" w:ascii="Times New Roman" w:hAnsi="Times New Roman" w:eastAsia="宋体" w:cs="Times New Roman"/>
          <w:color w:val="auto"/>
          <w:sz w:val="21"/>
          <w:szCs w:val="21"/>
          <w:lang w:val="en-US" w:eastAsia="zh-CN" w:bidi="ar-SA"/>
        </w:rPr>
        <w:t>9.2.1</w:t>
      </w:r>
      <w:r>
        <w:rPr>
          <w:rFonts w:hint="eastAsia"/>
          <w:color w:val="auto"/>
        </w:rPr>
        <w:t xml:space="preserve"> 工程最终验收完成后，工程实施责任单位应组织设计、施工、监理等单位，按照管理、设计、施工、监理、财务类对工程资料进行编号、编目、立卷归档。包括文字、图片、表格、影像等。</w:t>
      </w:r>
      <w:bookmarkEnd w:id="180"/>
    </w:p>
    <w:p w14:paraId="78457C56">
      <w:pPr>
        <w:pStyle w:val="72"/>
        <w:spacing w:before="156" w:beforeLines="50" w:after="156" w:afterLines="50"/>
        <w:ind w:firstLine="0" w:firstLineChars="0"/>
        <w:rPr>
          <w:rFonts w:hint="eastAsia"/>
          <w:color w:val="auto"/>
        </w:rPr>
      </w:pPr>
      <w:bookmarkStart w:id="181" w:name="_Toc32178"/>
      <w:r>
        <w:rPr>
          <w:rFonts w:hint="eastAsia"/>
          <w:color w:val="auto"/>
        </w:rPr>
        <w:t>9.2.2 归档资料应系统完整、客观真实，纸质资料应为原件或有效复印件；纸质档案与电子文件应一一对应。</w:t>
      </w:r>
      <w:bookmarkEnd w:id="181"/>
    </w:p>
    <w:p w14:paraId="18864DFB">
      <w:pPr>
        <w:pStyle w:val="72"/>
        <w:spacing w:before="156" w:beforeLines="50" w:after="156" w:afterLines="50"/>
        <w:ind w:firstLine="0" w:firstLineChars="0"/>
        <w:rPr>
          <w:rFonts w:hint="eastAsia"/>
          <w:color w:val="auto"/>
        </w:rPr>
        <w:sectPr>
          <w:footerReference r:id="rId16" w:type="default"/>
          <w:footerReference r:id="rId17" w:type="even"/>
          <w:pgSz w:w="11906" w:h="16838"/>
          <w:pgMar w:top="567" w:right="1134" w:bottom="1134" w:left="1418" w:header="1418" w:footer="1134" w:gutter="0"/>
          <w:pgNumType w:fmt="decimal" w:start="1"/>
          <w:cols w:space="720" w:num="1"/>
          <w:docGrid w:type="lines" w:linePitch="312" w:charSpace="0"/>
        </w:sectPr>
      </w:pPr>
      <w:bookmarkStart w:id="182" w:name="_Toc612"/>
      <w:r>
        <w:rPr>
          <w:rFonts w:hint="eastAsia"/>
          <w:color w:val="auto"/>
        </w:rPr>
        <w:t>9.2.3 工程实施责任单位应按地质资料档案地方行业管理有关要求，及时将</w:t>
      </w:r>
      <w:r>
        <w:rPr>
          <w:rFonts w:hint="eastAsia"/>
          <w:color w:val="auto"/>
          <w:lang w:eastAsia="zh-CN"/>
        </w:rPr>
        <w:t>资料</w:t>
      </w:r>
      <w:r>
        <w:rPr>
          <w:rFonts w:hint="eastAsia"/>
          <w:color w:val="auto"/>
        </w:rPr>
        <w:t>纸质档案和电子文件汇交至工程监管责任单位，并上传至国土空间生态修复管理系统。</w:t>
      </w:r>
      <w:bookmarkEnd w:id="182"/>
    </w:p>
    <w:bookmarkEnd w:id="129"/>
    <w:p w14:paraId="7023114D">
      <w:pPr>
        <w:keepNext/>
        <w:widowControl/>
        <w:numPr>
          <w:ilvl w:val="0"/>
          <w:numId w:val="8"/>
        </w:numPr>
        <w:shd w:val="clear" w:color="FFFFFF" w:fill="FFFFFF"/>
        <w:tabs>
          <w:tab w:val="left" w:pos="360"/>
          <w:tab w:val="left" w:pos="6405"/>
        </w:tabs>
        <w:overflowPunct/>
        <w:adjustRightInd w:val="0"/>
        <w:snapToGrid w:val="0"/>
        <w:spacing w:before="640" w:after="280"/>
        <w:ind w:firstLineChars="0"/>
        <w:jc w:val="center"/>
        <w:textAlignment w:val="auto"/>
        <w:outlineLvl w:val="0"/>
        <w:rPr>
          <w:rFonts w:ascii="黑体" w:hAnsi="Times New Roman" w:eastAsia="黑体" w:cs="Times New Roman"/>
          <w:color w:val="auto"/>
          <w:kern w:val="0"/>
          <w:sz w:val="21"/>
          <w:szCs w:val="20"/>
        </w:rPr>
      </w:pPr>
      <w:bookmarkStart w:id="183" w:name="_Toc4039"/>
      <w:bookmarkStart w:id="184" w:name="_Toc20504"/>
      <w:bookmarkStart w:id="185" w:name="_Toc26717"/>
      <w:r>
        <w:rPr>
          <w:rFonts w:ascii="黑体" w:hAnsi="Times New Roman" w:eastAsia="黑体" w:cs="Times New Roman"/>
          <w:color w:val="auto"/>
          <w:kern w:val="0"/>
          <w:sz w:val="21"/>
          <w:szCs w:val="20"/>
        </w:rPr>
        <w:br w:type="textWrapping"/>
      </w:r>
      <w:bookmarkStart w:id="186" w:name="_Toc218763812"/>
      <w:bookmarkStart w:id="187" w:name="_Toc218963347"/>
      <w:bookmarkStart w:id="188" w:name="_Toc218763141"/>
      <w:r>
        <w:rPr>
          <w:rFonts w:ascii="黑体" w:hAnsi="Times New Roman" w:eastAsia="黑体" w:cs="Times New Roman"/>
          <w:color w:val="auto"/>
          <w:kern w:val="0"/>
          <w:sz w:val="21"/>
          <w:szCs w:val="20"/>
        </w:rPr>
        <w:t>（</w:t>
      </w:r>
      <w:r>
        <w:rPr>
          <w:rFonts w:hint="eastAsia" w:ascii="黑体" w:hAnsi="Times New Roman" w:eastAsia="黑体" w:cs="Times New Roman"/>
          <w:color w:val="auto"/>
          <w:kern w:val="0"/>
          <w:sz w:val="21"/>
          <w:szCs w:val="20"/>
        </w:rPr>
        <w:t>资料</w:t>
      </w:r>
      <w:r>
        <w:rPr>
          <w:rFonts w:ascii="黑体" w:hAnsi="Times New Roman" w:eastAsia="黑体" w:cs="Times New Roman"/>
          <w:color w:val="auto"/>
          <w:kern w:val="0"/>
          <w:sz w:val="21"/>
          <w:szCs w:val="20"/>
        </w:rPr>
        <w:t>性）</w:t>
      </w:r>
      <w:r>
        <w:rPr>
          <w:rFonts w:ascii="黑体" w:hAnsi="Times New Roman" w:eastAsia="黑体" w:cs="Times New Roman"/>
          <w:color w:val="auto"/>
          <w:kern w:val="0"/>
          <w:sz w:val="21"/>
          <w:szCs w:val="20"/>
        </w:rPr>
        <w:br w:type="textWrapping"/>
      </w:r>
      <w:r>
        <w:rPr>
          <w:rFonts w:hint="eastAsia" w:ascii="黑体" w:hAnsi="Times New Roman" w:eastAsia="黑体" w:cs="Times New Roman"/>
          <w:color w:val="auto"/>
          <w:kern w:val="0"/>
          <w:sz w:val="21"/>
          <w:szCs w:val="20"/>
          <w:lang w:eastAsia="zh-CN"/>
        </w:rPr>
        <w:t>排土场（废石堆）</w:t>
      </w:r>
      <w:r>
        <w:rPr>
          <w:rFonts w:hint="eastAsia" w:ascii="黑体" w:hAnsi="Times New Roman" w:eastAsia="黑体" w:cs="Times New Roman"/>
          <w:color w:val="auto"/>
          <w:kern w:val="0"/>
          <w:sz w:val="21"/>
          <w:szCs w:val="20"/>
        </w:rPr>
        <w:t>生态修复效果评估</w:t>
      </w:r>
      <w:r>
        <w:rPr>
          <w:rFonts w:ascii="黑体" w:hAnsi="Times New Roman" w:eastAsia="黑体" w:cs="Times New Roman"/>
          <w:color w:val="auto"/>
          <w:kern w:val="0"/>
          <w:sz w:val="21"/>
          <w:szCs w:val="20"/>
        </w:rPr>
        <w:t>报告编写提纲</w:t>
      </w:r>
      <w:bookmarkEnd w:id="183"/>
      <w:bookmarkEnd w:id="184"/>
      <w:bookmarkEnd w:id="185"/>
      <w:bookmarkEnd w:id="186"/>
      <w:bookmarkEnd w:id="187"/>
      <w:bookmarkEnd w:id="188"/>
    </w:p>
    <w:p w14:paraId="7824326B">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前言</w:t>
      </w:r>
    </w:p>
    <w:p w14:paraId="23F9C520">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说明：评估任务由来、评估目的、主要任务</w:t>
      </w:r>
      <w:r>
        <w:rPr>
          <w:rFonts w:ascii="Times New Roman" w:hAnsi="Times New Roman" w:cs="Times New Roman"/>
          <w:color w:val="auto"/>
          <w:sz w:val="21"/>
          <w:szCs w:val="22"/>
        </w:rPr>
        <w:t>。</w:t>
      </w:r>
    </w:p>
    <w:p w14:paraId="3D076E35">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第一章</w:t>
      </w:r>
      <w:r>
        <w:rPr>
          <w:rFonts w:hint="eastAsia" w:ascii="Times New Roman" w:hAnsi="Times New Roman" w:cs="Times New Roman"/>
          <w:color w:val="auto"/>
          <w:sz w:val="21"/>
          <w:szCs w:val="22"/>
        </w:rPr>
        <w:t xml:space="preserve"> </w:t>
      </w:r>
      <w:r>
        <w:rPr>
          <w:rFonts w:hint="eastAsia" w:ascii="Times New Roman" w:hAnsi="Times New Roman" w:cs="Times New Roman"/>
          <w:color w:val="auto"/>
          <w:sz w:val="21"/>
          <w:szCs w:val="22"/>
          <w:lang w:eastAsia="zh-CN"/>
        </w:rPr>
        <w:t>排土场（废石堆）</w:t>
      </w:r>
      <w:r>
        <w:rPr>
          <w:rFonts w:hint="eastAsia" w:ascii="Times New Roman" w:hAnsi="Times New Roman" w:cs="Times New Roman"/>
          <w:color w:val="auto"/>
          <w:sz w:val="21"/>
          <w:szCs w:val="22"/>
        </w:rPr>
        <w:t>修复区概况</w:t>
      </w:r>
    </w:p>
    <w:p w14:paraId="6198C035">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第一节</w:t>
      </w:r>
      <w:r>
        <w:rPr>
          <w:rFonts w:hint="eastAsia" w:ascii="Times New Roman" w:hAnsi="Times New Roman" w:cs="Times New Roman"/>
          <w:color w:val="auto"/>
          <w:sz w:val="21"/>
          <w:szCs w:val="22"/>
        </w:rPr>
        <w:t>自然地理概况</w:t>
      </w:r>
    </w:p>
    <w:p w14:paraId="05BDA11E">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说明：修复区地理位置、气候特征、交通状况；所处的生态功能区块位置等。</w:t>
      </w:r>
    </w:p>
    <w:p w14:paraId="526B49C2">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第二节</w:t>
      </w:r>
      <w:r>
        <w:rPr>
          <w:rFonts w:hint="eastAsia" w:ascii="Times New Roman" w:hAnsi="Times New Roman" w:cs="Times New Roman"/>
          <w:color w:val="auto"/>
          <w:sz w:val="21"/>
          <w:szCs w:val="22"/>
          <w:lang w:eastAsia="zh-CN"/>
        </w:rPr>
        <w:t>排土场（废石堆）</w:t>
      </w:r>
      <w:r>
        <w:rPr>
          <w:rFonts w:hint="eastAsia" w:ascii="Times New Roman" w:hAnsi="Times New Roman" w:cs="Times New Roman"/>
          <w:color w:val="auto"/>
          <w:sz w:val="21"/>
          <w:szCs w:val="22"/>
        </w:rPr>
        <w:t>修复区概况</w:t>
      </w:r>
    </w:p>
    <w:p w14:paraId="0CEC9755">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说明：需解决的生态问题；设计修复的范围、面积、地类；工程布局、修复措施、预期生态目标；工程实施过程、验收情况等。</w:t>
      </w:r>
    </w:p>
    <w:p w14:paraId="557660BB">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第二章</w:t>
      </w:r>
      <w:r>
        <w:rPr>
          <w:rFonts w:hint="eastAsia" w:ascii="Times New Roman" w:hAnsi="Times New Roman" w:cs="Times New Roman"/>
          <w:color w:val="auto"/>
          <w:sz w:val="21"/>
          <w:szCs w:val="22"/>
        </w:rPr>
        <w:t xml:space="preserve"> 评估程序和方法</w:t>
      </w:r>
    </w:p>
    <w:p w14:paraId="2B657AF2">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第一节</w:t>
      </w:r>
      <w:r>
        <w:rPr>
          <w:rFonts w:hint="eastAsia" w:ascii="Times New Roman" w:hAnsi="Times New Roman" w:cs="Times New Roman"/>
          <w:color w:val="auto"/>
          <w:sz w:val="21"/>
          <w:szCs w:val="22"/>
        </w:rPr>
        <w:t>评估程序与依据</w:t>
      </w:r>
    </w:p>
    <w:p w14:paraId="1E121D5F">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说明：评估工作程序、技术依据或理论基础等。</w:t>
      </w:r>
    </w:p>
    <w:p w14:paraId="64EC591C">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第二节</w:t>
      </w:r>
      <w:r>
        <w:rPr>
          <w:rFonts w:hint="eastAsia" w:ascii="Times New Roman" w:hAnsi="Times New Roman" w:cs="Times New Roman"/>
          <w:color w:val="auto"/>
          <w:sz w:val="21"/>
          <w:szCs w:val="22"/>
        </w:rPr>
        <w:t>工作方法及完成工作量</w:t>
      </w:r>
    </w:p>
    <w:p w14:paraId="069C77A4">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说明：人员构成、专业配置；工作方法、技术路线、完成的实物工作量、工作质量等。</w:t>
      </w:r>
    </w:p>
    <w:p w14:paraId="254DBD25">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第三章</w:t>
      </w:r>
      <w:r>
        <w:rPr>
          <w:rFonts w:hint="eastAsia" w:ascii="Times New Roman" w:hAnsi="Times New Roman" w:cs="Times New Roman"/>
          <w:color w:val="auto"/>
          <w:sz w:val="21"/>
          <w:szCs w:val="22"/>
        </w:rPr>
        <w:t xml:space="preserve"> </w:t>
      </w:r>
      <w:r>
        <w:rPr>
          <w:rFonts w:hint="eastAsia" w:ascii="Times New Roman" w:hAnsi="Times New Roman" w:cs="Times New Roman"/>
          <w:color w:val="auto"/>
          <w:sz w:val="21"/>
          <w:szCs w:val="22"/>
          <w:lang w:eastAsia="zh-CN"/>
        </w:rPr>
        <w:t>排土场（废石堆）</w:t>
      </w:r>
      <w:r>
        <w:rPr>
          <w:rFonts w:hint="eastAsia" w:ascii="Times New Roman" w:hAnsi="Times New Roman" w:cs="Times New Roman"/>
          <w:color w:val="auto"/>
          <w:sz w:val="21"/>
          <w:szCs w:val="22"/>
        </w:rPr>
        <w:t>生态修复效果评估</w:t>
      </w:r>
    </w:p>
    <w:p w14:paraId="69903DEF">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第一节</w:t>
      </w:r>
      <w:r>
        <w:rPr>
          <w:rFonts w:hint="eastAsia" w:ascii="Times New Roman" w:hAnsi="Times New Roman" w:cs="Times New Roman"/>
          <w:color w:val="auto"/>
          <w:sz w:val="21"/>
          <w:szCs w:val="22"/>
        </w:rPr>
        <w:t>参照</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原生</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生态系统特征</w:t>
      </w:r>
    </w:p>
    <w:p w14:paraId="46CD8F8F">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说明：地形、土壤、水文条件；植被种类组成、数量特征，本地物种、优势植物；景观特色、环境 特征等。</w:t>
      </w:r>
    </w:p>
    <w:p w14:paraId="6148CAC2">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第二节</w:t>
      </w:r>
      <w:r>
        <w:rPr>
          <w:rFonts w:hint="eastAsia" w:ascii="Times New Roman" w:hAnsi="Times New Roman" w:cs="Times New Roman"/>
          <w:color w:val="auto"/>
          <w:sz w:val="21"/>
          <w:szCs w:val="22"/>
        </w:rPr>
        <w:t>评估指标体系</w:t>
      </w:r>
    </w:p>
    <w:p w14:paraId="307F4D34">
      <w:pPr>
        <w:overflowPunct/>
        <w:adjustRightInd w:val="0"/>
        <w:snapToGrid w:val="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说明：评估方法、评估指标选取</w:t>
      </w:r>
      <w:r>
        <w:rPr>
          <w:rFonts w:hint="eastAsia" w:ascii="Times New Roman" w:hAnsi="Times New Roman" w:cs="Times New Roman"/>
          <w:color w:val="auto"/>
          <w:sz w:val="21"/>
          <w:szCs w:val="22"/>
          <w:lang w:eastAsia="zh-CN"/>
        </w:rPr>
        <w:t>（</w:t>
      </w:r>
      <w:r>
        <w:rPr>
          <w:rFonts w:ascii="Times New Roman" w:hAnsi="Times New Roman" w:cs="Times New Roman"/>
          <w:color w:val="auto"/>
          <w:sz w:val="21"/>
          <w:szCs w:val="22"/>
        </w:rPr>
        <w:t>选取原则、评估因子确定</w:t>
      </w:r>
      <w:r>
        <w:rPr>
          <w:rFonts w:hint="eastAsia" w:ascii="Times New Roman" w:hAnsi="Times New Roman" w:cs="Times New Roman"/>
          <w:color w:val="auto"/>
          <w:sz w:val="21"/>
          <w:szCs w:val="22"/>
          <w:lang w:eastAsia="zh-CN"/>
        </w:rPr>
        <w:t>）</w:t>
      </w:r>
      <w:r>
        <w:rPr>
          <w:rFonts w:ascii="Times New Roman" w:hAnsi="Times New Roman" w:cs="Times New Roman"/>
          <w:color w:val="auto"/>
          <w:sz w:val="21"/>
          <w:szCs w:val="22"/>
        </w:rPr>
        <w:t>、评估等级评定标准等。</w:t>
      </w:r>
    </w:p>
    <w:p w14:paraId="1DE3FBFC">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w:t>
      </w:r>
      <w:r>
        <w:rPr>
          <w:rFonts w:hint="eastAsia" w:ascii="Times New Roman" w:hAnsi="Times New Roman" w:cs="Times New Roman"/>
          <w:color w:val="auto"/>
          <w:sz w:val="21"/>
          <w:szCs w:val="22"/>
        </w:rPr>
        <w:t>三</w:t>
      </w:r>
      <w:r>
        <w:rPr>
          <w:rFonts w:ascii="Times New Roman" w:hAnsi="Times New Roman" w:cs="Times New Roman"/>
          <w:color w:val="auto"/>
          <w:sz w:val="21"/>
          <w:szCs w:val="22"/>
        </w:rPr>
        <w:t>节</w:t>
      </w:r>
      <w:r>
        <w:rPr>
          <w:rFonts w:hint="eastAsia" w:ascii="Times New Roman" w:hAnsi="Times New Roman" w:cs="Times New Roman"/>
          <w:color w:val="auto"/>
          <w:sz w:val="21"/>
          <w:szCs w:val="22"/>
        </w:rPr>
        <w:t>生态修复效果评估</w:t>
      </w:r>
    </w:p>
    <w:p w14:paraId="19172064">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说明：工程措施修复效果评估（地质安全隐患消除、水土污染治理、土壤改良情况、与设计吻合程度）；生物措施修复效果评估（植被覆盖度、覆盖层次、生态适应性、物种多样性；本地物种、外来物 种数量，优势植物；与参照或原生生态系统比较情况）；生物与工程措施综合治理效果评估（植物配置、观赏价值、现效果等）。</w:t>
      </w:r>
    </w:p>
    <w:p w14:paraId="0842EE93">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ascii="Times New Roman" w:hAnsi="Times New Roman" w:cs="Times New Roman"/>
          <w:color w:val="auto"/>
          <w:sz w:val="21"/>
          <w:szCs w:val="22"/>
        </w:rPr>
        <w:t>第</w:t>
      </w:r>
      <w:r>
        <w:rPr>
          <w:rFonts w:hint="eastAsia" w:ascii="Times New Roman" w:hAnsi="Times New Roman" w:cs="Times New Roman"/>
          <w:color w:val="auto"/>
          <w:sz w:val="21"/>
          <w:szCs w:val="22"/>
        </w:rPr>
        <w:t>四</w:t>
      </w:r>
      <w:r>
        <w:rPr>
          <w:rFonts w:ascii="Times New Roman" w:hAnsi="Times New Roman" w:cs="Times New Roman"/>
          <w:color w:val="auto"/>
          <w:sz w:val="21"/>
          <w:szCs w:val="22"/>
        </w:rPr>
        <w:t>节</w:t>
      </w:r>
      <w:r>
        <w:rPr>
          <w:rFonts w:hint="eastAsia" w:ascii="Times New Roman" w:hAnsi="Times New Roman" w:cs="Times New Roman"/>
          <w:color w:val="auto"/>
          <w:sz w:val="21"/>
          <w:szCs w:val="22"/>
        </w:rPr>
        <w:t>结论与建议</w:t>
      </w:r>
    </w:p>
    <w:p w14:paraId="16A748DB">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r>
        <w:rPr>
          <w:rFonts w:hint="eastAsia" w:ascii="Times New Roman" w:hAnsi="Times New Roman" w:cs="Times New Roman"/>
          <w:color w:val="auto"/>
          <w:sz w:val="21"/>
          <w:szCs w:val="22"/>
        </w:rPr>
        <w:t>说明：设计完成情况，生态系统稳定性、景观协调性情况，整体感观效果等的评估结论，存在的问题及其措施建议。</w:t>
      </w:r>
    </w:p>
    <w:p w14:paraId="72CAEEC3">
      <w:pPr>
        <w:keepNext/>
        <w:widowControl/>
        <w:numPr>
          <w:ilvl w:val="0"/>
          <w:numId w:val="8"/>
        </w:numPr>
        <w:shd w:val="clear" w:color="FFFFFF" w:fill="FFFFFF"/>
        <w:tabs>
          <w:tab w:val="left" w:pos="360"/>
          <w:tab w:val="left" w:pos="6405"/>
        </w:tabs>
        <w:overflowPunct/>
        <w:adjustRightInd w:val="0"/>
        <w:snapToGrid w:val="0"/>
        <w:spacing w:before="640" w:after="280"/>
        <w:ind w:firstLineChars="0"/>
        <w:jc w:val="center"/>
        <w:textAlignment w:val="auto"/>
        <w:outlineLvl w:val="0"/>
        <w:rPr>
          <w:rFonts w:ascii="黑体" w:hAnsi="Times New Roman" w:eastAsia="黑体" w:cs="Times New Roman"/>
          <w:color w:val="auto"/>
          <w:kern w:val="0"/>
          <w:sz w:val="21"/>
          <w:szCs w:val="20"/>
        </w:rPr>
      </w:pPr>
      <w:bookmarkStart w:id="189" w:name="_Toc12575"/>
      <w:bookmarkStart w:id="190" w:name="_Toc25158"/>
      <w:bookmarkStart w:id="191" w:name="_Toc21989"/>
      <w:r>
        <w:rPr>
          <w:rFonts w:ascii="黑体" w:hAnsi="Times New Roman" w:eastAsia="黑体" w:cs="Times New Roman"/>
          <w:color w:val="auto"/>
          <w:kern w:val="0"/>
          <w:sz w:val="21"/>
          <w:szCs w:val="20"/>
        </w:rPr>
        <w:br w:type="textWrapping"/>
      </w:r>
      <w:bookmarkStart w:id="192" w:name="_Toc218763813"/>
      <w:bookmarkStart w:id="193" w:name="_Toc218763142"/>
      <w:bookmarkStart w:id="194" w:name="_Toc218963348"/>
      <w:r>
        <w:rPr>
          <w:rFonts w:ascii="黑体" w:hAnsi="Times New Roman" w:eastAsia="黑体" w:cs="Times New Roman"/>
          <w:color w:val="auto"/>
          <w:kern w:val="0"/>
          <w:sz w:val="21"/>
          <w:szCs w:val="20"/>
        </w:rPr>
        <w:t>（规范性）</w:t>
      </w:r>
      <w:r>
        <w:rPr>
          <w:rFonts w:ascii="黑体" w:hAnsi="Times New Roman" w:eastAsia="黑体" w:cs="Times New Roman"/>
          <w:color w:val="auto"/>
          <w:kern w:val="0"/>
          <w:sz w:val="21"/>
          <w:szCs w:val="20"/>
        </w:rPr>
        <w:br w:type="textWrapping"/>
      </w:r>
      <w:r>
        <w:rPr>
          <w:rFonts w:hint="eastAsia" w:ascii="黑体" w:hAnsi="Times New Roman" w:eastAsia="黑体" w:cs="Times New Roman"/>
          <w:color w:val="auto"/>
          <w:kern w:val="0"/>
          <w:sz w:val="21"/>
          <w:szCs w:val="20"/>
          <w:lang w:eastAsia="zh-CN"/>
        </w:rPr>
        <w:t>排土场（废石堆）</w:t>
      </w:r>
      <w:r>
        <w:rPr>
          <w:rFonts w:hint="eastAsia" w:ascii="黑体" w:hAnsi="Times New Roman" w:eastAsia="黑体" w:cs="Times New Roman"/>
          <w:color w:val="auto"/>
          <w:kern w:val="0"/>
          <w:sz w:val="21"/>
          <w:szCs w:val="20"/>
        </w:rPr>
        <w:t>生态修复工程验收资料清单</w:t>
      </w:r>
      <w:bookmarkEnd w:id="189"/>
      <w:bookmarkEnd w:id="190"/>
      <w:bookmarkEnd w:id="191"/>
      <w:bookmarkEnd w:id="192"/>
      <w:bookmarkEnd w:id="193"/>
      <w:bookmarkEnd w:id="194"/>
    </w:p>
    <w:p w14:paraId="4C1EF144">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195" w:name="_Toc1473"/>
      <w:bookmarkStart w:id="196" w:name="_Toc13992"/>
      <w:r>
        <w:rPr>
          <w:rFonts w:hint="eastAsia" w:ascii="Times New Roman" w:hAnsi="Times New Roman" w:cs="Times New Roman"/>
          <w:color w:val="auto"/>
          <w:kern w:val="0"/>
          <w:sz w:val="21"/>
          <w:szCs w:val="21"/>
        </w:rPr>
        <w:t>B</w:t>
      </w:r>
      <w:r>
        <w:rPr>
          <w:rFonts w:ascii="Times New Roman" w:hAnsi="Times New Roman" w:cs="Times New Roman"/>
          <w:color w:val="auto"/>
          <w:kern w:val="0"/>
          <w:sz w:val="21"/>
          <w:szCs w:val="21"/>
        </w:rPr>
        <w:t xml:space="preserve">.1 </w:t>
      </w:r>
      <w:r>
        <w:rPr>
          <w:rFonts w:hint="eastAsia" w:ascii="Times New Roman" w:hAnsi="Times New Roman" w:cs="Times New Roman"/>
          <w:color w:val="auto"/>
          <w:kern w:val="0"/>
          <w:sz w:val="21"/>
          <w:szCs w:val="21"/>
          <w:lang w:eastAsia="zh-CN"/>
        </w:rPr>
        <w:t>排土场（废石堆）</w:t>
      </w:r>
      <w:r>
        <w:rPr>
          <w:rFonts w:ascii="Times New Roman" w:hAnsi="Times New Roman" w:cs="Times New Roman"/>
          <w:color w:val="auto"/>
          <w:kern w:val="0"/>
          <w:sz w:val="21"/>
          <w:szCs w:val="21"/>
        </w:rPr>
        <w:t>生态修复工程自验资料清单可按表</w:t>
      </w:r>
      <w:r>
        <w:rPr>
          <w:rFonts w:hint="eastAsia" w:ascii="Times New Roman" w:hAnsi="Times New Roman" w:cs="Times New Roman"/>
          <w:color w:val="auto"/>
          <w:kern w:val="0"/>
          <w:sz w:val="21"/>
          <w:szCs w:val="21"/>
        </w:rPr>
        <w:t>B</w:t>
      </w:r>
      <w:r>
        <w:rPr>
          <w:rFonts w:ascii="Times New Roman" w:hAnsi="Times New Roman" w:cs="Times New Roman"/>
          <w:color w:val="auto"/>
          <w:kern w:val="0"/>
          <w:sz w:val="21"/>
          <w:szCs w:val="21"/>
        </w:rPr>
        <w:t>.1提交。</w:t>
      </w:r>
      <w:bookmarkEnd w:id="195"/>
      <w:bookmarkEnd w:id="196"/>
    </w:p>
    <w:p w14:paraId="1EAEEC48">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197" w:name="_Toc16700"/>
      <w:bookmarkStart w:id="198" w:name="_Toc20901"/>
      <w:r>
        <w:rPr>
          <w:rFonts w:hint="eastAsia" w:ascii="Times New Roman" w:hAnsi="Times New Roman" w:cs="Times New Roman"/>
          <w:color w:val="auto"/>
          <w:kern w:val="0"/>
          <w:sz w:val="21"/>
          <w:szCs w:val="21"/>
        </w:rPr>
        <w:t>B</w:t>
      </w:r>
      <w:r>
        <w:rPr>
          <w:rFonts w:ascii="Times New Roman" w:hAnsi="Times New Roman" w:cs="Times New Roman"/>
          <w:color w:val="auto"/>
          <w:kern w:val="0"/>
          <w:sz w:val="21"/>
          <w:szCs w:val="21"/>
        </w:rPr>
        <w:t>.</w:t>
      </w:r>
      <w:r>
        <w:rPr>
          <w:rFonts w:hint="eastAsia" w:ascii="Times New Roman" w:hAnsi="Times New Roman" w:cs="Times New Roman"/>
          <w:color w:val="auto"/>
          <w:kern w:val="0"/>
          <w:sz w:val="21"/>
          <w:szCs w:val="21"/>
        </w:rPr>
        <w:t>2</w:t>
      </w:r>
      <w:r>
        <w:rPr>
          <w:rFonts w:ascii="Times New Roman" w:hAnsi="Times New Roman" w:cs="Times New Roman"/>
          <w:color w:val="auto"/>
          <w:kern w:val="0"/>
          <w:sz w:val="21"/>
          <w:szCs w:val="21"/>
        </w:rPr>
        <w:t xml:space="preserve"> 最终验收除提交表</w:t>
      </w:r>
      <w:r>
        <w:rPr>
          <w:rFonts w:hint="eastAsia" w:ascii="Times New Roman" w:hAnsi="Times New Roman" w:cs="Times New Roman"/>
          <w:color w:val="auto"/>
          <w:kern w:val="0"/>
          <w:sz w:val="21"/>
          <w:szCs w:val="21"/>
        </w:rPr>
        <w:t>B</w:t>
      </w:r>
      <w:r>
        <w:rPr>
          <w:rFonts w:ascii="Times New Roman" w:hAnsi="Times New Roman" w:cs="Times New Roman"/>
          <w:color w:val="auto"/>
          <w:kern w:val="0"/>
          <w:sz w:val="21"/>
          <w:szCs w:val="21"/>
        </w:rPr>
        <w:t>.1资料外，还需提交总结报告、工程自验意见、工程自验问题整改报告、项目决算审计报告、项目绩效自评价报告、</w:t>
      </w:r>
      <w:r>
        <w:rPr>
          <w:rFonts w:hint="eastAsia" w:ascii="Times New Roman" w:hAnsi="Times New Roman" w:cs="Times New Roman"/>
          <w:color w:val="auto"/>
          <w:kern w:val="0"/>
          <w:sz w:val="21"/>
          <w:szCs w:val="21"/>
          <w:lang w:eastAsia="zh-CN"/>
        </w:rPr>
        <w:t>排土场（废石堆）</w:t>
      </w:r>
      <w:r>
        <w:rPr>
          <w:rFonts w:ascii="Times New Roman" w:hAnsi="Times New Roman" w:cs="Times New Roman"/>
          <w:color w:val="auto"/>
          <w:kern w:val="0"/>
          <w:sz w:val="21"/>
          <w:szCs w:val="21"/>
        </w:rPr>
        <w:t>生态修复效果自评报告</w:t>
      </w:r>
      <w:r>
        <w:rPr>
          <w:rFonts w:hint="eastAsia" w:ascii="Times New Roman" w:hAnsi="Times New Roman" w:cs="Times New Roman"/>
          <w:color w:val="auto"/>
          <w:kern w:val="0"/>
          <w:sz w:val="21"/>
          <w:szCs w:val="21"/>
          <w:lang w:eastAsia="zh-CN"/>
        </w:rPr>
        <w:t>（</w:t>
      </w:r>
      <w:r>
        <w:rPr>
          <w:rFonts w:ascii="Times New Roman" w:hAnsi="Times New Roman" w:cs="Times New Roman"/>
          <w:color w:val="auto"/>
          <w:kern w:val="0"/>
          <w:sz w:val="21"/>
          <w:szCs w:val="21"/>
        </w:rPr>
        <w:t>或第三方评估报告</w:t>
      </w:r>
      <w:r>
        <w:rPr>
          <w:rFonts w:hint="eastAsia" w:ascii="Times New Roman" w:hAnsi="Times New Roman" w:cs="Times New Roman"/>
          <w:color w:val="auto"/>
          <w:kern w:val="0"/>
          <w:sz w:val="21"/>
          <w:szCs w:val="21"/>
          <w:lang w:eastAsia="zh-CN"/>
        </w:rPr>
        <w:t>）</w:t>
      </w:r>
      <w:r>
        <w:rPr>
          <w:rFonts w:ascii="Times New Roman" w:hAnsi="Times New Roman" w:cs="Times New Roman"/>
          <w:color w:val="auto"/>
          <w:kern w:val="0"/>
          <w:sz w:val="21"/>
          <w:szCs w:val="21"/>
        </w:rPr>
        <w:t>、工程后期管护合同等。</w:t>
      </w:r>
      <w:bookmarkEnd w:id="197"/>
      <w:bookmarkEnd w:id="198"/>
    </w:p>
    <w:p w14:paraId="416007F1">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376E77DC">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B</w:t>
      </w:r>
      <w:r>
        <w:rPr>
          <w:rFonts w:ascii="Times New Roman" w:hAnsi="Times New Roman" w:eastAsia="黑体" w:cs="Times New Roman"/>
          <w:color w:val="auto"/>
          <w:kern w:val="0"/>
          <w:sz w:val="21"/>
          <w:szCs w:val="20"/>
        </w:rPr>
        <w:t>.1</w:t>
      </w:r>
      <w:r>
        <w:rPr>
          <w:rFonts w:hint="eastAsia" w:ascii="Times New Roman" w:hAnsi="Times New Roman" w:eastAsia="黑体" w:cs="Times New Roman"/>
          <w:color w:val="auto"/>
          <w:kern w:val="0"/>
          <w:sz w:val="21"/>
          <w:szCs w:val="20"/>
        </w:rPr>
        <w:t xml:space="preserve">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生态修复工程自验资料清单</w:t>
      </w:r>
    </w:p>
    <w:tbl>
      <w:tblPr>
        <w:tblStyle w:val="7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78"/>
        <w:gridCol w:w="7386"/>
      </w:tblGrid>
      <w:tr w14:paraId="7B8A9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52C2C9CC">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资料类型</w:t>
            </w:r>
          </w:p>
        </w:tc>
        <w:tc>
          <w:tcPr>
            <w:tcW w:w="3944" w:type="pct"/>
            <w:vAlign w:val="center"/>
          </w:tcPr>
          <w:p w14:paraId="6164C705">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资料名称</w:t>
            </w:r>
          </w:p>
        </w:tc>
      </w:tr>
      <w:tr w14:paraId="77F62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2DBBB7B7">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管理类</w:t>
            </w:r>
          </w:p>
        </w:tc>
        <w:tc>
          <w:tcPr>
            <w:tcW w:w="3944" w:type="pct"/>
            <w:vAlign w:val="center"/>
          </w:tcPr>
          <w:p w14:paraId="52A9CBF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hint="eastAsia" w:ascii="Times New Roman" w:hAnsi="Times New Roman" w:cs="Times New Roman"/>
                <w:snapToGrid w:val="0"/>
                <w:color w:val="auto"/>
                <w:sz w:val="18"/>
                <w:szCs w:val="22"/>
              </w:rPr>
              <w:t xml:space="preserve">1. </w:t>
            </w:r>
            <w:r>
              <w:rPr>
                <w:rFonts w:ascii="Times New Roman" w:hAnsi="Times New Roman" w:cs="Times New Roman"/>
                <w:snapToGrid w:val="0"/>
                <w:color w:val="auto"/>
                <w:sz w:val="18"/>
                <w:szCs w:val="22"/>
              </w:rPr>
              <w:t>验收申请</w:t>
            </w:r>
            <w:r>
              <w:rPr>
                <w:rFonts w:hint="eastAsia" w:ascii="Times New Roman" w:hAnsi="Times New Roman" w:cs="Times New Roman"/>
                <w:snapToGrid w:val="0"/>
                <w:color w:val="auto"/>
                <w:sz w:val="18"/>
                <w:szCs w:val="22"/>
              </w:rPr>
              <w:t>；</w:t>
            </w:r>
          </w:p>
          <w:p w14:paraId="28E25A13">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2</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各类会议纪要</w:t>
            </w:r>
            <w:r>
              <w:rPr>
                <w:rFonts w:hint="eastAsia" w:ascii="Times New Roman" w:hAnsi="Times New Roman" w:cs="Times New Roman"/>
                <w:snapToGrid w:val="0"/>
                <w:color w:val="auto"/>
                <w:sz w:val="18"/>
                <w:szCs w:val="22"/>
              </w:rPr>
              <w:t>；</w:t>
            </w:r>
          </w:p>
          <w:p w14:paraId="227C3911">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3.</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招投标文件、中标通知书、合同书</w:t>
            </w:r>
            <w:r>
              <w:rPr>
                <w:rFonts w:hint="eastAsia" w:ascii="Times New Roman" w:hAnsi="Times New Roman" w:cs="Times New Roman"/>
                <w:snapToGrid w:val="0"/>
                <w:color w:val="auto"/>
                <w:sz w:val="18"/>
                <w:szCs w:val="22"/>
              </w:rPr>
              <w:t>等；</w:t>
            </w:r>
          </w:p>
          <w:p w14:paraId="37FB7CD3">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4.</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承诺书。</w:t>
            </w:r>
          </w:p>
        </w:tc>
      </w:tr>
      <w:tr w14:paraId="6D4E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41BAD4F1">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设计类</w:t>
            </w:r>
          </w:p>
        </w:tc>
        <w:tc>
          <w:tcPr>
            <w:tcW w:w="3944" w:type="pct"/>
            <w:vAlign w:val="center"/>
          </w:tcPr>
          <w:p w14:paraId="665E1F27">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设计</w:t>
            </w:r>
            <w:r>
              <w:rPr>
                <w:rFonts w:hint="eastAsia" w:ascii="Times New Roman" w:hAnsi="Times New Roman" w:cs="Times New Roman"/>
                <w:snapToGrid w:val="0"/>
                <w:color w:val="auto"/>
                <w:sz w:val="18"/>
                <w:szCs w:val="22"/>
                <w:lang w:eastAsia="zh-CN"/>
              </w:rPr>
              <w:t>（</w:t>
            </w:r>
            <w:r>
              <w:rPr>
                <w:rFonts w:ascii="Times New Roman" w:hAnsi="Times New Roman" w:cs="Times New Roman"/>
                <w:snapToGrid w:val="0"/>
                <w:color w:val="auto"/>
                <w:sz w:val="18"/>
                <w:szCs w:val="22"/>
              </w:rPr>
              <w:t>变更</w:t>
            </w:r>
            <w:r>
              <w:rPr>
                <w:rFonts w:hint="eastAsia" w:ascii="Times New Roman" w:hAnsi="Times New Roman" w:cs="Times New Roman"/>
                <w:snapToGrid w:val="0"/>
                <w:color w:val="auto"/>
                <w:sz w:val="18"/>
                <w:szCs w:val="22"/>
                <w:lang w:eastAsia="zh-CN"/>
              </w:rPr>
              <w:t>）</w:t>
            </w:r>
            <w:r>
              <w:rPr>
                <w:rFonts w:ascii="Times New Roman" w:hAnsi="Times New Roman" w:cs="Times New Roman"/>
                <w:snapToGrid w:val="0"/>
                <w:color w:val="auto"/>
                <w:sz w:val="18"/>
                <w:szCs w:val="22"/>
              </w:rPr>
              <w:t>及其批准</w:t>
            </w:r>
            <w:r>
              <w:rPr>
                <w:rFonts w:hint="eastAsia" w:ascii="Times New Roman" w:hAnsi="Times New Roman" w:cs="Times New Roman"/>
                <w:snapToGrid w:val="0"/>
                <w:color w:val="auto"/>
                <w:sz w:val="18"/>
                <w:szCs w:val="22"/>
                <w:lang w:eastAsia="zh-CN"/>
              </w:rPr>
              <w:t>文件</w:t>
            </w:r>
            <w:r>
              <w:rPr>
                <w:rFonts w:hint="eastAsia" w:ascii="Times New Roman" w:hAnsi="Times New Roman" w:cs="Times New Roman"/>
                <w:snapToGrid w:val="0"/>
                <w:color w:val="auto"/>
                <w:sz w:val="18"/>
                <w:szCs w:val="22"/>
              </w:rPr>
              <w:t>；</w:t>
            </w:r>
          </w:p>
          <w:p w14:paraId="54E9ADFC">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2.</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设计交底记录。</w:t>
            </w:r>
          </w:p>
        </w:tc>
      </w:tr>
      <w:tr w14:paraId="337BB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30386149">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施工类</w:t>
            </w:r>
          </w:p>
        </w:tc>
        <w:tc>
          <w:tcPr>
            <w:tcW w:w="3944" w:type="pct"/>
            <w:vAlign w:val="center"/>
          </w:tcPr>
          <w:p w14:paraId="6CBB4C36">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竣工报告</w:t>
            </w:r>
            <w:r>
              <w:rPr>
                <w:rFonts w:hint="eastAsia" w:ascii="Times New Roman" w:hAnsi="Times New Roman" w:cs="Times New Roman"/>
                <w:snapToGrid w:val="0"/>
                <w:color w:val="auto"/>
                <w:sz w:val="18"/>
                <w:szCs w:val="22"/>
                <w:lang w:eastAsia="zh-CN"/>
              </w:rPr>
              <w:t>（</w:t>
            </w:r>
            <w:r>
              <w:rPr>
                <w:rFonts w:ascii="Times New Roman" w:hAnsi="Times New Roman" w:cs="Times New Roman"/>
                <w:snapToGrid w:val="0"/>
                <w:color w:val="auto"/>
                <w:sz w:val="18"/>
                <w:szCs w:val="22"/>
              </w:rPr>
              <w:t>图</w:t>
            </w:r>
            <w:r>
              <w:rPr>
                <w:rFonts w:hint="eastAsia" w:ascii="Times New Roman" w:hAnsi="Times New Roman" w:cs="Times New Roman"/>
                <w:snapToGrid w:val="0"/>
                <w:color w:val="auto"/>
                <w:sz w:val="18"/>
                <w:szCs w:val="22"/>
                <w:lang w:eastAsia="zh-CN"/>
              </w:rPr>
              <w:t>）</w:t>
            </w:r>
            <w:r>
              <w:rPr>
                <w:rFonts w:hint="eastAsia" w:ascii="Times New Roman" w:hAnsi="Times New Roman" w:cs="Times New Roman"/>
                <w:snapToGrid w:val="0"/>
                <w:color w:val="auto"/>
                <w:sz w:val="18"/>
                <w:szCs w:val="22"/>
              </w:rPr>
              <w:t>；</w:t>
            </w:r>
          </w:p>
          <w:p w14:paraId="0B1B21FA">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2.</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施工企业营业执照及相关资质证书</w:t>
            </w:r>
            <w:r>
              <w:rPr>
                <w:rFonts w:hint="eastAsia" w:ascii="Times New Roman" w:hAnsi="Times New Roman" w:cs="Times New Roman"/>
                <w:snapToGrid w:val="0"/>
                <w:color w:val="auto"/>
                <w:sz w:val="18"/>
                <w:szCs w:val="22"/>
              </w:rPr>
              <w:t>；</w:t>
            </w:r>
          </w:p>
          <w:p w14:paraId="3F7CAE38">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3.</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项目施工组织设计及专项施工设计</w:t>
            </w:r>
            <w:r>
              <w:rPr>
                <w:rFonts w:hint="eastAsia" w:ascii="Times New Roman" w:hAnsi="Times New Roman" w:cs="Times New Roman"/>
                <w:snapToGrid w:val="0"/>
                <w:color w:val="auto"/>
                <w:sz w:val="18"/>
                <w:szCs w:val="22"/>
              </w:rPr>
              <w:t>；</w:t>
            </w:r>
          </w:p>
          <w:p w14:paraId="01A9C57D">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4.</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技术、质量、安全交底记录</w:t>
            </w:r>
            <w:r>
              <w:rPr>
                <w:rFonts w:hint="eastAsia" w:ascii="Times New Roman" w:hAnsi="Times New Roman" w:cs="Times New Roman"/>
                <w:snapToGrid w:val="0"/>
                <w:color w:val="auto"/>
                <w:sz w:val="18"/>
                <w:szCs w:val="22"/>
              </w:rPr>
              <w:t>；</w:t>
            </w:r>
          </w:p>
          <w:p w14:paraId="65EA6C7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5.</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开工报告</w:t>
            </w:r>
            <w:r>
              <w:rPr>
                <w:rFonts w:hint="eastAsia" w:ascii="Times New Roman" w:hAnsi="Times New Roman" w:cs="Times New Roman"/>
                <w:snapToGrid w:val="0"/>
                <w:color w:val="auto"/>
                <w:sz w:val="18"/>
                <w:szCs w:val="22"/>
              </w:rPr>
              <w:t>；</w:t>
            </w:r>
          </w:p>
          <w:p w14:paraId="51732B95">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6.</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主要材料合格证及复检报告</w:t>
            </w:r>
            <w:r>
              <w:rPr>
                <w:rFonts w:hint="eastAsia" w:ascii="Times New Roman" w:hAnsi="Times New Roman" w:cs="Times New Roman"/>
                <w:snapToGrid w:val="0"/>
                <w:color w:val="auto"/>
                <w:sz w:val="18"/>
                <w:szCs w:val="22"/>
              </w:rPr>
              <w:t>；</w:t>
            </w:r>
          </w:p>
          <w:p w14:paraId="655ECDE7">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7.</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隐蔽工程验收记录</w:t>
            </w:r>
            <w:r>
              <w:rPr>
                <w:rFonts w:hint="eastAsia" w:ascii="Times New Roman" w:hAnsi="Times New Roman" w:cs="Times New Roman"/>
                <w:snapToGrid w:val="0"/>
                <w:color w:val="auto"/>
                <w:sz w:val="18"/>
                <w:szCs w:val="22"/>
              </w:rPr>
              <w:t>；</w:t>
            </w:r>
          </w:p>
          <w:p w14:paraId="766D5AF3">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8.</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工程联系单</w:t>
            </w:r>
            <w:r>
              <w:rPr>
                <w:rFonts w:hint="eastAsia" w:ascii="Times New Roman" w:hAnsi="Times New Roman" w:cs="Times New Roman"/>
                <w:snapToGrid w:val="0"/>
                <w:color w:val="auto"/>
                <w:sz w:val="18"/>
                <w:szCs w:val="22"/>
              </w:rPr>
              <w:t>；</w:t>
            </w:r>
          </w:p>
          <w:p w14:paraId="4505F193">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9.</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分部、分项、整体工程质量检验与评定记录</w:t>
            </w:r>
            <w:r>
              <w:rPr>
                <w:rFonts w:hint="eastAsia" w:ascii="Times New Roman" w:hAnsi="Times New Roman" w:cs="Times New Roman"/>
                <w:snapToGrid w:val="0"/>
                <w:color w:val="auto"/>
                <w:sz w:val="18"/>
                <w:szCs w:val="22"/>
              </w:rPr>
              <w:t>；</w:t>
            </w:r>
          </w:p>
          <w:p w14:paraId="3AFA8FED">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10.</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施工日志</w:t>
            </w:r>
            <w:r>
              <w:rPr>
                <w:rFonts w:hint="eastAsia" w:ascii="Times New Roman" w:hAnsi="Times New Roman" w:cs="Times New Roman"/>
                <w:snapToGrid w:val="0"/>
                <w:color w:val="auto"/>
                <w:sz w:val="18"/>
                <w:szCs w:val="22"/>
              </w:rPr>
              <w:t>；</w:t>
            </w:r>
          </w:p>
          <w:p w14:paraId="0FDB20FC">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11.</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影像资料等。</w:t>
            </w:r>
          </w:p>
        </w:tc>
      </w:tr>
      <w:tr w14:paraId="5F5B3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41C5E661">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监理类</w:t>
            </w:r>
          </w:p>
        </w:tc>
        <w:tc>
          <w:tcPr>
            <w:tcW w:w="3944" w:type="pct"/>
            <w:vAlign w:val="center"/>
          </w:tcPr>
          <w:p w14:paraId="2602849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监理报告</w:t>
            </w:r>
            <w:r>
              <w:rPr>
                <w:rFonts w:hint="eastAsia" w:ascii="Times New Roman" w:hAnsi="Times New Roman" w:cs="Times New Roman"/>
                <w:snapToGrid w:val="0"/>
                <w:color w:val="auto"/>
                <w:sz w:val="18"/>
                <w:szCs w:val="22"/>
              </w:rPr>
              <w:t>；</w:t>
            </w:r>
          </w:p>
          <w:p w14:paraId="62650161">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2.</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监理企业营业执照及相关执业资格证书</w:t>
            </w:r>
            <w:r>
              <w:rPr>
                <w:rFonts w:hint="eastAsia" w:ascii="Times New Roman" w:hAnsi="Times New Roman" w:cs="Times New Roman"/>
                <w:snapToGrid w:val="0"/>
                <w:color w:val="auto"/>
                <w:sz w:val="18"/>
                <w:szCs w:val="22"/>
              </w:rPr>
              <w:t>；</w:t>
            </w:r>
          </w:p>
          <w:p w14:paraId="3F77F1AC">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3.</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监理规划</w:t>
            </w:r>
            <w:r>
              <w:rPr>
                <w:rFonts w:hint="eastAsia" w:ascii="Times New Roman" w:hAnsi="Times New Roman" w:cs="Times New Roman"/>
                <w:snapToGrid w:val="0"/>
                <w:color w:val="auto"/>
                <w:sz w:val="18"/>
                <w:szCs w:val="22"/>
              </w:rPr>
              <w:t>；</w:t>
            </w:r>
          </w:p>
          <w:p w14:paraId="750F06FE">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4.</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主要材料复检记录</w:t>
            </w:r>
            <w:r>
              <w:rPr>
                <w:rFonts w:hint="eastAsia" w:ascii="Times New Roman" w:hAnsi="Times New Roman" w:cs="Times New Roman"/>
                <w:snapToGrid w:val="0"/>
                <w:color w:val="auto"/>
                <w:sz w:val="18"/>
                <w:szCs w:val="22"/>
              </w:rPr>
              <w:t>；</w:t>
            </w:r>
          </w:p>
          <w:p w14:paraId="5C11C69D">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5.</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隐蔽工程验收记录</w:t>
            </w:r>
            <w:r>
              <w:rPr>
                <w:rFonts w:hint="eastAsia" w:ascii="Times New Roman" w:hAnsi="Times New Roman" w:cs="Times New Roman"/>
                <w:snapToGrid w:val="0"/>
                <w:color w:val="auto"/>
                <w:sz w:val="18"/>
                <w:szCs w:val="22"/>
              </w:rPr>
              <w:t>；</w:t>
            </w:r>
          </w:p>
          <w:p w14:paraId="5E20D61F">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6.</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工程联系单</w:t>
            </w:r>
            <w:r>
              <w:rPr>
                <w:rFonts w:hint="eastAsia" w:ascii="Times New Roman" w:hAnsi="Times New Roman" w:cs="Times New Roman"/>
                <w:snapToGrid w:val="0"/>
                <w:color w:val="auto"/>
                <w:sz w:val="18"/>
                <w:szCs w:val="22"/>
              </w:rPr>
              <w:t>；</w:t>
            </w:r>
          </w:p>
          <w:p w14:paraId="0AD0326E">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7.</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分部、分项、整体工程质量检验与评定记录</w:t>
            </w:r>
            <w:r>
              <w:rPr>
                <w:rFonts w:hint="eastAsia" w:ascii="Times New Roman" w:hAnsi="Times New Roman" w:cs="Times New Roman"/>
                <w:snapToGrid w:val="0"/>
                <w:color w:val="auto"/>
                <w:sz w:val="18"/>
                <w:szCs w:val="22"/>
              </w:rPr>
              <w:t>；</w:t>
            </w:r>
          </w:p>
          <w:p w14:paraId="26C32B28">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8.</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会议纪要</w:t>
            </w:r>
            <w:r>
              <w:rPr>
                <w:rFonts w:hint="eastAsia" w:ascii="Times New Roman" w:hAnsi="Times New Roman" w:cs="Times New Roman"/>
                <w:snapToGrid w:val="0"/>
                <w:color w:val="auto"/>
                <w:sz w:val="18"/>
                <w:szCs w:val="22"/>
              </w:rPr>
              <w:t>；</w:t>
            </w:r>
          </w:p>
          <w:p w14:paraId="47D790B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9.</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监理日志</w:t>
            </w:r>
            <w:r>
              <w:rPr>
                <w:rFonts w:hint="eastAsia" w:ascii="Times New Roman" w:hAnsi="Times New Roman" w:cs="Times New Roman"/>
                <w:snapToGrid w:val="0"/>
                <w:color w:val="auto"/>
                <w:sz w:val="18"/>
                <w:szCs w:val="22"/>
              </w:rPr>
              <w:t>；</w:t>
            </w:r>
          </w:p>
          <w:p w14:paraId="3F3AF8B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10.</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影像资料等。</w:t>
            </w:r>
          </w:p>
        </w:tc>
      </w:tr>
      <w:tr w14:paraId="7155F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6" w:type="pct"/>
            <w:vAlign w:val="center"/>
          </w:tcPr>
          <w:p w14:paraId="009F685A">
            <w:pPr>
              <w:overflowPunct/>
              <w:adjustRightInd w:val="0"/>
              <w:snapToGrid w:val="0"/>
              <w:ind w:firstLine="0" w:firstLineChars="0"/>
              <w:jc w:val="center"/>
              <w:textAlignment w:val="auto"/>
              <w:rPr>
                <w:rFonts w:ascii="Times New Roman" w:hAnsi="Times New Roman" w:cs="Times New Roman"/>
                <w:snapToGrid w:val="0"/>
                <w:color w:val="auto"/>
                <w:sz w:val="18"/>
                <w:szCs w:val="22"/>
                <w:lang w:eastAsia="en-US"/>
              </w:rPr>
            </w:pPr>
            <w:r>
              <w:rPr>
                <w:rFonts w:ascii="Times New Roman" w:hAnsi="Times New Roman" w:cs="Times New Roman"/>
                <w:snapToGrid w:val="0"/>
                <w:color w:val="auto"/>
                <w:sz w:val="18"/>
                <w:szCs w:val="22"/>
                <w:lang w:eastAsia="en-US"/>
              </w:rPr>
              <w:t>财务类</w:t>
            </w:r>
          </w:p>
        </w:tc>
        <w:tc>
          <w:tcPr>
            <w:tcW w:w="3944" w:type="pct"/>
            <w:vAlign w:val="center"/>
          </w:tcPr>
          <w:p w14:paraId="2365B62E">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1.</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工程预算费用证明文件</w:t>
            </w:r>
            <w:r>
              <w:rPr>
                <w:rFonts w:hint="eastAsia" w:ascii="Times New Roman" w:hAnsi="Times New Roman" w:cs="Times New Roman"/>
                <w:snapToGrid w:val="0"/>
                <w:color w:val="auto"/>
                <w:sz w:val="18"/>
                <w:szCs w:val="22"/>
              </w:rPr>
              <w:t>；</w:t>
            </w:r>
          </w:p>
          <w:p w14:paraId="019A28C8">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2.</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工程款收支凭证及汇总表</w:t>
            </w:r>
            <w:r>
              <w:rPr>
                <w:rFonts w:hint="eastAsia" w:ascii="Times New Roman" w:hAnsi="Times New Roman" w:cs="Times New Roman"/>
                <w:snapToGrid w:val="0"/>
                <w:color w:val="auto"/>
                <w:sz w:val="18"/>
                <w:szCs w:val="22"/>
              </w:rPr>
              <w:t>；</w:t>
            </w:r>
          </w:p>
          <w:p w14:paraId="05758B80">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3.</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工程施工费用清单</w:t>
            </w:r>
            <w:r>
              <w:rPr>
                <w:rFonts w:hint="eastAsia" w:ascii="Times New Roman" w:hAnsi="Times New Roman" w:cs="Times New Roman"/>
                <w:snapToGrid w:val="0"/>
                <w:color w:val="auto"/>
                <w:sz w:val="18"/>
                <w:szCs w:val="22"/>
              </w:rPr>
              <w:t>；</w:t>
            </w:r>
          </w:p>
          <w:p w14:paraId="42A24C9C">
            <w:pPr>
              <w:overflowPunct/>
              <w:adjustRightInd w:val="0"/>
              <w:snapToGrid w:val="0"/>
              <w:ind w:firstLine="0" w:firstLineChars="0"/>
              <w:textAlignment w:val="auto"/>
              <w:rPr>
                <w:rFonts w:ascii="Times New Roman" w:hAnsi="Times New Roman" w:cs="Times New Roman"/>
                <w:snapToGrid w:val="0"/>
                <w:color w:val="auto"/>
                <w:sz w:val="18"/>
                <w:szCs w:val="22"/>
              </w:rPr>
            </w:pPr>
            <w:r>
              <w:rPr>
                <w:rFonts w:ascii="Times New Roman" w:hAnsi="Times New Roman" w:cs="Times New Roman"/>
                <w:snapToGrid w:val="0"/>
                <w:color w:val="auto"/>
                <w:sz w:val="18"/>
                <w:szCs w:val="22"/>
              </w:rPr>
              <w:t>4.</w:t>
            </w:r>
            <w:r>
              <w:rPr>
                <w:rFonts w:hint="eastAsia" w:ascii="Times New Roman" w:hAnsi="Times New Roman" w:cs="Times New Roman"/>
                <w:snapToGrid w:val="0"/>
                <w:color w:val="auto"/>
                <w:sz w:val="18"/>
                <w:szCs w:val="22"/>
              </w:rPr>
              <w:t xml:space="preserve"> </w:t>
            </w:r>
            <w:r>
              <w:rPr>
                <w:rFonts w:ascii="Times New Roman" w:hAnsi="Times New Roman" w:cs="Times New Roman"/>
                <w:snapToGrid w:val="0"/>
                <w:color w:val="auto"/>
                <w:sz w:val="18"/>
                <w:szCs w:val="22"/>
              </w:rPr>
              <w:t>其他财务资料</w:t>
            </w:r>
            <w:r>
              <w:rPr>
                <w:rFonts w:hint="eastAsia" w:ascii="Times New Roman" w:hAnsi="Times New Roman" w:cs="Times New Roman"/>
                <w:snapToGrid w:val="0"/>
                <w:color w:val="auto"/>
                <w:sz w:val="18"/>
                <w:szCs w:val="22"/>
              </w:rPr>
              <w:t>。</w:t>
            </w:r>
          </w:p>
        </w:tc>
      </w:tr>
    </w:tbl>
    <w:p w14:paraId="315FC71F">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32DDEF9F">
      <w:pPr>
        <w:keepNext/>
        <w:widowControl/>
        <w:numPr>
          <w:ilvl w:val="0"/>
          <w:numId w:val="8"/>
        </w:numPr>
        <w:shd w:val="clear" w:color="FFFFFF" w:fill="FFFFFF"/>
        <w:tabs>
          <w:tab w:val="left" w:pos="360"/>
          <w:tab w:val="left" w:pos="6405"/>
        </w:tabs>
        <w:overflowPunct/>
        <w:adjustRightInd w:val="0"/>
        <w:snapToGrid w:val="0"/>
        <w:spacing w:before="640" w:after="280"/>
        <w:ind w:firstLineChars="0"/>
        <w:jc w:val="center"/>
        <w:textAlignment w:val="auto"/>
        <w:outlineLvl w:val="0"/>
        <w:rPr>
          <w:rFonts w:ascii="黑体" w:hAnsi="Times New Roman" w:eastAsia="黑体" w:cs="Times New Roman"/>
          <w:color w:val="auto"/>
          <w:kern w:val="0"/>
          <w:sz w:val="21"/>
          <w:szCs w:val="20"/>
        </w:rPr>
      </w:pPr>
      <w:bookmarkStart w:id="199" w:name="_Toc9613"/>
      <w:bookmarkStart w:id="200" w:name="_Toc2139"/>
      <w:bookmarkStart w:id="201" w:name="_Toc16971"/>
      <w:r>
        <w:rPr>
          <w:rFonts w:ascii="黑体" w:hAnsi="Times New Roman" w:eastAsia="黑体" w:cs="Times New Roman"/>
          <w:color w:val="auto"/>
          <w:kern w:val="0"/>
          <w:sz w:val="21"/>
          <w:szCs w:val="20"/>
        </w:rPr>
        <w:br w:type="textWrapping"/>
      </w:r>
      <w:bookmarkStart w:id="202" w:name="_Toc218963349"/>
      <w:bookmarkStart w:id="203" w:name="_Toc218763814"/>
      <w:bookmarkStart w:id="204" w:name="_Toc218763143"/>
      <w:r>
        <w:rPr>
          <w:rFonts w:ascii="黑体" w:hAnsi="Times New Roman" w:eastAsia="黑体" w:cs="Times New Roman"/>
          <w:color w:val="auto"/>
          <w:kern w:val="0"/>
          <w:sz w:val="21"/>
          <w:szCs w:val="20"/>
        </w:rPr>
        <w:t>（</w:t>
      </w:r>
      <w:r>
        <w:rPr>
          <w:rFonts w:hint="eastAsia" w:ascii="黑体" w:hAnsi="Times New Roman" w:eastAsia="黑体" w:cs="Times New Roman"/>
          <w:color w:val="auto"/>
          <w:kern w:val="0"/>
          <w:sz w:val="21"/>
          <w:szCs w:val="20"/>
        </w:rPr>
        <w:t>资料</w:t>
      </w:r>
      <w:r>
        <w:rPr>
          <w:rFonts w:ascii="黑体" w:hAnsi="Times New Roman" w:eastAsia="黑体" w:cs="Times New Roman"/>
          <w:color w:val="auto"/>
          <w:kern w:val="0"/>
          <w:sz w:val="21"/>
          <w:szCs w:val="20"/>
        </w:rPr>
        <w:t>性）</w:t>
      </w:r>
      <w:r>
        <w:rPr>
          <w:rFonts w:ascii="黑体" w:hAnsi="Times New Roman" w:eastAsia="黑体" w:cs="Times New Roman"/>
          <w:color w:val="auto"/>
          <w:kern w:val="0"/>
          <w:sz w:val="21"/>
          <w:szCs w:val="20"/>
        </w:rPr>
        <w:br w:type="textWrapping"/>
      </w:r>
      <w:r>
        <w:rPr>
          <w:rFonts w:hint="eastAsia" w:ascii="黑体" w:hAnsi="Times New Roman" w:eastAsia="黑体" w:cs="Times New Roman"/>
          <w:color w:val="auto"/>
          <w:kern w:val="0"/>
          <w:sz w:val="21"/>
          <w:szCs w:val="20"/>
          <w:lang w:eastAsia="zh-CN"/>
        </w:rPr>
        <w:t>排土场（废石堆）</w:t>
      </w:r>
      <w:r>
        <w:rPr>
          <w:rFonts w:hint="eastAsia" w:ascii="黑体" w:hAnsi="Times New Roman" w:eastAsia="黑体" w:cs="Times New Roman"/>
          <w:color w:val="auto"/>
          <w:kern w:val="0"/>
          <w:sz w:val="21"/>
          <w:szCs w:val="20"/>
        </w:rPr>
        <w:t>生态修复工程验收意见书格式</w:t>
      </w:r>
      <w:bookmarkEnd w:id="199"/>
      <w:bookmarkEnd w:id="200"/>
      <w:bookmarkEnd w:id="201"/>
      <w:bookmarkEnd w:id="202"/>
      <w:bookmarkEnd w:id="203"/>
      <w:bookmarkEnd w:id="204"/>
    </w:p>
    <w:p w14:paraId="16EF9872">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05" w:name="_Toc30239"/>
      <w:bookmarkStart w:id="206" w:name="_Toc28832"/>
      <w:r>
        <w:rPr>
          <w:rFonts w:hint="eastAsia" w:ascii="Times New Roman" w:hAnsi="Times New Roman" w:cs="Times New Roman"/>
          <w:color w:val="auto"/>
          <w:kern w:val="0"/>
          <w:sz w:val="21"/>
          <w:szCs w:val="21"/>
        </w:rPr>
        <w:t>C</w:t>
      </w:r>
      <w:r>
        <w:rPr>
          <w:rFonts w:ascii="Times New Roman" w:hAnsi="Times New Roman" w:cs="Times New Roman"/>
          <w:color w:val="auto"/>
          <w:kern w:val="0"/>
          <w:sz w:val="21"/>
          <w:szCs w:val="21"/>
        </w:rPr>
        <w:t>.1</w:t>
      </w:r>
      <w:r>
        <w:rPr>
          <w:rFonts w:hint="eastAsia" w:ascii="Times New Roman" w:hAnsi="Times New Roman" w:cs="Times New Roman"/>
          <w:color w:val="auto"/>
          <w:kern w:val="0"/>
          <w:sz w:val="21"/>
          <w:szCs w:val="21"/>
        </w:rPr>
        <w:t xml:space="preserve"> </w:t>
      </w:r>
      <w:r>
        <w:rPr>
          <w:rFonts w:hint="eastAsia" w:ascii="Times New Roman" w:hAnsi="Times New Roman" w:cs="Times New Roman"/>
          <w:color w:val="auto"/>
          <w:kern w:val="0"/>
          <w:sz w:val="21"/>
          <w:szCs w:val="21"/>
          <w:lang w:eastAsia="zh-CN"/>
        </w:rPr>
        <w:t>排土场（废石堆）</w:t>
      </w:r>
      <w:r>
        <w:rPr>
          <w:rFonts w:ascii="Times New Roman" w:hAnsi="Times New Roman" w:cs="Times New Roman"/>
          <w:color w:val="auto"/>
          <w:kern w:val="0"/>
          <w:sz w:val="21"/>
          <w:szCs w:val="21"/>
        </w:rPr>
        <w:t>生态修复工程（项目）验收意见书格式见</w:t>
      </w:r>
      <w:r>
        <w:rPr>
          <w:rFonts w:hint="eastAsia" w:ascii="Times New Roman" w:hAnsi="Times New Roman" w:cs="Times New Roman"/>
          <w:color w:val="auto"/>
          <w:kern w:val="0"/>
          <w:sz w:val="21"/>
          <w:szCs w:val="21"/>
        </w:rPr>
        <w:t>C</w:t>
      </w:r>
      <w:r>
        <w:rPr>
          <w:rFonts w:ascii="Times New Roman" w:hAnsi="Times New Roman" w:cs="Times New Roman"/>
          <w:color w:val="auto"/>
          <w:kern w:val="0"/>
          <w:sz w:val="21"/>
          <w:szCs w:val="21"/>
        </w:rPr>
        <w:t>.1~</w:t>
      </w:r>
      <w:r>
        <w:rPr>
          <w:rFonts w:hint="eastAsia" w:ascii="Times New Roman" w:hAnsi="Times New Roman" w:cs="Times New Roman"/>
          <w:color w:val="auto"/>
          <w:kern w:val="0"/>
          <w:sz w:val="21"/>
          <w:szCs w:val="21"/>
        </w:rPr>
        <w:t>C</w:t>
      </w:r>
      <w:r>
        <w:rPr>
          <w:rFonts w:ascii="Times New Roman" w:hAnsi="Times New Roman" w:cs="Times New Roman"/>
          <w:color w:val="auto"/>
          <w:kern w:val="0"/>
          <w:sz w:val="21"/>
          <w:szCs w:val="21"/>
        </w:rPr>
        <w:t>.4表。</w:t>
      </w:r>
      <w:bookmarkEnd w:id="205"/>
      <w:bookmarkEnd w:id="206"/>
    </w:p>
    <w:p w14:paraId="75B7E103">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.1 </w:t>
      </w:r>
      <w:r>
        <w:rPr>
          <w:rFonts w:hint="eastAsia" w:ascii="Times New Roman" w:hAnsi="Times New Roman" w:eastAsia="黑体" w:cs="Times New Roman"/>
          <w:color w:val="auto"/>
          <w:kern w:val="0"/>
          <w:sz w:val="21"/>
          <w:szCs w:val="20"/>
        </w:rPr>
        <w:t xml:space="preserve">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生态修复工程验收报告封面</w:t>
      </w:r>
    </w:p>
    <w:tbl>
      <w:tblPr>
        <w:tblStyle w:val="6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0"/>
      </w:tblGrid>
      <w:tr w14:paraId="3DC0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9" w:hRule="atLeast"/>
        </w:trPr>
        <w:tc>
          <w:tcPr>
            <w:tcW w:w="5000" w:type="pct"/>
          </w:tcPr>
          <w:p w14:paraId="20C3F17E">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44031DA3">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5B5EC0FD">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579BC4EC">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2B32462">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8DD9633">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A632F50">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3CB791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2BAEA24E">
            <w:pPr>
              <w:overflowPunct/>
              <w:adjustRightInd w:val="0"/>
              <w:snapToGrid w:val="0"/>
              <w:ind w:firstLine="0" w:firstLineChars="0"/>
              <w:jc w:val="center"/>
              <w:textAlignment w:val="auto"/>
              <w:rPr>
                <w:rFonts w:ascii="黑体" w:hAnsi="黑体" w:eastAsia="黑体" w:cs="Times New Roman"/>
                <w:color w:val="auto"/>
                <w:sz w:val="44"/>
                <w:szCs w:val="44"/>
              </w:rPr>
            </w:pPr>
            <w:r>
              <w:rPr>
                <w:rFonts w:hint="eastAsia" w:ascii="黑体" w:hAnsi="黑体" w:eastAsia="黑体" w:cs="Times New Roman"/>
                <w:color w:val="auto"/>
                <w:sz w:val="44"/>
                <w:szCs w:val="44"/>
              </w:rPr>
              <w:t>工程（项目）名称</w:t>
            </w:r>
          </w:p>
          <w:p w14:paraId="40B05559">
            <w:pPr>
              <w:overflowPunct/>
              <w:adjustRightInd w:val="0"/>
              <w:snapToGrid w:val="0"/>
              <w:ind w:firstLine="0" w:firstLineChars="0"/>
              <w:jc w:val="center"/>
              <w:textAlignment w:val="auto"/>
              <w:rPr>
                <w:rFonts w:ascii="黑体" w:hAnsi="黑体" w:eastAsia="黑体" w:cs="Times New Roman"/>
                <w:color w:val="auto"/>
                <w:sz w:val="44"/>
                <w:szCs w:val="44"/>
              </w:rPr>
            </w:pPr>
            <w:r>
              <w:rPr>
                <w:rFonts w:hint="eastAsia" w:ascii="黑体" w:hAnsi="黑体" w:eastAsia="黑体" w:cs="Times New Roman"/>
                <w:color w:val="auto"/>
                <w:sz w:val="44"/>
                <w:szCs w:val="44"/>
              </w:rPr>
              <w:t>（工程自验、最终验收）报告</w:t>
            </w:r>
          </w:p>
          <w:p w14:paraId="156E5A3B">
            <w:pPr>
              <w:overflowPunct/>
              <w:adjustRightInd w:val="0"/>
              <w:snapToGrid w:val="0"/>
              <w:ind w:firstLine="0" w:firstLineChars="0"/>
              <w:jc w:val="center"/>
              <w:textAlignment w:val="auto"/>
              <w:rPr>
                <w:rFonts w:ascii="Times New Roman" w:hAnsi="Times New Roman" w:eastAsia="Times New Roman" w:cs="Times New Roman"/>
                <w:color w:val="auto"/>
                <w:sz w:val="21"/>
                <w:szCs w:val="22"/>
              </w:rPr>
            </w:pPr>
            <w:r>
              <w:rPr>
                <w:rFonts w:hint="eastAsia" w:eastAsia="宋体"/>
                <w:color w:val="auto"/>
                <w:sz w:val="21"/>
                <w:szCs w:val="22"/>
              </w:rPr>
              <w:t>（黑体二号）</w:t>
            </w:r>
          </w:p>
          <w:p w14:paraId="1A42C46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75E1125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3D3E90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037C3D7B">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5802CE3F">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58F51B3">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7C8864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C8F6683">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523C8CFC">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3B762EE">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376578F">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304C17FB">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6DF0D581">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04E5D363">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3776771B">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49F46B00">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24F5DCCF">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098D2A94">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35B7FEA6">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33A22065">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1D16762B">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433F6104">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2C5EF1B2">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3B336237">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081F8248">
            <w:pPr>
              <w:overflowPunct/>
              <w:adjustRightInd w:val="0"/>
              <w:snapToGrid w:val="0"/>
              <w:ind w:firstLine="420"/>
              <w:jc w:val="both"/>
              <w:textAlignment w:val="auto"/>
              <w:rPr>
                <w:rFonts w:ascii="Times New Roman" w:hAnsi="Times New Roman" w:eastAsia="Times New Roman" w:cs="Times New Roman"/>
                <w:color w:val="auto"/>
                <w:sz w:val="21"/>
                <w:szCs w:val="22"/>
              </w:rPr>
            </w:pPr>
          </w:p>
          <w:p w14:paraId="56B4B40C">
            <w:pPr>
              <w:overflowPunct/>
              <w:adjustRightInd w:val="0"/>
              <w:snapToGrid w:val="0"/>
              <w:ind w:firstLine="1920" w:firstLineChars="600"/>
              <w:jc w:val="both"/>
              <w:textAlignment w:val="auto"/>
              <w:rPr>
                <w:rFonts w:ascii="Times New Roman" w:hAnsi="Times New Roman" w:eastAsia="Times New Roman" w:cs="Times New Roman"/>
                <w:color w:val="auto"/>
                <w:sz w:val="32"/>
                <w:szCs w:val="32"/>
              </w:rPr>
            </w:pPr>
            <w:r>
              <w:rPr>
                <w:rFonts w:hint="eastAsia" w:eastAsia="宋体"/>
                <w:color w:val="auto"/>
                <w:sz w:val="32"/>
                <w:szCs w:val="32"/>
              </w:rPr>
              <w:t>组织验收单位：</w:t>
            </w:r>
          </w:p>
          <w:p w14:paraId="5FD1B695">
            <w:pPr>
              <w:overflowPunct/>
              <w:adjustRightInd w:val="0"/>
              <w:snapToGrid w:val="0"/>
              <w:ind w:firstLine="0" w:firstLineChars="0"/>
              <w:jc w:val="center"/>
              <w:textAlignment w:val="auto"/>
              <w:rPr>
                <w:rFonts w:ascii="Times New Roman" w:hAnsi="Times New Roman" w:eastAsia="Times New Roman" w:cs="Times New Roman"/>
                <w:color w:val="auto"/>
                <w:sz w:val="32"/>
                <w:szCs w:val="32"/>
              </w:rPr>
            </w:pPr>
            <w:r>
              <w:rPr>
                <w:rFonts w:hint="eastAsia" w:eastAsia="宋体"/>
                <w:color w:val="auto"/>
                <w:sz w:val="32"/>
                <w:szCs w:val="32"/>
              </w:rPr>
              <w:t>年</w:t>
            </w:r>
            <w:r>
              <w:rPr>
                <w:rFonts w:hint="eastAsia" w:ascii="Times New Roman" w:hAnsi="Times New Roman" w:eastAsia="Times New Roman" w:cs="Times New Roman"/>
                <w:color w:val="auto"/>
                <w:sz w:val="32"/>
                <w:szCs w:val="32"/>
              </w:rPr>
              <w:t xml:space="preserve">  </w:t>
            </w:r>
            <w:r>
              <w:rPr>
                <w:rFonts w:hint="eastAsia" w:eastAsia="宋体"/>
                <w:color w:val="auto"/>
                <w:sz w:val="32"/>
                <w:szCs w:val="32"/>
              </w:rPr>
              <w:t>月</w:t>
            </w:r>
            <w:r>
              <w:rPr>
                <w:rFonts w:hint="eastAsia" w:ascii="Times New Roman" w:hAnsi="Times New Roman" w:eastAsia="Times New Roman" w:cs="Times New Roman"/>
                <w:color w:val="auto"/>
                <w:sz w:val="32"/>
                <w:szCs w:val="32"/>
              </w:rPr>
              <w:t xml:space="preserve">  </w:t>
            </w:r>
            <w:r>
              <w:rPr>
                <w:rFonts w:hint="eastAsia" w:eastAsia="宋体"/>
                <w:color w:val="auto"/>
                <w:sz w:val="32"/>
                <w:szCs w:val="32"/>
              </w:rPr>
              <w:t>日</w:t>
            </w:r>
          </w:p>
          <w:p w14:paraId="3997DF8F">
            <w:pPr>
              <w:overflowPunct/>
              <w:adjustRightInd w:val="0"/>
              <w:snapToGrid w:val="0"/>
              <w:ind w:firstLine="0" w:firstLineChars="0"/>
              <w:jc w:val="center"/>
              <w:textAlignment w:val="auto"/>
              <w:rPr>
                <w:rFonts w:ascii="Times New Roman" w:hAnsi="Times New Roman" w:cs="Times New Roman" w:eastAsiaTheme="minorEastAsia"/>
                <w:color w:val="auto"/>
                <w:sz w:val="21"/>
                <w:szCs w:val="22"/>
              </w:rPr>
            </w:pPr>
            <w:r>
              <w:rPr>
                <w:rFonts w:hint="eastAsia" w:eastAsia="宋体"/>
                <w:color w:val="auto"/>
                <w:sz w:val="21"/>
                <w:szCs w:val="22"/>
              </w:rPr>
              <w:t>（宋体三号）</w:t>
            </w:r>
          </w:p>
        </w:tc>
      </w:tr>
    </w:tbl>
    <w:p w14:paraId="22EDDE92">
      <w:pPr>
        <w:widowControl/>
        <w:overflowPunct/>
        <w:autoSpaceDE w:val="0"/>
        <w:autoSpaceDN w:val="0"/>
        <w:adjustRightInd w:val="0"/>
        <w:snapToGrid w:val="0"/>
        <w:ind w:firstLine="0" w:firstLineChars="0"/>
        <w:jc w:val="center"/>
        <w:textAlignment w:val="auto"/>
        <w:rPr>
          <w:rFonts w:ascii="Times New Roman" w:hAnsi="Times New Roman" w:eastAsia="黑体" w:cs="Times New Roman"/>
          <w:color w:val="auto"/>
          <w:kern w:val="0"/>
          <w:sz w:val="21"/>
          <w:szCs w:val="20"/>
        </w:rPr>
        <w:sectPr>
          <w:pgSz w:w="11906" w:h="16838"/>
          <w:pgMar w:top="567" w:right="1134" w:bottom="1134" w:left="1418" w:header="1418" w:footer="1134" w:gutter="0"/>
          <w:pgNumType w:fmt="decimal"/>
          <w:cols w:space="425" w:num="1"/>
          <w:docGrid w:type="lines" w:linePitch="312" w:charSpace="0"/>
        </w:sectPr>
      </w:pPr>
    </w:p>
    <w:p w14:paraId="0BC240CD">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.2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生态修复工程（项目）基本情况</w:t>
      </w:r>
    </w:p>
    <w:tbl>
      <w:tblPr>
        <w:tblStyle w:val="7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05"/>
        <w:gridCol w:w="1654"/>
        <w:gridCol w:w="1642"/>
        <w:gridCol w:w="1480"/>
        <w:gridCol w:w="1245"/>
        <w:gridCol w:w="2038"/>
      </w:tblGrid>
      <w:tr w14:paraId="72115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697" w:type="pct"/>
            <w:vAlign w:val="center"/>
          </w:tcPr>
          <w:p w14:paraId="22767ADC">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项目名称</w:t>
            </w:r>
          </w:p>
        </w:tc>
        <w:tc>
          <w:tcPr>
            <w:tcW w:w="4303" w:type="pct"/>
            <w:gridSpan w:val="5"/>
            <w:vAlign w:val="center"/>
          </w:tcPr>
          <w:p w14:paraId="2F4E7194">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1E757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697" w:type="pct"/>
            <w:vAlign w:val="center"/>
          </w:tcPr>
          <w:p w14:paraId="427C91D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施工起止时间</w:t>
            </w:r>
          </w:p>
        </w:tc>
        <w:tc>
          <w:tcPr>
            <w:tcW w:w="4303" w:type="pct"/>
            <w:gridSpan w:val="5"/>
            <w:vAlign w:val="center"/>
          </w:tcPr>
          <w:p w14:paraId="24A4DE8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00505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97" w:type="pct"/>
            <w:vMerge w:val="restart"/>
            <w:tcBorders>
              <w:bottom w:val="nil"/>
            </w:tcBorders>
            <w:vAlign w:val="center"/>
          </w:tcPr>
          <w:p w14:paraId="0F6C22A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实施责任单位</w:t>
            </w:r>
          </w:p>
        </w:tc>
        <w:tc>
          <w:tcPr>
            <w:tcW w:w="883" w:type="pct"/>
            <w:vAlign w:val="center"/>
          </w:tcPr>
          <w:p w14:paraId="4DFB7E9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单位名称</w:t>
            </w:r>
          </w:p>
        </w:tc>
        <w:tc>
          <w:tcPr>
            <w:tcW w:w="3420" w:type="pct"/>
            <w:gridSpan w:val="4"/>
            <w:vAlign w:val="center"/>
          </w:tcPr>
          <w:p w14:paraId="2D00C11C">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01019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697" w:type="pct"/>
            <w:vMerge w:val="continue"/>
            <w:tcBorders>
              <w:top w:val="nil"/>
            </w:tcBorders>
            <w:vAlign w:val="center"/>
          </w:tcPr>
          <w:p w14:paraId="36EAB75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7AF39239">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单位地址</w:t>
            </w:r>
          </w:p>
        </w:tc>
        <w:tc>
          <w:tcPr>
            <w:tcW w:w="1667" w:type="pct"/>
            <w:gridSpan w:val="2"/>
            <w:vAlign w:val="center"/>
          </w:tcPr>
          <w:p w14:paraId="1CD9BF0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665" w:type="pct"/>
            <w:vAlign w:val="center"/>
          </w:tcPr>
          <w:p w14:paraId="255F404A">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hint="eastAsia" w:ascii="Times New Roman" w:hAnsi="Times New Roman" w:cs="Times New Roman"/>
                <w:snapToGrid w:val="0"/>
                <w:color w:val="auto"/>
                <w:sz w:val="18"/>
                <w:szCs w:val="18"/>
                <w:lang w:eastAsia="en-US"/>
              </w:rPr>
              <w:t>联系电话</w:t>
            </w:r>
          </w:p>
        </w:tc>
        <w:tc>
          <w:tcPr>
            <w:tcW w:w="1087" w:type="pct"/>
            <w:vAlign w:val="center"/>
          </w:tcPr>
          <w:p w14:paraId="371A6365">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5A652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97" w:type="pct"/>
            <w:vMerge w:val="restart"/>
            <w:tcBorders>
              <w:bottom w:val="nil"/>
            </w:tcBorders>
            <w:vAlign w:val="center"/>
          </w:tcPr>
          <w:p w14:paraId="7CD110AA">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设计单位</w:t>
            </w:r>
          </w:p>
        </w:tc>
        <w:tc>
          <w:tcPr>
            <w:tcW w:w="883" w:type="pct"/>
            <w:vAlign w:val="center"/>
          </w:tcPr>
          <w:p w14:paraId="08D4BC19">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单位名称</w:t>
            </w:r>
          </w:p>
        </w:tc>
        <w:tc>
          <w:tcPr>
            <w:tcW w:w="877" w:type="pct"/>
            <w:vAlign w:val="center"/>
          </w:tcPr>
          <w:p w14:paraId="3466960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4AFBC3A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w:t>
            </w:r>
            <w:r>
              <w:rPr>
                <w:rFonts w:ascii="Times New Roman" w:hAnsi="Times New Roman" w:cs="Times New Roman"/>
                <w:snapToGrid w:val="0"/>
                <w:color w:val="auto"/>
                <w:spacing w:val="-4"/>
                <w:sz w:val="18"/>
                <w:szCs w:val="18"/>
                <w:lang w:eastAsia="en-US"/>
              </w:rPr>
              <w:t>地址</w:t>
            </w:r>
          </w:p>
        </w:tc>
        <w:tc>
          <w:tcPr>
            <w:tcW w:w="1752" w:type="pct"/>
            <w:gridSpan w:val="2"/>
            <w:vAlign w:val="center"/>
          </w:tcPr>
          <w:p w14:paraId="50274295">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75072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9" w:hRule="atLeast"/>
        </w:trPr>
        <w:tc>
          <w:tcPr>
            <w:tcW w:w="697" w:type="pct"/>
            <w:vMerge w:val="continue"/>
            <w:tcBorders>
              <w:top w:val="nil"/>
            </w:tcBorders>
            <w:vAlign w:val="center"/>
          </w:tcPr>
          <w:p w14:paraId="4B8FD5D8">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55FB87DB">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资质等级资质证号</w:t>
            </w:r>
          </w:p>
        </w:tc>
        <w:tc>
          <w:tcPr>
            <w:tcW w:w="877" w:type="pct"/>
            <w:vAlign w:val="center"/>
          </w:tcPr>
          <w:p w14:paraId="67BA5912">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73B7DD81">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联系</w:t>
            </w:r>
            <w:r>
              <w:rPr>
                <w:rFonts w:ascii="Times New Roman" w:hAnsi="Times New Roman" w:cs="Times New Roman"/>
                <w:snapToGrid w:val="0"/>
                <w:color w:val="auto"/>
                <w:spacing w:val="3"/>
                <w:sz w:val="18"/>
                <w:szCs w:val="18"/>
                <w:lang w:eastAsia="en-US"/>
              </w:rPr>
              <w:t>电话</w:t>
            </w:r>
          </w:p>
        </w:tc>
        <w:tc>
          <w:tcPr>
            <w:tcW w:w="1752" w:type="pct"/>
            <w:gridSpan w:val="2"/>
            <w:vAlign w:val="center"/>
          </w:tcPr>
          <w:p w14:paraId="279B85AC">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41525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97" w:type="pct"/>
            <w:vMerge w:val="restart"/>
            <w:tcBorders>
              <w:bottom w:val="nil"/>
            </w:tcBorders>
            <w:vAlign w:val="center"/>
          </w:tcPr>
          <w:p w14:paraId="4C881DE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监理单位</w:t>
            </w:r>
          </w:p>
        </w:tc>
        <w:tc>
          <w:tcPr>
            <w:tcW w:w="883" w:type="pct"/>
            <w:vAlign w:val="center"/>
          </w:tcPr>
          <w:p w14:paraId="0DDCE074">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单位名称</w:t>
            </w:r>
          </w:p>
        </w:tc>
        <w:tc>
          <w:tcPr>
            <w:tcW w:w="877" w:type="pct"/>
            <w:vAlign w:val="center"/>
          </w:tcPr>
          <w:p w14:paraId="3D851DE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01171296">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w:t>
            </w:r>
            <w:r>
              <w:rPr>
                <w:rFonts w:ascii="Times New Roman" w:hAnsi="Times New Roman" w:cs="Times New Roman"/>
                <w:snapToGrid w:val="0"/>
                <w:color w:val="auto"/>
                <w:spacing w:val="-4"/>
                <w:sz w:val="18"/>
                <w:szCs w:val="18"/>
                <w:lang w:eastAsia="en-US"/>
              </w:rPr>
              <w:t>地址</w:t>
            </w:r>
          </w:p>
        </w:tc>
        <w:tc>
          <w:tcPr>
            <w:tcW w:w="1752" w:type="pct"/>
            <w:gridSpan w:val="2"/>
            <w:vAlign w:val="center"/>
          </w:tcPr>
          <w:p w14:paraId="13F5F079">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2867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697" w:type="pct"/>
            <w:vMerge w:val="continue"/>
            <w:tcBorders>
              <w:top w:val="nil"/>
              <w:bottom w:val="nil"/>
            </w:tcBorders>
            <w:vAlign w:val="center"/>
          </w:tcPr>
          <w:p w14:paraId="512B7A82">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104CD174">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资质等级资质证号</w:t>
            </w:r>
          </w:p>
        </w:tc>
        <w:tc>
          <w:tcPr>
            <w:tcW w:w="877" w:type="pct"/>
            <w:vAlign w:val="center"/>
          </w:tcPr>
          <w:p w14:paraId="4BC2626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3B70208C">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联系</w:t>
            </w:r>
            <w:r>
              <w:rPr>
                <w:rFonts w:ascii="Times New Roman" w:hAnsi="Times New Roman" w:cs="Times New Roman"/>
                <w:snapToGrid w:val="0"/>
                <w:color w:val="auto"/>
                <w:spacing w:val="3"/>
                <w:sz w:val="18"/>
                <w:szCs w:val="18"/>
                <w:lang w:eastAsia="en-US"/>
              </w:rPr>
              <w:t>电话</w:t>
            </w:r>
          </w:p>
        </w:tc>
        <w:tc>
          <w:tcPr>
            <w:tcW w:w="1752" w:type="pct"/>
            <w:gridSpan w:val="2"/>
            <w:vAlign w:val="center"/>
          </w:tcPr>
          <w:p w14:paraId="6EDACD4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7E9FE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697" w:type="pct"/>
            <w:vMerge w:val="continue"/>
            <w:tcBorders>
              <w:top w:val="nil"/>
            </w:tcBorders>
            <w:vAlign w:val="center"/>
          </w:tcPr>
          <w:p w14:paraId="5BD813D5">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11CFD20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总监</w:t>
            </w:r>
          </w:p>
        </w:tc>
        <w:tc>
          <w:tcPr>
            <w:tcW w:w="877" w:type="pct"/>
            <w:vAlign w:val="center"/>
          </w:tcPr>
          <w:p w14:paraId="26F3ECF0">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5DFC1C60">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现场</w:t>
            </w:r>
            <w:r>
              <w:rPr>
                <w:rFonts w:ascii="Times New Roman" w:hAnsi="Times New Roman" w:cs="Times New Roman"/>
                <w:snapToGrid w:val="0"/>
                <w:color w:val="auto"/>
                <w:spacing w:val="-4"/>
                <w:sz w:val="18"/>
                <w:szCs w:val="18"/>
                <w:lang w:eastAsia="en-US"/>
              </w:rPr>
              <w:t>监理</w:t>
            </w:r>
          </w:p>
        </w:tc>
        <w:tc>
          <w:tcPr>
            <w:tcW w:w="1752" w:type="pct"/>
            <w:gridSpan w:val="2"/>
            <w:vAlign w:val="center"/>
          </w:tcPr>
          <w:p w14:paraId="1979D4EA">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36B1E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697" w:type="pct"/>
            <w:vMerge w:val="restart"/>
            <w:tcBorders>
              <w:bottom w:val="nil"/>
            </w:tcBorders>
            <w:vAlign w:val="center"/>
          </w:tcPr>
          <w:p w14:paraId="37B77856">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施工单位</w:t>
            </w:r>
          </w:p>
        </w:tc>
        <w:tc>
          <w:tcPr>
            <w:tcW w:w="883" w:type="pct"/>
            <w:vAlign w:val="center"/>
          </w:tcPr>
          <w:p w14:paraId="7C78FEBA">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单位名称</w:t>
            </w:r>
          </w:p>
        </w:tc>
        <w:tc>
          <w:tcPr>
            <w:tcW w:w="877" w:type="pct"/>
            <w:vAlign w:val="center"/>
          </w:tcPr>
          <w:p w14:paraId="7EB7F0F1">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4AD8C22B">
            <w:pPr>
              <w:overflowPunct/>
              <w:adjustRightInd w:val="0"/>
              <w:snapToGrid w:val="0"/>
              <w:ind w:firstLine="0" w:firstLineChars="0"/>
              <w:jc w:val="center"/>
              <w:textAlignment w:val="auto"/>
              <w:rPr>
                <w:rFonts w:ascii="Times New Roman" w:hAnsi="Times New Roman" w:cs="Times New Roman"/>
                <w:snapToGrid w:val="0"/>
                <w:color w:val="auto"/>
                <w:sz w:val="18"/>
                <w:szCs w:val="18"/>
              </w:rPr>
            </w:pPr>
            <w:r>
              <w:rPr>
                <w:rFonts w:hint="eastAsia" w:ascii="Times New Roman" w:hAnsi="Times New Roman" w:cs="Times New Roman"/>
                <w:snapToGrid w:val="0"/>
                <w:color w:val="auto"/>
                <w:sz w:val="18"/>
                <w:szCs w:val="18"/>
              </w:rPr>
              <w:t>单位地址</w:t>
            </w:r>
          </w:p>
        </w:tc>
        <w:tc>
          <w:tcPr>
            <w:tcW w:w="1752" w:type="pct"/>
            <w:gridSpan w:val="2"/>
            <w:vAlign w:val="center"/>
          </w:tcPr>
          <w:p w14:paraId="28CEE5A6">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3E95C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697" w:type="pct"/>
            <w:vMerge w:val="continue"/>
            <w:tcBorders>
              <w:top w:val="nil"/>
              <w:bottom w:val="nil"/>
            </w:tcBorders>
            <w:vAlign w:val="center"/>
          </w:tcPr>
          <w:p w14:paraId="21CB7A3E">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0DD82FC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资质等级资质证号</w:t>
            </w:r>
          </w:p>
        </w:tc>
        <w:tc>
          <w:tcPr>
            <w:tcW w:w="877" w:type="pct"/>
            <w:vAlign w:val="center"/>
          </w:tcPr>
          <w:p w14:paraId="5CA68672">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48A08A75">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联系人</w:t>
            </w:r>
          </w:p>
        </w:tc>
        <w:tc>
          <w:tcPr>
            <w:tcW w:w="1752" w:type="pct"/>
            <w:gridSpan w:val="2"/>
            <w:vAlign w:val="center"/>
          </w:tcPr>
          <w:p w14:paraId="566B1307">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52FEA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697" w:type="pct"/>
            <w:vMerge w:val="continue"/>
            <w:tcBorders>
              <w:top w:val="nil"/>
              <w:bottom w:val="nil"/>
            </w:tcBorders>
            <w:vAlign w:val="center"/>
          </w:tcPr>
          <w:p w14:paraId="55A8B4F9">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07664139">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法定代表人</w:t>
            </w:r>
          </w:p>
        </w:tc>
        <w:tc>
          <w:tcPr>
            <w:tcW w:w="877" w:type="pct"/>
            <w:vAlign w:val="center"/>
          </w:tcPr>
          <w:p w14:paraId="4A5D35E8">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50793DAD">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联系电话</w:t>
            </w:r>
          </w:p>
        </w:tc>
        <w:tc>
          <w:tcPr>
            <w:tcW w:w="1752" w:type="pct"/>
            <w:gridSpan w:val="2"/>
            <w:vAlign w:val="center"/>
          </w:tcPr>
          <w:p w14:paraId="1BD2628A">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03AC9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97" w:type="pct"/>
            <w:vMerge w:val="continue"/>
            <w:tcBorders>
              <w:top w:val="nil"/>
            </w:tcBorders>
            <w:vAlign w:val="center"/>
          </w:tcPr>
          <w:p w14:paraId="44B52EB2">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883" w:type="pct"/>
            <w:vAlign w:val="center"/>
          </w:tcPr>
          <w:p w14:paraId="0FBE0900">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项目经理</w:t>
            </w:r>
          </w:p>
        </w:tc>
        <w:tc>
          <w:tcPr>
            <w:tcW w:w="877" w:type="pct"/>
            <w:vAlign w:val="center"/>
          </w:tcPr>
          <w:p w14:paraId="2E896E1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c>
          <w:tcPr>
            <w:tcW w:w="790" w:type="pct"/>
            <w:vAlign w:val="center"/>
          </w:tcPr>
          <w:p w14:paraId="2CAA9392">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hint="eastAsia" w:ascii="Times New Roman" w:hAnsi="Times New Roman" w:cs="Times New Roman"/>
                <w:snapToGrid w:val="0"/>
                <w:color w:val="auto"/>
                <w:sz w:val="18"/>
                <w:szCs w:val="18"/>
                <w:lang w:eastAsia="en-US"/>
              </w:rPr>
              <w:t>证书号</w:t>
            </w:r>
          </w:p>
        </w:tc>
        <w:tc>
          <w:tcPr>
            <w:tcW w:w="1752" w:type="pct"/>
            <w:gridSpan w:val="2"/>
            <w:vAlign w:val="center"/>
          </w:tcPr>
          <w:p w14:paraId="6A14F0B3">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5AECC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97" w:type="pct"/>
            <w:vAlign w:val="center"/>
          </w:tcPr>
          <w:p w14:paraId="691323AF">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验收时间</w:t>
            </w:r>
          </w:p>
        </w:tc>
        <w:tc>
          <w:tcPr>
            <w:tcW w:w="4303" w:type="pct"/>
            <w:gridSpan w:val="5"/>
            <w:vAlign w:val="center"/>
          </w:tcPr>
          <w:p w14:paraId="0F3394F1">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r w14:paraId="47D6C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697" w:type="pct"/>
            <w:vAlign w:val="center"/>
          </w:tcPr>
          <w:p w14:paraId="20494F8E">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r>
              <w:rPr>
                <w:rFonts w:ascii="Times New Roman" w:hAnsi="Times New Roman" w:cs="Times New Roman"/>
                <w:snapToGrid w:val="0"/>
                <w:color w:val="auto"/>
                <w:sz w:val="18"/>
                <w:szCs w:val="18"/>
                <w:lang w:eastAsia="en-US"/>
              </w:rPr>
              <w:t>备注</w:t>
            </w:r>
          </w:p>
        </w:tc>
        <w:tc>
          <w:tcPr>
            <w:tcW w:w="4303" w:type="pct"/>
            <w:gridSpan w:val="5"/>
            <w:vAlign w:val="center"/>
          </w:tcPr>
          <w:p w14:paraId="26FF357C">
            <w:pPr>
              <w:overflowPunct/>
              <w:adjustRightInd w:val="0"/>
              <w:snapToGrid w:val="0"/>
              <w:ind w:firstLine="0" w:firstLineChars="0"/>
              <w:jc w:val="center"/>
              <w:textAlignment w:val="auto"/>
              <w:rPr>
                <w:rFonts w:ascii="Times New Roman" w:hAnsi="Times New Roman" w:cs="Times New Roman"/>
                <w:snapToGrid w:val="0"/>
                <w:color w:val="auto"/>
                <w:sz w:val="18"/>
                <w:szCs w:val="18"/>
                <w:lang w:eastAsia="en-US"/>
              </w:rPr>
            </w:pPr>
          </w:p>
        </w:tc>
      </w:tr>
    </w:tbl>
    <w:p w14:paraId="4B2A482F">
      <w:pPr>
        <w:overflowPunct/>
        <w:adjustRightInd w:val="0"/>
        <w:snapToGrid w:val="0"/>
        <w:ind w:firstLine="420"/>
        <w:jc w:val="both"/>
        <w:textAlignment w:val="auto"/>
        <w:rPr>
          <w:rFonts w:ascii="Times New Roman" w:hAnsi="Times New Roman" w:cs="Times New Roman"/>
          <w:color w:val="auto"/>
          <w:sz w:val="21"/>
          <w:szCs w:val="22"/>
        </w:rPr>
      </w:pPr>
    </w:p>
    <w:p w14:paraId="7309098D">
      <w:pPr>
        <w:overflowPunct/>
        <w:adjustRightInd w:val="0"/>
        <w:snapToGrid w:val="0"/>
        <w:ind w:firstLine="420"/>
        <w:jc w:val="both"/>
        <w:textAlignment w:val="auto"/>
        <w:rPr>
          <w:rFonts w:ascii="Times New Roman" w:hAnsi="Times New Roman" w:cs="Times New Roman"/>
          <w:color w:val="auto"/>
          <w:sz w:val="21"/>
          <w:szCs w:val="22"/>
        </w:rPr>
      </w:pPr>
    </w:p>
    <w:p w14:paraId="59F127F4">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.3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生态修复工程（项目）实施情况</w:t>
      </w:r>
    </w:p>
    <w:tbl>
      <w:tblPr>
        <w:tblStyle w:val="70"/>
        <w:tblW w:w="9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276"/>
        <w:gridCol w:w="7049"/>
      </w:tblGrid>
      <w:tr w14:paraId="0B7C7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2" w:hRule="atLeast"/>
        </w:trPr>
        <w:tc>
          <w:tcPr>
            <w:tcW w:w="1134" w:type="dxa"/>
            <w:vAlign w:val="center"/>
          </w:tcPr>
          <w:p w14:paraId="7C676BA0">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工程</w:t>
            </w:r>
            <w:r>
              <w:rPr>
                <w:rFonts w:hint="eastAsia" w:ascii="Times New Roman" w:hAnsi="Times New Roman" w:cs="Times New Roman"/>
                <w:color w:val="auto"/>
                <w:sz w:val="18"/>
                <w:szCs w:val="22"/>
              </w:rPr>
              <w:t>（</w:t>
            </w:r>
            <w:r>
              <w:rPr>
                <w:rFonts w:ascii="Times New Roman" w:hAnsi="Times New Roman" w:cs="Times New Roman"/>
                <w:color w:val="auto"/>
                <w:sz w:val="18"/>
                <w:szCs w:val="22"/>
              </w:rPr>
              <w:t>项目</w:t>
            </w:r>
            <w:r>
              <w:rPr>
                <w:rFonts w:hint="eastAsia" w:ascii="Times New Roman" w:hAnsi="Times New Roman" w:cs="Times New Roman"/>
                <w:color w:val="auto"/>
                <w:sz w:val="18"/>
                <w:szCs w:val="22"/>
              </w:rPr>
              <w:t>）</w:t>
            </w:r>
            <w:r>
              <w:rPr>
                <w:rFonts w:ascii="Times New Roman" w:hAnsi="Times New Roman" w:cs="Times New Roman"/>
                <w:color w:val="auto"/>
                <w:sz w:val="18"/>
                <w:szCs w:val="22"/>
              </w:rPr>
              <w:t>概况</w:t>
            </w:r>
          </w:p>
        </w:tc>
        <w:tc>
          <w:tcPr>
            <w:tcW w:w="8325" w:type="dxa"/>
            <w:gridSpan w:val="2"/>
            <w:vAlign w:val="center"/>
          </w:tcPr>
          <w:p w14:paraId="6F4837CC">
            <w:pPr>
              <w:overflowPunct/>
              <w:adjustRightInd w:val="0"/>
              <w:snapToGrid w:val="0"/>
              <w:ind w:firstLine="420"/>
              <w:jc w:val="both"/>
              <w:textAlignment w:val="auto"/>
              <w:rPr>
                <w:rFonts w:ascii="Times New Roman" w:hAnsi="Times New Roman" w:cs="Arial"/>
                <w:color w:val="auto"/>
                <w:sz w:val="21"/>
                <w:szCs w:val="22"/>
              </w:rPr>
            </w:pPr>
          </w:p>
        </w:tc>
      </w:tr>
      <w:tr w14:paraId="58F52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8" w:hRule="atLeast"/>
        </w:trPr>
        <w:tc>
          <w:tcPr>
            <w:tcW w:w="1134" w:type="dxa"/>
            <w:vMerge w:val="restart"/>
            <w:tcBorders>
              <w:bottom w:val="nil"/>
            </w:tcBorders>
            <w:vAlign w:val="center"/>
          </w:tcPr>
          <w:p w14:paraId="00C2CA67">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主要</w:t>
            </w:r>
          </w:p>
          <w:p w14:paraId="3FEF463A">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工作量</w:t>
            </w:r>
          </w:p>
        </w:tc>
        <w:tc>
          <w:tcPr>
            <w:tcW w:w="1276" w:type="dxa"/>
            <w:vAlign w:val="center"/>
          </w:tcPr>
          <w:p w14:paraId="5FAC1C80">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设计</w:t>
            </w:r>
          </w:p>
          <w:p w14:paraId="29CB1F68">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工作量</w:t>
            </w:r>
          </w:p>
        </w:tc>
        <w:tc>
          <w:tcPr>
            <w:tcW w:w="7049" w:type="dxa"/>
            <w:vAlign w:val="center"/>
          </w:tcPr>
          <w:p w14:paraId="5D4161A7">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168D7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8" w:hRule="atLeast"/>
        </w:trPr>
        <w:tc>
          <w:tcPr>
            <w:tcW w:w="1134" w:type="dxa"/>
            <w:vMerge w:val="continue"/>
            <w:tcBorders>
              <w:top w:val="nil"/>
              <w:bottom w:val="nil"/>
            </w:tcBorders>
            <w:vAlign w:val="center"/>
          </w:tcPr>
          <w:p w14:paraId="17E6D608">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1276" w:type="dxa"/>
            <w:vAlign w:val="center"/>
          </w:tcPr>
          <w:p w14:paraId="3E44F61B">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工作量</w:t>
            </w:r>
          </w:p>
          <w:p w14:paraId="67F491F1">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变更情况</w:t>
            </w:r>
          </w:p>
        </w:tc>
        <w:tc>
          <w:tcPr>
            <w:tcW w:w="7049" w:type="dxa"/>
            <w:vAlign w:val="center"/>
          </w:tcPr>
          <w:p w14:paraId="2FADD146">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77FA8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2" w:hRule="atLeast"/>
        </w:trPr>
        <w:tc>
          <w:tcPr>
            <w:tcW w:w="1134" w:type="dxa"/>
            <w:vMerge w:val="continue"/>
            <w:tcBorders>
              <w:top w:val="nil"/>
            </w:tcBorders>
            <w:vAlign w:val="center"/>
          </w:tcPr>
          <w:p w14:paraId="6A2976D5">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1276" w:type="dxa"/>
            <w:vAlign w:val="center"/>
          </w:tcPr>
          <w:p w14:paraId="5CEFAC8F">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实际完成</w:t>
            </w:r>
          </w:p>
          <w:p w14:paraId="71B6A4A2">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工作量</w:t>
            </w:r>
          </w:p>
        </w:tc>
        <w:tc>
          <w:tcPr>
            <w:tcW w:w="7049" w:type="dxa"/>
            <w:vAlign w:val="center"/>
          </w:tcPr>
          <w:p w14:paraId="44307B83">
            <w:pPr>
              <w:overflowPunct/>
              <w:adjustRightInd w:val="0"/>
              <w:snapToGrid w:val="0"/>
              <w:ind w:firstLine="0" w:firstLineChars="0"/>
              <w:jc w:val="center"/>
              <w:textAlignment w:val="auto"/>
              <w:rPr>
                <w:rFonts w:ascii="Times New Roman" w:hAnsi="Times New Roman" w:cs="Times New Roman"/>
                <w:color w:val="auto"/>
                <w:sz w:val="18"/>
                <w:szCs w:val="22"/>
              </w:rPr>
            </w:pPr>
          </w:p>
        </w:tc>
      </w:tr>
    </w:tbl>
    <w:p w14:paraId="51266EE0">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5538DA9D">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.4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生态修复工程（项目）验收组意见</w:t>
      </w:r>
    </w:p>
    <w:tbl>
      <w:tblPr>
        <w:tblStyle w:val="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4022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Pr>
          <w:p w14:paraId="385A1898">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一、工程</w:t>
            </w:r>
            <w:r>
              <w:rPr>
                <w:rFonts w:hint="eastAsia"/>
                <w:color w:val="auto"/>
                <w:sz w:val="18"/>
                <w:szCs w:val="22"/>
                <w:lang w:eastAsia="zh-CN"/>
              </w:rPr>
              <w:t>（</w:t>
            </w:r>
            <w:r>
              <w:rPr>
                <w:rFonts w:hint="eastAsia" w:eastAsia="宋体"/>
                <w:color w:val="auto"/>
                <w:sz w:val="18"/>
                <w:szCs w:val="22"/>
              </w:rPr>
              <w:t>项目</w:t>
            </w:r>
            <w:r>
              <w:rPr>
                <w:rFonts w:hint="eastAsia"/>
                <w:color w:val="auto"/>
                <w:sz w:val="18"/>
                <w:szCs w:val="22"/>
                <w:lang w:eastAsia="zh-CN"/>
              </w:rPr>
              <w:t>）</w:t>
            </w:r>
            <w:r>
              <w:rPr>
                <w:rFonts w:hint="eastAsia" w:eastAsia="宋体"/>
                <w:color w:val="auto"/>
                <w:sz w:val="18"/>
                <w:szCs w:val="22"/>
              </w:rPr>
              <w:t>实施情况</w:t>
            </w:r>
          </w:p>
          <w:p w14:paraId="3DB47066">
            <w:pPr>
              <w:overflowPunct/>
              <w:adjustRightInd w:val="0"/>
              <w:snapToGrid w:val="0"/>
              <w:ind w:firstLine="360"/>
              <w:textAlignment w:val="auto"/>
              <w:rPr>
                <w:rFonts w:ascii="Times New Roman" w:hAnsi="Times New Roman" w:eastAsia="Times New Roman" w:cs="Times New Roman"/>
                <w:color w:val="auto"/>
                <w:sz w:val="18"/>
                <w:szCs w:val="22"/>
              </w:rPr>
            </w:pPr>
          </w:p>
          <w:p w14:paraId="20D9BAB8">
            <w:pPr>
              <w:overflowPunct/>
              <w:adjustRightInd w:val="0"/>
              <w:snapToGrid w:val="0"/>
              <w:ind w:firstLine="360"/>
              <w:textAlignment w:val="auto"/>
              <w:rPr>
                <w:rFonts w:ascii="Times New Roman" w:hAnsi="Times New Roman" w:eastAsia="Times New Roman" w:cs="Times New Roman"/>
                <w:color w:val="auto"/>
                <w:sz w:val="18"/>
                <w:szCs w:val="22"/>
              </w:rPr>
            </w:pPr>
          </w:p>
          <w:p w14:paraId="095C09A4">
            <w:pPr>
              <w:overflowPunct/>
              <w:adjustRightInd w:val="0"/>
              <w:snapToGrid w:val="0"/>
              <w:ind w:firstLine="360"/>
              <w:textAlignment w:val="auto"/>
              <w:rPr>
                <w:rFonts w:ascii="Times New Roman" w:hAnsi="Times New Roman" w:eastAsia="Times New Roman" w:cs="Times New Roman"/>
                <w:color w:val="auto"/>
                <w:sz w:val="18"/>
                <w:szCs w:val="22"/>
              </w:rPr>
            </w:pPr>
          </w:p>
          <w:p w14:paraId="05D355CF">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二、相关单位对修复效果的意见</w:t>
            </w:r>
          </w:p>
          <w:p w14:paraId="55B40470">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1.</w:t>
            </w:r>
            <w:r>
              <w:rPr>
                <w:rFonts w:hint="eastAsia" w:eastAsia="宋体"/>
                <w:color w:val="auto"/>
                <w:sz w:val="18"/>
                <w:szCs w:val="22"/>
              </w:rPr>
              <w:t>设计单位意见</w:t>
            </w:r>
          </w:p>
          <w:p w14:paraId="7410AF08">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2.</w:t>
            </w:r>
            <w:r>
              <w:rPr>
                <w:rFonts w:hint="eastAsia" w:eastAsia="宋体"/>
                <w:color w:val="auto"/>
                <w:sz w:val="18"/>
                <w:szCs w:val="22"/>
              </w:rPr>
              <w:t>监理单位意见</w:t>
            </w:r>
          </w:p>
          <w:p w14:paraId="123A239F">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3.</w:t>
            </w:r>
            <w:r>
              <w:rPr>
                <w:rFonts w:hint="eastAsia" w:ascii="Times New Roman" w:hAnsi="Times New Roman" w:eastAsia="Times New Roman" w:cs="Times New Roman"/>
                <w:color w:val="auto"/>
                <w:sz w:val="18"/>
                <w:szCs w:val="22"/>
              </w:rPr>
              <w:t>……</w:t>
            </w:r>
          </w:p>
          <w:p w14:paraId="2F75FBD8">
            <w:pPr>
              <w:overflowPunct/>
              <w:adjustRightInd w:val="0"/>
              <w:snapToGrid w:val="0"/>
              <w:ind w:firstLine="360"/>
              <w:textAlignment w:val="auto"/>
              <w:rPr>
                <w:rFonts w:ascii="Times New Roman" w:hAnsi="Times New Roman" w:eastAsia="Times New Roman" w:cs="Times New Roman"/>
                <w:color w:val="auto"/>
                <w:sz w:val="18"/>
                <w:szCs w:val="22"/>
              </w:rPr>
            </w:pPr>
          </w:p>
          <w:p w14:paraId="7C4E02CA">
            <w:pPr>
              <w:overflowPunct/>
              <w:adjustRightInd w:val="0"/>
              <w:snapToGrid w:val="0"/>
              <w:ind w:firstLine="360"/>
              <w:textAlignment w:val="auto"/>
              <w:rPr>
                <w:rFonts w:ascii="Times New Roman" w:hAnsi="Times New Roman" w:eastAsia="Times New Roman" w:cs="Times New Roman"/>
                <w:color w:val="auto"/>
                <w:sz w:val="18"/>
                <w:szCs w:val="22"/>
              </w:rPr>
            </w:pPr>
          </w:p>
          <w:p w14:paraId="7867D9B9">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三、项目资金</w:t>
            </w:r>
            <w:r>
              <w:rPr>
                <w:rFonts w:hint="eastAsia"/>
                <w:color w:val="auto"/>
                <w:sz w:val="18"/>
                <w:szCs w:val="22"/>
                <w:lang w:eastAsia="zh-CN"/>
              </w:rPr>
              <w:t>（</w:t>
            </w:r>
            <w:r>
              <w:rPr>
                <w:rFonts w:hint="eastAsia" w:eastAsia="宋体"/>
                <w:color w:val="auto"/>
                <w:sz w:val="18"/>
                <w:szCs w:val="22"/>
              </w:rPr>
              <w:t>审计</w:t>
            </w:r>
            <w:r>
              <w:rPr>
                <w:rFonts w:hint="eastAsia"/>
                <w:color w:val="auto"/>
                <w:sz w:val="18"/>
                <w:szCs w:val="22"/>
                <w:lang w:eastAsia="zh-CN"/>
              </w:rPr>
              <w:t>）</w:t>
            </w:r>
            <w:r>
              <w:rPr>
                <w:rFonts w:hint="eastAsia" w:eastAsia="宋体"/>
                <w:color w:val="auto"/>
                <w:sz w:val="18"/>
                <w:szCs w:val="22"/>
              </w:rPr>
              <w:t>情况</w:t>
            </w:r>
          </w:p>
          <w:p w14:paraId="67D44FD0">
            <w:pPr>
              <w:overflowPunct/>
              <w:adjustRightInd w:val="0"/>
              <w:snapToGrid w:val="0"/>
              <w:ind w:firstLine="360"/>
              <w:textAlignment w:val="auto"/>
              <w:rPr>
                <w:rFonts w:ascii="Times New Roman" w:hAnsi="Times New Roman" w:eastAsia="Times New Roman" w:cs="Times New Roman"/>
                <w:color w:val="auto"/>
                <w:sz w:val="18"/>
                <w:szCs w:val="22"/>
              </w:rPr>
            </w:pPr>
          </w:p>
          <w:p w14:paraId="035B06AC">
            <w:pPr>
              <w:overflowPunct/>
              <w:adjustRightInd w:val="0"/>
              <w:snapToGrid w:val="0"/>
              <w:ind w:firstLine="360"/>
              <w:textAlignment w:val="auto"/>
              <w:rPr>
                <w:rFonts w:ascii="Times New Roman" w:hAnsi="Times New Roman" w:eastAsia="Times New Roman" w:cs="Times New Roman"/>
                <w:color w:val="auto"/>
                <w:sz w:val="18"/>
                <w:szCs w:val="22"/>
              </w:rPr>
            </w:pPr>
          </w:p>
          <w:p w14:paraId="0FD08853">
            <w:pPr>
              <w:overflowPunct/>
              <w:adjustRightInd w:val="0"/>
              <w:snapToGrid w:val="0"/>
              <w:ind w:firstLine="360"/>
              <w:textAlignment w:val="auto"/>
              <w:rPr>
                <w:rFonts w:ascii="Times New Roman" w:hAnsi="Times New Roman" w:eastAsia="Times New Roman" w:cs="Times New Roman"/>
                <w:color w:val="auto"/>
                <w:sz w:val="18"/>
                <w:szCs w:val="22"/>
              </w:rPr>
            </w:pPr>
          </w:p>
          <w:p w14:paraId="3FB9D6B2">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四、验收组总体评述</w:t>
            </w:r>
          </w:p>
          <w:p w14:paraId="58B91DD5">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1.</w:t>
            </w:r>
            <w:r>
              <w:rPr>
                <w:rFonts w:hint="eastAsia" w:eastAsia="宋体"/>
                <w:color w:val="auto"/>
                <w:sz w:val="18"/>
                <w:szCs w:val="22"/>
              </w:rPr>
              <w:t>工程量完成情况</w:t>
            </w:r>
          </w:p>
          <w:p w14:paraId="6ABD2952">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2.</w:t>
            </w:r>
            <w:r>
              <w:rPr>
                <w:rFonts w:hint="eastAsia" w:eastAsia="宋体"/>
                <w:color w:val="auto"/>
                <w:sz w:val="18"/>
                <w:szCs w:val="22"/>
              </w:rPr>
              <w:t>工程质量情况</w:t>
            </w:r>
          </w:p>
          <w:p w14:paraId="4995243D">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3.</w:t>
            </w:r>
            <w:r>
              <w:rPr>
                <w:rFonts w:hint="eastAsia" w:eastAsia="宋体"/>
                <w:color w:val="auto"/>
                <w:sz w:val="18"/>
                <w:szCs w:val="22"/>
              </w:rPr>
              <w:t>修复效果</w:t>
            </w:r>
          </w:p>
          <w:p w14:paraId="23BA9D56">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4.</w:t>
            </w:r>
            <w:r>
              <w:rPr>
                <w:rFonts w:hint="eastAsia" w:eastAsia="宋体"/>
                <w:color w:val="auto"/>
                <w:sz w:val="18"/>
                <w:szCs w:val="22"/>
              </w:rPr>
              <w:t>财务情况</w:t>
            </w:r>
            <w:r>
              <w:rPr>
                <w:rFonts w:ascii="Times New Roman" w:hAnsi="Times New Roman" w:eastAsia="Times New Roman" w:cs="Times New Roman"/>
                <w:color w:val="auto"/>
                <w:sz w:val="18"/>
                <w:szCs w:val="22"/>
              </w:rPr>
              <w:t xml:space="preserve">  </w:t>
            </w:r>
          </w:p>
          <w:p w14:paraId="2261F107">
            <w:pPr>
              <w:overflowPunct/>
              <w:adjustRightInd w:val="0"/>
              <w:snapToGrid w:val="0"/>
              <w:ind w:firstLine="360"/>
              <w:textAlignment w:val="auto"/>
              <w:rPr>
                <w:rFonts w:ascii="Times New Roman" w:hAnsi="Times New Roman" w:eastAsia="Times New Roman" w:cs="Times New Roman"/>
                <w:color w:val="auto"/>
                <w:sz w:val="18"/>
                <w:szCs w:val="22"/>
              </w:rPr>
            </w:pPr>
            <w:r>
              <w:rPr>
                <w:rFonts w:ascii="Times New Roman" w:hAnsi="Times New Roman" w:eastAsia="Times New Roman" w:cs="Times New Roman"/>
                <w:color w:val="auto"/>
                <w:sz w:val="18"/>
                <w:szCs w:val="22"/>
              </w:rPr>
              <w:t>5.</w:t>
            </w:r>
            <w:r>
              <w:rPr>
                <w:rFonts w:hint="eastAsia" w:ascii="Times New Roman" w:hAnsi="Times New Roman" w:eastAsia="Times New Roman" w:cs="Times New Roman"/>
                <w:color w:val="auto"/>
                <w:sz w:val="18"/>
                <w:szCs w:val="22"/>
              </w:rPr>
              <w:t xml:space="preserve"> ……</w:t>
            </w:r>
            <w:r>
              <w:rPr>
                <w:rFonts w:ascii="Times New Roman" w:hAnsi="Times New Roman" w:eastAsia="Times New Roman" w:cs="Times New Roman"/>
                <w:color w:val="auto"/>
                <w:sz w:val="18"/>
                <w:szCs w:val="22"/>
              </w:rPr>
              <w:t xml:space="preserve">     </w:t>
            </w:r>
          </w:p>
          <w:p w14:paraId="1190DE5B">
            <w:pPr>
              <w:overflowPunct/>
              <w:adjustRightInd w:val="0"/>
              <w:snapToGrid w:val="0"/>
              <w:ind w:firstLine="360"/>
              <w:textAlignment w:val="auto"/>
              <w:rPr>
                <w:rFonts w:ascii="Times New Roman" w:hAnsi="Times New Roman" w:eastAsia="Times New Roman" w:cs="Times New Roman"/>
                <w:color w:val="auto"/>
                <w:sz w:val="18"/>
                <w:szCs w:val="22"/>
              </w:rPr>
            </w:pPr>
          </w:p>
          <w:p w14:paraId="123140AF">
            <w:pPr>
              <w:overflowPunct/>
              <w:adjustRightInd w:val="0"/>
              <w:snapToGrid w:val="0"/>
              <w:ind w:firstLine="360"/>
              <w:textAlignment w:val="auto"/>
              <w:rPr>
                <w:rFonts w:ascii="Times New Roman" w:hAnsi="Times New Roman" w:eastAsia="Times New Roman" w:cs="Times New Roman"/>
                <w:color w:val="auto"/>
                <w:sz w:val="18"/>
                <w:szCs w:val="22"/>
              </w:rPr>
            </w:pPr>
          </w:p>
          <w:p w14:paraId="590539B7">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五、存在问题及要求</w:t>
            </w:r>
          </w:p>
          <w:p w14:paraId="4F9EFFDA">
            <w:pPr>
              <w:overflowPunct/>
              <w:adjustRightInd w:val="0"/>
              <w:snapToGrid w:val="0"/>
              <w:ind w:firstLine="360"/>
              <w:textAlignment w:val="auto"/>
              <w:rPr>
                <w:rFonts w:ascii="Times New Roman" w:hAnsi="Times New Roman" w:eastAsia="Times New Roman" w:cs="Times New Roman"/>
                <w:color w:val="auto"/>
                <w:sz w:val="18"/>
                <w:szCs w:val="22"/>
              </w:rPr>
            </w:pPr>
          </w:p>
          <w:p w14:paraId="381D59A6">
            <w:pPr>
              <w:overflowPunct/>
              <w:adjustRightInd w:val="0"/>
              <w:snapToGrid w:val="0"/>
              <w:ind w:firstLine="360"/>
              <w:textAlignment w:val="auto"/>
              <w:rPr>
                <w:rFonts w:ascii="Times New Roman" w:hAnsi="Times New Roman" w:eastAsia="Times New Roman" w:cs="Times New Roman"/>
                <w:color w:val="auto"/>
                <w:sz w:val="18"/>
                <w:szCs w:val="22"/>
              </w:rPr>
            </w:pPr>
          </w:p>
          <w:p w14:paraId="6C009C52">
            <w:pPr>
              <w:overflowPunct/>
              <w:adjustRightInd w:val="0"/>
              <w:snapToGrid w:val="0"/>
              <w:ind w:firstLine="360"/>
              <w:textAlignment w:val="auto"/>
              <w:rPr>
                <w:rFonts w:ascii="Times New Roman" w:hAnsi="Times New Roman" w:eastAsia="Times New Roman" w:cs="Times New Roman"/>
                <w:color w:val="auto"/>
                <w:sz w:val="18"/>
                <w:szCs w:val="22"/>
              </w:rPr>
            </w:pPr>
          </w:p>
          <w:p w14:paraId="7F607497">
            <w:pPr>
              <w:overflowPunct/>
              <w:adjustRightInd w:val="0"/>
              <w:snapToGrid w:val="0"/>
              <w:spacing w:before="156" w:beforeLines="50" w:after="156" w:afterLines="50"/>
              <w:ind w:firstLine="0" w:firstLineChars="0"/>
              <w:textAlignment w:val="auto"/>
              <w:rPr>
                <w:rFonts w:ascii="Times New Roman" w:hAnsi="Times New Roman" w:eastAsia="Times New Roman" w:cs="Times New Roman"/>
                <w:color w:val="auto"/>
                <w:sz w:val="18"/>
                <w:szCs w:val="22"/>
              </w:rPr>
            </w:pPr>
            <w:r>
              <w:rPr>
                <w:rFonts w:hint="eastAsia" w:eastAsia="宋体"/>
                <w:color w:val="auto"/>
                <w:sz w:val="18"/>
                <w:szCs w:val="22"/>
              </w:rPr>
              <w:t>六、验收结论</w:t>
            </w:r>
          </w:p>
          <w:p w14:paraId="4E3E4B8B">
            <w:pPr>
              <w:overflowPunct/>
              <w:adjustRightInd w:val="0"/>
              <w:snapToGrid w:val="0"/>
              <w:ind w:firstLine="360"/>
              <w:textAlignment w:val="auto"/>
              <w:rPr>
                <w:rFonts w:ascii="Times New Roman" w:hAnsi="Times New Roman" w:eastAsia="Times New Roman" w:cs="Times New Roman"/>
                <w:color w:val="auto"/>
                <w:sz w:val="18"/>
                <w:szCs w:val="22"/>
              </w:rPr>
            </w:pPr>
          </w:p>
          <w:p w14:paraId="17233C49">
            <w:pPr>
              <w:overflowPunct/>
              <w:adjustRightInd w:val="0"/>
              <w:snapToGrid w:val="0"/>
              <w:ind w:firstLine="360"/>
              <w:textAlignment w:val="auto"/>
              <w:rPr>
                <w:rFonts w:ascii="Times New Roman" w:hAnsi="Times New Roman" w:eastAsia="Times New Roman" w:cs="Times New Roman"/>
                <w:color w:val="auto"/>
                <w:sz w:val="18"/>
                <w:szCs w:val="22"/>
              </w:rPr>
            </w:pPr>
          </w:p>
          <w:p w14:paraId="369F199B">
            <w:pPr>
              <w:overflowPunct/>
              <w:adjustRightInd w:val="0"/>
              <w:snapToGrid w:val="0"/>
              <w:ind w:firstLine="360"/>
              <w:textAlignment w:val="auto"/>
              <w:rPr>
                <w:rFonts w:ascii="Times New Roman" w:hAnsi="Times New Roman" w:eastAsia="Times New Roman" w:cs="Times New Roman"/>
                <w:color w:val="auto"/>
                <w:sz w:val="18"/>
                <w:szCs w:val="22"/>
              </w:rPr>
            </w:pPr>
          </w:p>
          <w:p w14:paraId="537C7A22">
            <w:pPr>
              <w:overflowPunct/>
              <w:adjustRightInd w:val="0"/>
              <w:snapToGrid w:val="0"/>
              <w:ind w:firstLine="360"/>
              <w:textAlignment w:val="auto"/>
              <w:rPr>
                <w:rFonts w:ascii="Times New Roman" w:hAnsi="Times New Roman" w:eastAsia="Times New Roman" w:cs="Times New Roman"/>
                <w:color w:val="auto"/>
                <w:sz w:val="18"/>
                <w:szCs w:val="22"/>
              </w:rPr>
            </w:pPr>
          </w:p>
          <w:p w14:paraId="1E89CA7D">
            <w:pPr>
              <w:overflowPunct/>
              <w:adjustRightInd w:val="0"/>
              <w:snapToGrid w:val="0"/>
              <w:ind w:firstLine="0" w:firstLineChars="0"/>
              <w:jc w:val="center"/>
              <w:textAlignment w:val="auto"/>
              <w:rPr>
                <w:rFonts w:ascii="Times New Roman" w:hAnsi="Times New Roman" w:eastAsia="Times New Roman" w:cs="Times New Roman"/>
                <w:color w:val="auto"/>
                <w:sz w:val="18"/>
                <w:szCs w:val="22"/>
              </w:rPr>
            </w:pPr>
            <w:r>
              <w:rPr>
                <w:rFonts w:hint="eastAsia" w:eastAsia="宋体"/>
                <w:color w:val="auto"/>
                <w:sz w:val="18"/>
                <w:szCs w:val="22"/>
              </w:rPr>
              <w:t>验收组长：</w:t>
            </w:r>
          </w:p>
          <w:p w14:paraId="6E9F30FC">
            <w:pPr>
              <w:overflowPunct/>
              <w:adjustRightInd w:val="0"/>
              <w:snapToGrid w:val="0"/>
              <w:ind w:firstLine="0" w:firstLineChars="0"/>
              <w:jc w:val="center"/>
              <w:textAlignment w:val="auto"/>
              <w:rPr>
                <w:rFonts w:ascii="Times New Roman" w:hAnsi="Times New Roman" w:eastAsia="Times New Roman" w:cs="Times New Roman"/>
                <w:color w:val="auto"/>
                <w:sz w:val="18"/>
                <w:szCs w:val="22"/>
              </w:rPr>
            </w:pPr>
            <w:r>
              <w:rPr>
                <w:rFonts w:hint="eastAsia" w:eastAsia="宋体"/>
                <w:color w:val="auto"/>
                <w:sz w:val="18"/>
                <w:szCs w:val="22"/>
              </w:rPr>
              <w:t>成</w:t>
            </w:r>
            <w:r>
              <w:rPr>
                <w:rFonts w:hint="eastAsia" w:ascii="Times New Roman" w:hAnsi="Times New Roman" w:eastAsia="Times New Roman" w:cs="Times New Roman"/>
                <w:color w:val="auto"/>
                <w:sz w:val="18"/>
                <w:szCs w:val="22"/>
              </w:rPr>
              <w:t xml:space="preserve">    </w:t>
            </w:r>
            <w:r>
              <w:rPr>
                <w:rFonts w:hint="eastAsia" w:eastAsia="宋体"/>
                <w:color w:val="auto"/>
                <w:sz w:val="18"/>
                <w:szCs w:val="22"/>
              </w:rPr>
              <w:t>员：</w:t>
            </w:r>
          </w:p>
          <w:p w14:paraId="4265332D">
            <w:pPr>
              <w:overflowPunct/>
              <w:adjustRightInd w:val="0"/>
              <w:snapToGrid w:val="0"/>
              <w:ind w:firstLine="420"/>
              <w:jc w:val="both"/>
              <w:textAlignment w:val="auto"/>
              <w:rPr>
                <w:rFonts w:ascii="Times New Roman" w:hAnsi="Times New Roman" w:eastAsia="Times New Roman" w:cs="Times New Roman"/>
                <w:color w:val="auto"/>
                <w:sz w:val="21"/>
                <w:szCs w:val="22"/>
              </w:rPr>
            </w:pPr>
            <w:r>
              <w:rPr>
                <w:rFonts w:hint="eastAsia" w:ascii="Times New Roman" w:hAnsi="Times New Roman" w:eastAsia="Times New Roman" w:cs="Times New Roman"/>
                <w:color w:val="auto"/>
                <w:sz w:val="21"/>
                <w:szCs w:val="22"/>
              </w:rPr>
              <w:t xml:space="preserve">  </w:t>
            </w:r>
          </w:p>
          <w:p w14:paraId="736B5241">
            <w:pPr>
              <w:overflowPunct/>
              <w:adjustRightInd w:val="0"/>
              <w:snapToGrid w:val="0"/>
              <w:ind w:firstLine="0" w:firstLineChars="0"/>
              <w:jc w:val="center"/>
              <w:textAlignment w:val="auto"/>
              <w:rPr>
                <w:rFonts w:ascii="Times New Roman" w:hAnsi="Times New Roman" w:eastAsia="Times New Roman" w:cs="Times New Roman"/>
                <w:color w:val="auto"/>
                <w:sz w:val="18"/>
                <w:szCs w:val="22"/>
              </w:rPr>
            </w:pPr>
            <w:r>
              <w:rPr>
                <w:rFonts w:hint="eastAsia" w:eastAsia="宋体"/>
                <w:color w:val="auto"/>
                <w:sz w:val="18"/>
                <w:szCs w:val="22"/>
              </w:rPr>
              <w:t>年</w:t>
            </w:r>
            <w:r>
              <w:rPr>
                <w:rFonts w:ascii="Times New Roman" w:hAnsi="Times New Roman" w:eastAsia="Times New Roman" w:cs="Times New Roman"/>
                <w:color w:val="auto"/>
                <w:spacing w:val="9"/>
                <w:sz w:val="18"/>
                <w:szCs w:val="22"/>
              </w:rPr>
              <w:t xml:space="preserve">   </w:t>
            </w:r>
            <w:r>
              <w:rPr>
                <w:rFonts w:hint="eastAsia" w:eastAsia="宋体"/>
                <w:color w:val="auto"/>
                <w:sz w:val="18"/>
                <w:szCs w:val="22"/>
              </w:rPr>
              <w:t>月</w:t>
            </w:r>
            <w:r>
              <w:rPr>
                <w:rFonts w:ascii="Times New Roman" w:hAnsi="Times New Roman" w:eastAsia="Times New Roman" w:cs="Times New Roman"/>
                <w:color w:val="auto"/>
                <w:spacing w:val="19"/>
                <w:sz w:val="18"/>
                <w:szCs w:val="22"/>
              </w:rPr>
              <w:t xml:space="preserve">   </w:t>
            </w:r>
            <w:r>
              <w:rPr>
                <w:rFonts w:hint="eastAsia" w:eastAsia="宋体"/>
                <w:color w:val="auto"/>
                <w:sz w:val="18"/>
                <w:szCs w:val="22"/>
              </w:rPr>
              <w:t>日</w:t>
            </w:r>
          </w:p>
        </w:tc>
      </w:tr>
    </w:tbl>
    <w:p w14:paraId="2D400457">
      <w:pPr>
        <w:widowControl/>
        <w:overflowPunct/>
        <w:autoSpaceDE w:val="0"/>
        <w:autoSpaceDN w:val="0"/>
        <w:adjustRightInd w:val="0"/>
        <w:snapToGrid w:val="0"/>
        <w:ind w:firstLine="0" w:firstLineChars="0"/>
        <w:jc w:val="center"/>
        <w:textAlignment w:val="auto"/>
        <w:rPr>
          <w:rFonts w:ascii="Times New Roman" w:hAnsi="Times New Roman" w:eastAsia="黑体" w:cs="Times New Roman"/>
          <w:color w:val="auto"/>
          <w:kern w:val="0"/>
          <w:sz w:val="21"/>
          <w:szCs w:val="20"/>
        </w:rPr>
        <w:sectPr>
          <w:pgSz w:w="11906" w:h="16838"/>
          <w:pgMar w:top="567" w:right="1134" w:bottom="1134" w:left="1418" w:header="1418" w:footer="1134" w:gutter="0"/>
          <w:pgNumType w:fmt="decimal"/>
          <w:cols w:space="425" w:num="1"/>
          <w:docGrid w:type="lines" w:linePitch="312" w:charSpace="0"/>
        </w:sectPr>
      </w:pPr>
    </w:p>
    <w:p w14:paraId="37BCCDD4">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07" w:name="_Toc11814"/>
      <w:bookmarkStart w:id="208" w:name="_Toc15453"/>
      <w:r>
        <w:rPr>
          <w:rFonts w:hint="eastAsia" w:ascii="Times New Roman" w:hAnsi="Times New Roman" w:cs="Times New Roman"/>
          <w:color w:val="auto"/>
          <w:kern w:val="0"/>
          <w:sz w:val="21"/>
          <w:szCs w:val="21"/>
        </w:rPr>
        <w:t>C</w:t>
      </w:r>
      <w:r>
        <w:rPr>
          <w:rFonts w:ascii="Times New Roman" w:hAnsi="Times New Roman" w:cs="Times New Roman"/>
          <w:color w:val="auto"/>
          <w:kern w:val="0"/>
          <w:sz w:val="21"/>
          <w:szCs w:val="21"/>
        </w:rPr>
        <w:t>.2</w:t>
      </w:r>
      <w:r>
        <w:rPr>
          <w:rFonts w:hint="eastAsia" w:ascii="Times New Roman" w:hAnsi="Times New Roman" w:cs="Times New Roman"/>
          <w:color w:val="auto"/>
          <w:kern w:val="0"/>
          <w:sz w:val="21"/>
          <w:szCs w:val="21"/>
        </w:rPr>
        <w:t xml:space="preserve"> </w:t>
      </w:r>
      <w:r>
        <w:rPr>
          <w:rFonts w:hint="eastAsia" w:ascii="Times New Roman" w:hAnsi="Times New Roman" w:cs="Times New Roman"/>
          <w:color w:val="auto"/>
          <w:kern w:val="0"/>
          <w:sz w:val="21"/>
          <w:szCs w:val="21"/>
          <w:lang w:eastAsia="zh-CN"/>
        </w:rPr>
        <w:t>排土场（废石堆）</w:t>
      </w:r>
      <w:r>
        <w:rPr>
          <w:rFonts w:ascii="Times New Roman" w:hAnsi="Times New Roman" w:cs="Times New Roman"/>
          <w:color w:val="auto"/>
          <w:kern w:val="0"/>
          <w:sz w:val="21"/>
          <w:szCs w:val="21"/>
        </w:rPr>
        <w:t>生态修复工程（项目）验收整改意见表。</w:t>
      </w:r>
      <w:bookmarkEnd w:id="207"/>
      <w:bookmarkEnd w:id="208"/>
    </w:p>
    <w:p w14:paraId="6635B301">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.5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生态修复工程（项目）整改意见表</w:t>
      </w:r>
    </w:p>
    <w:tbl>
      <w:tblPr>
        <w:tblStyle w:val="7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00"/>
        <w:gridCol w:w="2892"/>
        <w:gridCol w:w="2444"/>
        <w:gridCol w:w="2328"/>
      </w:tblGrid>
      <w:tr w14:paraId="27A82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jc w:val="center"/>
        </w:trPr>
        <w:tc>
          <w:tcPr>
            <w:tcW w:w="908" w:type="pct"/>
            <w:vAlign w:val="center"/>
          </w:tcPr>
          <w:p w14:paraId="72B06DC7">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工程</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项目</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 xml:space="preserve"> 名称</w:t>
            </w:r>
          </w:p>
        </w:tc>
        <w:tc>
          <w:tcPr>
            <w:tcW w:w="4092" w:type="pct"/>
            <w:gridSpan w:val="3"/>
            <w:vAlign w:val="center"/>
          </w:tcPr>
          <w:p w14:paraId="5EF192B3">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26050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908" w:type="pct"/>
            <w:vAlign w:val="center"/>
          </w:tcPr>
          <w:p w14:paraId="6AF7F44B">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验收日期</w:t>
            </w:r>
          </w:p>
        </w:tc>
        <w:tc>
          <w:tcPr>
            <w:tcW w:w="1544" w:type="pct"/>
            <w:vAlign w:val="center"/>
          </w:tcPr>
          <w:p w14:paraId="1A896F12">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1305" w:type="pct"/>
            <w:vAlign w:val="center"/>
          </w:tcPr>
          <w:p w14:paraId="6462F2A8">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专家组长</w:t>
            </w:r>
          </w:p>
        </w:tc>
        <w:tc>
          <w:tcPr>
            <w:tcW w:w="1243" w:type="pct"/>
            <w:vAlign w:val="center"/>
          </w:tcPr>
          <w:p w14:paraId="4DAF071E">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6C391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6" w:hRule="atLeast"/>
          <w:jc w:val="center"/>
        </w:trPr>
        <w:tc>
          <w:tcPr>
            <w:tcW w:w="908" w:type="pct"/>
            <w:textDirection w:val="tbRlV"/>
            <w:vAlign w:val="center"/>
          </w:tcPr>
          <w:p w14:paraId="6F71CFC1">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必  改  意  见</w:t>
            </w:r>
          </w:p>
        </w:tc>
        <w:tc>
          <w:tcPr>
            <w:tcW w:w="4092" w:type="pct"/>
            <w:gridSpan w:val="3"/>
            <w:vAlign w:val="center"/>
          </w:tcPr>
          <w:p w14:paraId="3B28B834">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15764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7" w:hRule="atLeast"/>
          <w:jc w:val="center"/>
        </w:trPr>
        <w:tc>
          <w:tcPr>
            <w:tcW w:w="908" w:type="pct"/>
            <w:vAlign w:val="center"/>
          </w:tcPr>
          <w:p w14:paraId="4371E839">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工程实施责任单位</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施工单位</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承诺</w:t>
            </w:r>
          </w:p>
        </w:tc>
        <w:tc>
          <w:tcPr>
            <w:tcW w:w="4092" w:type="pct"/>
            <w:gridSpan w:val="3"/>
            <w:vAlign w:val="center"/>
          </w:tcPr>
          <w:p w14:paraId="38857B4D">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我单位承诺于   年  月  日前按专家组意见完成整改。</w:t>
            </w:r>
          </w:p>
          <w:p w14:paraId="4ACC83C3">
            <w:pPr>
              <w:overflowPunct/>
              <w:adjustRightInd w:val="0"/>
              <w:snapToGrid w:val="0"/>
              <w:ind w:firstLine="0" w:firstLineChars="0"/>
              <w:jc w:val="center"/>
              <w:textAlignment w:val="auto"/>
              <w:rPr>
                <w:rFonts w:ascii="Times New Roman" w:hAnsi="Times New Roman" w:cs="Times New Roman"/>
                <w:color w:val="auto"/>
                <w:sz w:val="18"/>
                <w:szCs w:val="22"/>
              </w:rPr>
            </w:pPr>
          </w:p>
          <w:p w14:paraId="10CC8F39">
            <w:pPr>
              <w:overflowPunct/>
              <w:adjustRightInd w:val="0"/>
              <w:snapToGrid w:val="0"/>
              <w:ind w:firstLine="420"/>
              <w:jc w:val="both"/>
              <w:textAlignment w:val="auto"/>
              <w:rPr>
                <w:rFonts w:ascii="Times New Roman" w:hAnsi="Times New Roman" w:cs="Arial"/>
                <w:color w:val="auto"/>
                <w:sz w:val="21"/>
                <w:szCs w:val="22"/>
              </w:rPr>
            </w:pPr>
          </w:p>
          <w:p w14:paraId="7157943E">
            <w:pPr>
              <w:overflowPunct/>
              <w:adjustRightInd w:val="0"/>
              <w:snapToGrid w:val="0"/>
              <w:ind w:firstLine="420"/>
              <w:jc w:val="both"/>
              <w:textAlignment w:val="auto"/>
              <w:rPr>
                <w:rFonts w:ascii="Times New Roman" w:hAnsi="Times New Roman" w:cs="Arial"/>
                <w:color w:val="auto"/>
                <w:sz w:val="21"/>
                <w:szCs w:val="22"/>
              </w:rPr>
            </w:pPr>
          </w:p>
          <w:p w14:paraId="6402562A">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签字：</w:t>
            </w:r>
          </w:p>
        </w:tc>
      </w:tr>
      <w:tr w14:paraId="676EB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jc w:val="center"/>
        </w:trPr>
        <w:tc>
          <w:tcPr>
            <w:tcW w:w="908" w:type="pct"/>
            <w:vAlign w:val="center"/>
          </w:tcPr>
          <w:p w14:paraId="5CE7C24B">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专家组长复审意见</w:t>
            </w:r>
          </w:p>
        </w:tc>
        <w:tc>
          <w:tcPr>
            <w:tcW w:w="4092" w:type="pct"/>
            <w:gridSpan w:val="3"/>
            <w:vAlign w:val="center"/>
          </w:tcPr>
          <w:p w14:paraId="5D72C3DB">
            <w:pPr>
              <w:overflowPunct/>
              <w:adjustRightInd w:val="0"/>
              <w:snapToGrid w:val="0"/>
              <w:ind w:firstLine="0" w:firstLineChars="0"/>
              <w:jc w:val="center"/>
              <w:textAlignment w:val="auto"/>
              <w:rPr>
                <w:rFonts w:ascii="Times New Roman" w:hAnsi="Times New Roman" w:cs="Times New Roman"/>
                <w:color w:val="auto"/>
                <w:sz w:val="18"/>
                <w:szCs w:val="22"/>
              </w:rPr>
            </w:pPr>
          </w:p>
          <w:p w14:paraId="5102BBEF">
            <w:pPr>
              <w:overflowPunct/>
              <w:adjustRightInd w:val="0"/>
              <w:snapToGrid w:val="0"/>
              <w:ind w:firstLine="0" w:firstLineChars="0"/>
              <w:jc w:val="center"/>
              <w:textAlignment w:val="auto"/>
              <w:rPr>
                <w:rFonts w:ascii="Times New Roman" w:hAnsi="Times New Roman" w:cs="Times New Roman"/>
                <w:color w:val="auto"/>
                <w:sz w:val="18"/>
                <w:szCs w:val="22"/>
              </w:rPr>
            </w:pPr>
          </w:p>
          <w:p w14:paraId="2BE4A491">
            <w:pPr>
              <w:overflowPunct/>
              <w:adjustRightInd w:val="0"/>
              <w:snapToGrid w:val="0"/>
              <w:ind w:firstLine="0" w:firstLineChars="0"/>
              <w:jc w:val="center"/>
              <w:textAlignment w:val="auto"/>
              <w:rPr>
                <w:rFonts w:ascii="Times New Roman" w:hAnsi="Times New Roman" w:cs="Times New Roman"/>
                <w:color w:val="auto"/>
                <w:sz w:val="18"/>
                <w:szCs w:val="22"/>
              </w:rPr>
            </w:pPr>
          </w:p>
          <w:p w14:paraId="15234B02">
            <w:pPr>
              <w:overflowPunct/>
              <w:adjustRightInd w:val="0"/>
              <w:snapToGrid w:val="0"/>
              <w:ind w:firstLine="0" w:firstLineChars="0"/>
              <w:jc w:val="center"/>
              <w:textAlignment w:val="auto"/>
              <w:rPr>
                <w:rFonts w:ascii="Times New Roman" w:hAnsi="Times New Roman" w:cs="Times New Roman"/>
                <w:color w:val="auto"/>
                <w:sz w:val="18"/>
                <w:szCs w:val="22"/>
              </w:rPr>
            </w:pPr>
          </w:p>
          <w:p w14:paraId="40F03ACF">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专家组长：</w:t>
            </w:r>
          </w:p>
        </w:tc>
      </w:tr>
    </w:tbl>
    <w:p w14:paraId="3C451AA5">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2614EDCD">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09" w:name="_Toc28720"/>
      <w:bookmarkStart w:id="210" w:name="_Toc26675"/>
      <w:r>
        <w:rPr>
          <w:rFonts w:hint="eastAsia" w:ascii="Times New Roman" w:hAnsi="Times New Roman" w:cs="Times New Roman"/>
          <w:color w:val="auto"/>
          <w:kern w:val="0"/>
          <w:sz w:val="21"/>
          <w:szCs w:val="21"/>
        </w:rPr>
        <w:t>C</w:t>
      </w:r>
      <w:r>
        <w:rPr>
          <w:rFonts w:ascii="Times New Roman" w:hAnsi="Times New Roman" w:cs="Times New Roman"/>
          <w:color w:val="auto"/>
          <w:kern w:val="0"/>
          <w:sz w:val="21"/>
          <w:szCs w:val="21"/>
        </w:rPr>
        <w:t>.3</w:t>
      </w:r>
      <w:r>
        <w:rPr>
          <w:rFonts w:hint="eastAsia" w:ascii="Times New Roman" w:hAnsi="Times New Roman" w:cs="Times New Roman"/>
          <w:color w:val="auto"/>
          <w:kern w:val="0"/>
          <w:sz w:val="21"/>
          <w:szCs w:val="21"/>
        </w:rPr>
        <w:t xml:space="preserve"> </w:t>
      </w:r>
      <w:r>
        <w:rPr>
          <w:rFonts w:hint="eastAsia" w:ascii="Times New Roman" w:hAnsi="Times New Roman" w:cs="Times New Roman"/>
          <w:color w:val="auto"/>
          <w:kern w:val="0"/>
          <w:sz w:val="21"/>
          <w:szCs w:val="21"/>
          <w:lang w:eastAsia="zh-CN"/>
        </w:rPr>
        <w:t>排土场（废石堆）</w:t>
      </w:r>
      <w:r>
        <w:rPr>
          <w:rFonts w:ascii="Times New Roman" w:hAnsi="Times New Roman" w:cs="Times New Roman"/>
          <w:color w:val="auto"/>
          <w:kern w:val="0"/>
          <w:sz w:val="21"/>
          <w:szCs w:val="21"/>
        </w:rPr>
        <w:t>生态修复工程（项目）验收专家个人意见表。</w:t>
      </w:r>
      <w:bookmarkEnd w:id="209"/>
      <w:bookmarkEnd w:id="210"/>
    </w:p>
    <w:p w14:paraId="56F0948D">
      <w:pPr>
        <w:widowControl/>
        <w:overflowPunct/>
        <w:autoSpaceDE w:val="0"/>
        <w:autoSpaceDN w:val="0"/>
        <w:adjustRightInd w:val="0"/>
        <w:snapToGrid w:val="0"/>
        <w:spacing w:before="156" w:beforeLines="50" w:after="156"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C</w:t>
      </w:r>
      <w:r>
        <w:rPr>
          <w:rFonts w:ascii="Times New Roman" w:hAnsi="Times New Roman" w:eastAsia="黑体" w:cs="Times New Roman"/>
          <w:color w:val="auto"/>
          <w:kern w:val="0"/>
          <w:sz w:val="21"/>
          <w:szCs w:val="20"/>
        </w:rPr>
        <w:t xml:space="preserve">.6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生态修复工程（项目）专家个人意见表</w:t>
      </w:r>
    </w:p>
    <w:tbl>
      <w:tblPr>
        <w:tblStyle w:val="7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88"/>
        <w:gridCol w:w="1453"/>
        <w:gridCol w:w="976"/>
        <w:gridCol w:w="1494"/>
        <w:gridCol w:w="1126"/>
        <w:gridCol w:w="2427"/>
      </w:tblGrid>
      <w:tr w14:paraId="1030B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08" w:type="pct"/>
            <w:vAlign w:val="center"/>
          </w:tcPr>
          <w:p w14:paraId="0FF71C0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项目名称</w:t>
            </w:r>
          </w:p>
        </w:tc>
        <w:tc>
          <w:tcPr>
            <w:tcW w:w="3992" w:type="pct"/>
            <w:gridSpan w:val="5"/>
            <w:vAlign w:val="center"/>
          </w:tcPr>
          <w:p w14:paraId="415642CD">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6DFDF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8" w:type="pct"/>
            <w:vAlign w:val="center"/>
          </w:tcPr>
          <w:p w14:paraId="312F47F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验收阶段</w:t>
            </w:r>
          </w:p>
        </w:tc>
        <w:tc>
          <w:tcPr>
            <w:tcW w:w="3992" w:type="pct"/>
            <w:gridSpan w:val="5"/>
            <w:vAlign w:val="center"/>
          </w:tcPr>
          <w:p w14:paraId="3CB63A4B">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64E53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1A6FA369">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专家姓名</w:t>
            </w:r>
          </w:p>
        </w:tc>
        <w:tc>
          <w:tcPr>
            <w:tcW w:w="776" w:type="pct"/>
            <w:vAlign w:val="center"/>
          </w:tcPr>
          <w:p w14:paraId="496EE2D2">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1" w:type="pct"/>
            <w:vAlign w:val="center"/>
          </w:tcPr>
          <w:p w14:paraId="77B1F412">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专业</w:t>
            </w:r>
          </w:p>
        </w:tc>
        <w:tc>
          <w:tcPr>
            <w:tcW w:w="798" w:type="pct"/>
            <w:vAlign w:val="center"/>
          </w:tcPr>
          <w:p w14:paraId="71E486F9">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1" w:type="pct"/>
            <w:vAlign w:val="center"/>
          </w:tcPr>
          <w:p w14:paraId="6A4EFEE6">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职称</w:t>
            </w:r>
          </w:p>
        </w:tc>
        <w:tc>
          <w:tcPr>
            <w:tcW w:w="1295" w:type="pct"/>
          </w:tcPr>
          <w:p w14:paraId="49FEB314">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15974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1008" w:type="pct"/>
            <w:vAlign w:val="center"/>
          </w:tcPr>
          <w:p w14:paraId="04B95AD0">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验收结论</w:t>
            </w:r>
          </w:p>
        </w:tc>
        <w:tc>
          <w:tcPr>
            <w:tcW w:w="776" w:type="pct"/>
            <w:vAlign w:val="center"/>
          </w:tcPr>
          <w:p w14:paraId="0C0158C9">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通过</w:t>
            </w:r>
          </w:p>
        </w:tc>
        <w:tc>
          <w:tcPr>
            <w:tcW w:w="1319" w:type="pct"/>
            <w:gridSpan w:val="2"/>
            <w:vAlign w:val="center"/>
          </w:tcPr>
          <w:p w14:paraId="6224A7F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1" w:type="pct"/>
            <w:vAlign w:val="center"/>
          </w:tcPr>
          <w:p w14:paraId="4236C566">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不通过</w:t>
            </w:r>
          </w:p>
        </w:tc>
        <w:tc>
          <w:tcPr>
            <w:tcW w:w="1295" w:type="pct"/>
          </w:tcPr>
          <w:p w14:paraId="6D0FE481">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11448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7" w:hRule="atLeast"/>
        </w:trPr>
        <w:tc>
          <w:tcPr>
            <w:tcW w:w="5000" w:type="pct"/>
            <w:gridSpan w:val="6"/>
          </w:tcPr>
          <w:p w14:paraId="6760D13F">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验收意见：</w:t>
            </w:r>
          </w:p>
          <w:p w14:paraId="5BDD1E86">
            <w:pPr>
              <w:overflowPunct/>
              <w:adjustRightInd w:val="0"/>
              <w:snapToGrid w:val="0"/>
              <w:ind w:firstLine="0" w:firstLineChars="0"/>
              <w:jc w:val="center"/>
              <w:textAlignment w:val="auto"/>
              <w:rPr>
                <w:rFonts w:ascii="Times New Roman" w:hAnsi="Times New Roman" w:cs="Times New Roman"/>
                <w:color w:val="auto"/>
                <w:sz w:val="18"/>
                <w:szCs w:val="22"/>
              </w:rPr>
            </w:pPr>
          </w:p>
          <w:p w14:paraId="720EAC5F">
            <w:pPr>
              <w:overflowPunct/>
              <w:adjustRightInd w:val="0"/>
              <w:snapToGrid w:val="0"/>
              <w:ind w:firstLine="0" w:firstLineChars="0"/>
              <w:jc w:val="center"/>
              <w:textAlignment w:val="auto"/>
              <w:rPr>
                <w:rFonts w:ascii="Times New Roman" w:hAnsi="Times New Roman" w:cs="Times New Roman"/>
                <w:color w:val="auto"/>
                <w:sz w:val="18"/>
                <w:szCs w:val="22"/>
              </w:rPr>
            </w:pPr>
          </w:p>
          <w:p w14:paraId="27CCFFFA">
            <w:pPr>
              <w:overflowPunct/>
              <w:adjustRightInd w:val="0"/>
              <w:snapToGrid w:val="0"/>
              <w:ind w:firstLine="0" w:firstLineChars="0"/>
              <w:jc w:val="center"/>
              <w:textAlignment w:val="auto"/>
              <w:rPr>
                <w:rFonts w:ascii="Times New Roman" w:hAnsi="Times New Roman" w:cs="Times New Roman"/>
                <w:color w:val="auto"/>
                <w:sz w:val="18"/>
                <w:szCs w:val="22"/>
              </w:rPr>
            </w:pPr>
          </w:p>
          <w:p w14:paraId="08CFAB82">
            <w:pPr>
              <w:overflowPunct/>
              <w:adjustRightInd w:val="0"/>
              <w:snapToGrid w:val="0"/>
              <w:ind w:firstLine="0" w:firstLineChars="0"/>
              <w:jc w:val="center"/>
              <w:textAlignment w:val="auto"/>
              <w:rPr>
                <w:rFonts w:ascii="Times New Roman" w:hAnsi="Times New Roman" w:cs="Times New Roman"/>
                <w:color w:val="auto"/>
                <w:sz w:val="18"/>
                <w:szCs w:val="22"/>
              </w:rPr>
            </w:pPr>
          </w:p>
          <w:p w14:paraId="57A5E141">
            <w:pPr>
              <w:overflowPunct/>
              <w:adjustRightInd w:val="0"/>
              <w:snapToGrid w:val="0"/>
              <w:ind w:firstLine="0" w:firstLineChars="0"/>
              <w:jc w:val="center"/>
              <w:textAlignment w:val="auto"/>
              <w:rPr>
                <w:rFonts w:ascii="Times New Roman" w:hAnsi="Times New Roman" w:cs="Times New Roman"/>
                <w:color w:val="auto"/>
                <w:sz w:val="18"/>
                <w:szCs w:val="22"/>
              </w:rPr>
            </w:pPr>
          </w:p>
          <w:p w14:paraId="31D25F4E">
            <w:pPr>
              <w:overflowPunct/>
              <w:adjustRightInd w:val="0"/>
              <w:snapToGrid w:val="0"/>
              <w:ind w:firstLine="0" w:firstLineChars="0"/>
              <w:jc w:val="center"/>
              <w:textAlignment w:val="auto"/>
              <w:rPr>
                <w:rFonts w:ascii="Times New Roman" w:hAnsi="Times New Roman" w:cs="Times New Roman"/>
                <w:color w:val="auto"/>
                <w:sz w:val="18"/>
                <w:szCs w:val="22"/>
              </w:rPr>
            </w:pPr>
          </w:p>
          <w:p w14:paraId="1E5EF348">
            <w:pPr>
              <w:overflowPunct/>
              <w:adjustRightInd w:val="0"/>
              <w:snapToGrid w:val="0"/>
              <w:ind w:firstLine="0" w:firstLineChars="0"/>
              <w:jc w:val="center"/>
              <w:textAlignment w:val="auto"/>
              <w:rPr>
                <w:rFonts w:ascii="Times New Roman" w:hAnsi="Times New Roman" w:cs="Times New Roman"/>
                <w:color w:val="auto"/>
                <w:sz w:val="18"/>
                <w:szCs w:val="22"/>
              </w:rPr>
            </w:pPr>
          </w:p>
          <w:p w14:paraId="014A7C69">
            <w:pPr>
              <w:overflowPunct/>
              <w:adjustRightInd w:val="0"/>
              <w:snapToGrid w:val="0"/>
              <w:ind w:firstLine="0" w:firstLineChars="0"/>
              <w:jc w:val="center"/>
              <w:textAlignment w:val="auto"/>
              <w:rPr>
                <w:rFonts w:ascii="Times New Roman" w:hAnsi="Times New Roman" w:cs="Times New Roman"/>
                <w:color w:val="auto"/>
                <w:sz w:val="18"/>
                <w:szCs w:val="22"/>
              </w:rPr>
            </w:pPr>
          </w:p>
          <w:p w14:paraId="2E57DBF3">
            <w:pPr>
              <w:overflowPunct/>
              <w:adjustRightInd w:val="0"/>
              <w:snapToGrid w:val="0"/>
              <w:ind w:firstLine="0" w:firstLineChars="0"/>
              <w:jc w:val="center"/>
              <w:textAlignment w:val="auto"/>
              <w:rPr>
                <w:rFonts w:ascii="Times New Roman" w:hAnsi="Times New Roman" w:cs="Times New Roman"/>
                <w:color w:val="auto"/>
                <w:sz w:val="18"/>
                <w:szCs w:val="22"/>
              </w:rPr>
            </w:pPr>
          </w:p>
          <w:p w14:paraId="1250685E">
            <w:pPr>
              <w:overflowPunct/>
              <w:adjustRightInd w:val="0"/>
              <w:snapToGrid w:val="0"/>
              <w:ind w:firstLine="420"/>
              <w:jc w:val="both"/>
              <w:textAlignment w:val="auto"/>
              <w:rPr>
                <w:rFonts w:ascii="Times New Roman" w:hAnsi="Times New Roman" w:cs="Arial"/>
                <w:color w:val="auto"/>
                <w:sz w:val="21"/>
                <w:szCs w:val="22"/>
              </w:rPr>
            </w:pPr>
          </w:p>
          <w:p w14:paraId="21994C17">
            <w:pPr>
              <w:overflowPunct/>
              <w:adjustRightInd w:val="0"/>
              <w:snapToGrid w:val="0"/>
              <w:ind w:firstLine="420"/>
              <w:jc w:val="both"/>
              <w:textAlignment w:val="auto"/>
              <w:rPr>
                <w:rFonts w:ascii="Times New Roman" w:hAnsi="Times New Roman" w:cs="Arial"/>
                <w:color w:val="auto"/>
                <w:sz w:val="21"/>
                <w:szCs w:val="22"/>
              </w:rPr>
            </w:pPr>
          </w:p>
          <w:p w14:paraId="650B419C">
            <w:pPr>
              <w:overflowPunct/>
              <w:adjustRightInd w:val="0"/>
              <w:snapToGrid w:val="0"/>
              <w:ind w:firstLine="420"/>
              <w:jc w:val="both"/>
              <w:textAlignment w:val="auto"/>
              <w:rPr>
                <w:rFonts w:ascii="Times New Roman" w:hAnsi="Times New Roman" w:cs="Arial"/>
                <w:color w:val="auto"/>
                <w:sz w:val="21"/>
                <w:szCs w:val="22"/>
              </w:rPr>
            </w:pPr>
          </w:p>
          <w:p w14:paraId="0DE6C02E">
            <w:pPr>
              <w:overflowPunct/>
              <w:adjustRightInd w:val="0"/>
              <w:snapToGrid w:val="0"/>
              <w:ind w:firstLine="420"/>
              <w:jc w:val="both"/>
              <w:textAlignment w:val="auto"/>
              <w:rPr>
                <w:rFonts w:ascii="Times New Roman" w:hAnsi="Times New Roman" w:cs="Arial"/>
                <w:color w:val="auto"/>
                <w:sz w:val="21"/>
                <w:szCs w:val="22"/>
              </w:rPr>
            </w:pPr>
          </w:p>
          <w:p w14:paraId="751C38E6">
            <w:pPr>
              <w:overflowPunct/>
              <w:adjustRightInd w:val="0"/>
              <w:snapToGrid w:val="0"/>
              <w:ind w:firstLine="420"/>
              <w:jc w:val="both"/>
              <w:textAlignment w:val="auto"/>
              <w:rPr>
                <w:rFonts w:ascii="Times New Roman" w:hAnsi="Times New Roman" w:cs="Arial"/>
                <w:color w:val="auto"/>
                <w:sz w:val="21"/>
                <w:szCs w:val="22"/>
              </w:rPr>
            </w:pPr>
          </w:p>
          <w:p w14:paraId="79830181">
            <w:pPr>
              <w:overflowPunct/>
              <w:adjustRightInd w:val="0"/>
              <w:snapToGrid w:val="0"/>
              <w:ind w:firstLine="420"/>
              <w:jc w:val="both"/>
              <w:textAlignment w:val="auto"/>
              <w:rPr>
                <w:rFonts w:ascii="Times New Roman" w:hAnsi="Times New Roman" w:cs="Arial"/>
                <w:color w:val="auto"/>
                <w:sz w:val="21"/>
                <w:szCs w:val="22"/>
              </w:rPr>
            </w:pPr>
          </w:p>
          <w:p w14:paraId="5673823B">
            <w:pPr>
              <w:overflowPunct/>
              <w:adjustRightInd w:val="0"/>
              <w:snapToGrid w:val="0"/>
              <w:ind w:firstLine="420"/>
              <w:jc w:val="both"/>
              <w:textAlignment w:val="auto"/>
              <w:rPr>
                <w:rFonts w:ascii="Times New Roman" w:hAnsi="Times New Roman" w:cs="Arial"/>
                <w:color w:val="auto"/>
                <w:sz w:val="21"/>
                <w:szCs w:val="22"/>
              </w:rPr>
            </w:pPr>
          </w:p>
          <w:p w14:paraId="0DC834AD">
            <w:pPr>
              <w:overflowPunct/>
              <w:adjustRightInd w:val="0"/>
              <w:snapToGrid w:val="0"/>
              <w:ind w:firstLine="420"/>
              <w:jc w:val="both"/>
              <w:textAlignment w:val="auto"/>
              <w:rPr>
                <w:rFonts w:ascii="Times New Roman" w:hAnsi="Times New Roman" w:cs="Arial"/>
                <w:color w:val="auto"/>
                <w:sz w:val="21"/>
                <w:szCs w:val="22"/>
              </w:rPr>
            </w:pPr>
          </w:p>
          <w:p w14:paraId="2AEE933B">
            <w:pPr>
              <w:overflowPunct/>
              <w:adjustRightInd w:val="0"/>
              <w:snapToGrid w:val="0"/>
              <w:ind w:firstLine="420"/>
              <w:jc w:val="both"/>
              <w:textAlignment w:val="auto"/>
              <w:rPr>
                <w:rFonts w:ascii="Times New Roman" w:hAnsi="Times New Roman" w:cs="Arial"/>
                <w:color w:val="auto"/>
                <w:sz w:val="21"/>
                <w:szCs w:val="22"/>
              </w:rPr>
            </w:pPr>
          </w:p>
          <w:p w14:paraId="117F5512">
            <w:pPr>
              <w:overflowPunct/>
              <w:adjustRightInd w:val="0"/>
              <w:snapToGrid w:val="0"/>
              <w:ind w:firstLine="0" w:firstLineChars="0"/>
              <w:jc w:val="center"/>
              <w:textAlignment w:val="auto"/>
              <w:rPr>
                <w:rFonts w:ascii="Times New Roman" w:hAnsi="Times New Roman" w:cs="Times New Roman"/>
                <w:color w:val="auto"/>
                <w:sz w:val="18"/>
                <w:szCs w:val="22"/>
              </w:rPr>
            </w:pPr>
          </w:p>
          <w:p w14:paraId="2EDAE272">
            <w:pPr>
              <w:overflowPunct/>
              <w:adjustRightInd w:val="0"/>
              <w:snapToGrid w:val="0"/>
              <w:ind w:firstLine="0" w:firstLineChars="0"/>
              <w:jc w:val="center"/>
              <w:textAlignment w:val="auto"/>
              <w:rPr>
                <w:rFonts w:ascii="Times New Roman" w:hAnsi="Times New Roman" w:cs="Times New Roman"/>
                <w:color w:val="auto"/>
                <w:sz w:val="18"/>
                <w:szCs w:val="22"/>
              </w:rPr>
            </w:pPr>
          </w:p>
          <w:p w14:paraId="2032D319">
            <w:pPr>
              <w:overflowPunct/>
              <w:adjustRightInd w:val="0"/>
              <w:snapToGrid w:val="0"/>
              <w:ind w:firstLine="0" w:firstLineChars="0"/>
              <w:jc w:val="center"/>
              <w:textAlignment w:val="auto"/>
              <w:rPr>
                <w:rFonts w:ascii="Times New Roman" w:hAnsi="Times New Roman" w:cs="Times New Roman"/>
                <w:color w:val="auto"/>
                <w:sz w:val="18"/>
                <w:szCs w:val="22"/>
              </w:rPr>
            </w:pPr>
          </w:p>
          <w:p w14:paraId="39F91593">
            <w:pPr>
              <w:overflowPunct/>
              <w:adjustRightInd w:val="0"/>
              <w:snapToGrid w:val="0"/>
              <w:ind w:firstLine="0" w:firstLineChars="0"/>
              <w:jc w:val="center"/>
              <w:textAlignment w:val="auto"/>
              <w:rPr>
                <w:rFonts w:ascii="Times New Roman" w:hAnsi="Times New Roman" w:cs="Times New Roman"/>
                <w:color w:val="auto"/>
                <w:sz w:val="18"/>
                <w:szCs w:val="22"/>
              </w:rPr>
            </w:pPr>
          </w:p>
          <w:p w14:paraId="38CAB3E4">
            <w:pPr>
              <w:overflowPunct/>
              <w:adjustRightInd w:val="0"/>
              <w:snapToGrid w:val="0"/>
              <w:ind w:firstLine="0" w:firstLineChars="0"/>
              <w:jc w:val="center"/>
              <w:textAlignment w:val="auto"/>
              <w:rPr>
                <w:rFonts w:ascii="Times New Roman" w:hAnsi="Times New Roman" w:cs="Times New Roman"/>
                <w:color w:val="auto"/>
                <w:sz w:val="18"/>
                <w:szCs w:val="22"/>
              </w:rPr>
            </w:pPr>
          </w:p>
          <w:p w14:paraId="2E7DA7BA">
            <w:pPr>
              <w:overflowPunct/>
              <w:adjustRightInd w:val="0"/>
              <w:snapToGrid w:val="0"/>
              <w:ind w:firstLine="0" w:firstLineChars="0"/>
              <w:jc w:val="center"/>
              <w:textAlignment w:val="auto"/>
              <w:rPr>
                <w:rFonts w:ascii="Times New Roman" w:hAnsi="Times New Roman" w:cs="Times New Roman"/>
                <w:color w:val="auto"/>
                <w:sz w:val="18"/>
                <w:szCs w:val="22"/>
              </w:rPr>
            </w:pPr>
          </w:p>
          <w:p w14:paraId="5743638F">
            <w:pPr>
              <w:overflowPunct/>
              <w:adjustRightInd w:val="0"/>
              <w:snapToGrid w:val="0"/>
              <w:ind w:firstLine="0" w:firstLineChars="0"/>
              <w:jc w:val="center"/>
              <w:textAlignment w:val="auto"/>
              <w:rPr>
                <w:rFonts w:ascii="Times New Roman" w:hAnsi="Times New Roman" w:cs="Times New Roman"/>
                <w:color w:val="auto"/>
                <w:sz w:val="18"/>
                <w:szCs w:val="22"/>
              </w:rPr>
            </w:pPr>
          </w:p>
          <w:p w14:paraId="0097FB9A">
            <w:pPr>
              <w:overflowPunct/>
              <w:adjustRightInd w:val="0"/>
              <w:snapToGrid w:val="0"/>
              <w:ind w:firstLine="0" w:firstLineChars="0"/>
              <w:jc w:val="center"/>
              <w:textAlignment w:val="auto"/>
              <w:rPr>
                <w:rFonts w:ascii="Times New Roman" w:hAnsi="Times New Roman" w:cs="Times New Roman"/>
                <w:color w:val="auto"/>
                <w:sz w:val="18"/>
                <w:szCs w:val="22"/>
              </w:rPr>
            </w:pPr>
          </w:p>
          <w:p w14:paraId="555A3051">
            <w:pPr>
              <w:overflowPunct/>
              <w:adjustRightInd w:val="0"/>
              <w:snapToGrid w:val="0"/>
              <w:ind w:firstLine="0" w:firstLineChars="0"/>
              <w:jc w:val="center"/>
              <w:textAlignment w:val="auto"/>
              <w:rPr>
                <w:rFonts w:ascii="Times New Roman" w:hAnsi="Times New Roman" w:cs="Times New Roman"/>
                <w:color w:val="auto"/>
                <w:sz w:val="18"/>
                <w:szCs w:val="22"/>
              </w:rPr>
            </w:pPr>
          </w:p>
          <w:p w14:paraId="34F0029F">
            <w:pPr>
              <w:overflowPunct/>
              <w:adjustRightInd w:val="0"/>
              <w:snapToGrid w:val="0"/>
              <w:ind w:firstLine="0" w:firstLineChars="0"/>
              <w:jc w:val="center"/>
              <w:textAlignment w:val="auto"/>
              <w:rPr>
                <w:rFonts w:ascii="Times New Roman" w:hAnsi="Times New Roman" w:cs="Times New Roman"/>
                <w:color w:val="auto"/>
                <w:sz w:val="18"/>
                <w:szCs w:val="22"/>
              </w:rPr>
            </w:pPr>
          </w:p>
          <w:p w14:paraId="1CC4B57A">
            <w:pPr>
              <w:overflowPunct/>
              <w:adjustRightInd w:val="0"/>
              <w:snapToGrid w:val="0"/>
              <w:ind w:firstLine="0" w:firstLineChars="0"/>
              <w:jc w:val="center"/>
              <w:textAlignment w:val="auto"/>
              <w:rPr>
                <w:rFonts w:ascii="Times New Roman" w:hAnsi="Times New Roman" w:cs="Times New Roman"/>
                <w:color w:val="auto"/>
                <w:sz w:val="18"/>
                <w:szCs w:val="22"/>
              </w:rPr>
            </w:pPr>
          </w:p>
          <w:p w14:paraId="0600CC3A">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rPr>
              <w:t xml:space="preserve">                                      </w:t>
            </w:r>
            <w:r>
              <w:rPr>
                <w:rFonts w:ascii="Times New Roman" w:hAnsi="Times New Roman" w:cs="Times New Roman"/>
                <w:color w:val="auto"/>
                <w:sz w:val="18"/>
                <w:szCs w:val="22"/>
              </w:rPr>
              <w:t>专家签名</w:t>
            </w:r>
            <w:r>
              <w:rPr>
                <w:rFonts w:hint="eastAsia" w:ascii="Times New Roman" w:hAnsi="Times New Roman" w:cs="Times New Roman"/>
                <w:color w:val="auto"/>
                <w:sz w:val="18"/>
                <w:szCs w:val="22"/>
                <w:lang w:eastAsia="zh-CN"/>
              </w:rPr>
              <w:t>：</w:t>
            </w:r>
          </w:p>
          <w:p w14:paraId="0049FFF5">
            <w:pPr>
              <w:overflowPunct/>
              <w:adjustRightInd w:val="0"/>
              <w:snapToGrid w:val="0"/>
              <w:ind w:firstLine="420"/>
              <w:jc w:val="both"/>
              <w:textAlignment w:val="auto"/>
              <w:rPr>
                <w:rFonts w:ascii="Times New Roman" w:hAnsi="Times New Roman" w:cs="Arial"/>
                <w:color w:val="auto"/>
                <w:sz w:val="21"/>
                <w:szCs w:val="22"/>
              </w:rPr>
            </w:pPr>
          </w:p>
          <w:p w14:paraId="70CEFBD6">
            <w:pPr>
              <w:overflowPunct/>
              <w:adjustRightInd w:val="0"/>
              <w:snapToGrid w:val="0"/>
              <w:ind w:firstLine="0" w:firstLineChars="0"/>
              <w:jc w:val="center"/>
              <w:textAlignment w:val="auto"/>
              <w:rPr>
                <w:rFonts w:ascii="Times New Roman" w:hAnsi="Times New Roman" w:cs="Times New Roman"/>
                <w:color w:val="auto"/>
                <w:sz w:val="18"/>
                <w:szCs w:val="22"/>
              </w:rPr>
            </w:pPr>
          </w:p>
          <w:p w14:paraId="734B0DB8">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rPr>
              <w:t xml:space="preserve">                                                                               </w:t>
            </w:r>
            <w:r>
              <w:rPr>
                <w:rFonts w:ascii="Times New Roman" w:hAnsi="Times New Roman" w:cs="Times New Roman"/>
                <w:color w:val="auto"/>
                <w:sz w:val="18"/>
                <w:szCs w:val="22"/>
              </w:rPr>
              <w:t>年</w:t>
            </w:r>
            <w:r>
              <w:rPr>
                <w:rFonts w:ascii="Times New Roman" w:hAnsi="Times New Roman" w:cs="Times New Roman"/>
                <w:color w:val="auto"/>
                <w:spacing w:val="10"/>
                <w:sz w:val="18"/>
                <w:szCs w:val="22"/>
              </w:rPr>
              <w:t xml:space="preserve">   </w:t>
            </w:r>
            <w:r>
              <w:rPr>
                <w:rFonts w:ascii="Times New Roman" w:hAnsi="Times New Roman" w:cs="Times New Roman"/>
                <w:color w:val="auto"/>
                <w:sz w:val="18"/>
                <w:szCs w:val="22"/>
              </w:rPr>
              <w:t>月</w:t>
            </w:r>
            <w:r>
              <w:rPr>
                <w:rFonts w:ascii="Times New Roman" w:hAnsi="Times New Roman" w:cs="Times New Roman"/>
                <w:color w:val="auto"/>
                <w:spacing w:val="20"/>
                <w:sz w:val="18"/>
                <w:szCs w:val="22"/>
              </w:rPr>
              <w:t xml:space="preserve">   </w:t>
            </w:r>
            <w:r>
              <w:rPr>
                <w:rFonts w:ascii="Times New Roman" w:hAnsi="Times New Roman" w:cs="Times New Roman"/>
                <w:color w:val="auto"/>
                <w:sz w:val="18"/>
                <w:szCs w:val="22"/>
              </w:rPr>
              <w:t>日</w:t>
            </w:r>
          </w:p>
          <w:p w14:paraId="5FBF868A">
            <w:pPr>
              <w:overflowPunct/>
              <w:adjustRightInd w:val="0"/>
              <w:snapToGrid w:val="0"/>
              <w:ind w:firstLine="420"/>
              <w:jc w:val="both"/>
              <w:textAlignment w:val="auto"/>
              <w:rPr>
                <w:rFonts w:ascii="Times New Roman" w:hAnsi="Times New Roman" w:cs="Arial"/>
                <w:color w:val="auto"/>
                <w:sz w:val="21"/>
                <w:szCs w:val="22"/>
              </w:rPr>
            </w:pPr>
          </w:p>
        </w:tc>
      </w:tr>
    </w:tbl>
    <w:p w14:paraId="62C8A02D">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6710B1EC">
      <w:pPr>
        <w:keepNext/>
        <w:widowControl/>
        <w:numPr>
          <w:ilvl w:val="0"/>
          <w:numId w:val="8"/>
        </w:numPr>
        <w:shd w:val="clear" w:color="FFFFFF" w:fill="FFFFFF"/>
        <w:tabs>
          <w:tab w:val="left" w:pos="360"/>
          <w:tab w:val="left" w:pos="432"/>
          <w:tab w:val="left" w:pos="6405"/>
        </w:tabs>
        <w:overflowPunct/>
        <w:adjustRightInd w:val="0"/>
        <w:snapToGrid w:val="0"/>
        <w:spacing w:before="640" w:after="280"/>
        <w:ind w:firstLineChars="0"/>
        <w:jc w:val="center"/>
        <w:textAlignment w:val="auto"/>
        <w:outlineLvl w:val="0"/>
        <w:rPr>
          <w:rFonts w:ascii="黑体" w:hAnsi="Times New Roman" w:eastAsia="黑体" w:cs="Times New Roman"/>
          <w:color w:val="auto"/>
          <w:kern w:val="0"/>
          <w:sz w:val="21"/>
          <w:szCs w:val="20"/>
        </w:rPr>
      </w:pPr>
      <w:bookmarkStart w:id="211" w:name="_Toc15773"/>
      <w:bookmarkStart w:id="212" w:name="_Toc29989"/>
      <w:bookmarkStart w:id="213" w:name="_Toc24959"/>
      <w:r>
        <w:rPr>
          <w:rFonts w:ascii="黑体" w:hAnsi="Times New Roman" w:eastAsia="黑体" w:cs="Times New Roman"/>
          <w:color w:val="auto"/>
          <w:kern w:val="0"/>
          <w:sz w:val="21"/>
          <w:szCs w:val="20"/>
        </w:rPr>
        <w:br w:type="textWrapping"/>
      </w:r>
      <w:bookmarkStart w:id="214" w:name="_Toc218763815"/>
      <w:bookmarkStart w:id="215" w:name="_Toc218963350"/>
      <w:bookmarkStart w:id="216" w:name="_Toc218763144"/>
      <w:r>
        <w:rPr>
          <w:rFonts w:ascii="黑体" w:hAnsi="Times New Roman" w:eastAsia="黑体" w:cs="Times New Roman"/>
          <w:color w:val="auto"/>
          <w:kern w:val="0"/>
          <w:sz w:val="21"/>
          <w:szCs w:val="20"/>
        </w:rPr>
        <w:t>（</w:t>
      </w:r>
      <w:r>
        <w:rPr>
          <w:rFonts w:hint="eastAsia" w:ascii="黑体" w:hAnsi="Times New Roman" w:eastAsia="黑体" w:cs="Times New Roman"/>
          <w:color w:val="auto"/>
          <w:kern w:val="0"/>
          <w:sz w:val="21"/>
          <w:szCs w:val="20"/>
        </w:rPr>
        <w:t>资料</w:t>
      </w:r>
      <w:r>
        <w:rPr>
          <w:rFonts w:ascii="黑体" w:hAnsi="Times New Roman" w:eastAsia="黑体" w:cs="Times New Roman"/>
          <w:color w:val="auto"/>
          <w:kern w:val="0"/>
          <w:sz w:val="21"/>
          <w:szCs w:val="20"/>
        </w:rPr>
        <w:t>性）</w:t>
      </w:r>
      <w:r>
        <w:rPr>
          <w:rFonts w:ascii="黑体" w:hAnsi="Times New Roman" w:eastAsia="黑体" w:cs="Times New Roman"/>
          <w:color w:val="auto"/>
          <w:kern w:val="0"/>
          <w:sz w:val="21"/>
          <w:szCs w:val="20"/>
        </w:rPr>
        <w:br w:type="textWrapping"/>
      </w:r>
      <w:r>
        <w:rPr>
          <w:rFonts w:hint="eastAsia" w:ascii="黑体" w:hAnsi="Times New Roman" w:eastAsia="黑体" w:cs="Times New Roman"/>
          <w:color w:val="auto"/>
          <w:kern w:val="0"/>
          <w:sz w:val="21"/>
          <w:szCs w:val="20"/>
          <w:lang w:eastAsia="zh-CN"/>
        </w:rPr>
        <w:t>排土场（废石堆）</w:t>
      </w:r>
      <w:r>
        <w:rPr>
          <w:rFonts w:hint="eastAsia" w:ascii="黑体" w:hAnsi="Times New Roman" w:eastAsia="黑体" w:cs="Times New Roman"/>
          <w:color w:val="auto"/>
          <w:kern w:val="0"/>
          <w:sz w:val="21"/>
          <w:szCs w:val="20"/>
        </w:rPr>
        <w:t>生态修复工程（项目）项目绩效自评</w:t>
      </w:r>
      <w:bookmarkEnd w:id="211"/>
      <w:bookmarkEnd w:id="212"/>
      <w:bookmarkEnd w:id="213"/>
      <w:bookmarkEnd w:id="214"/>
      <w:bookmarkEnd w:id="215"/>
      <w:bookmarkEnd w:id="216"/>
    </w:p>
    <w:p w14:paraId="2F6186FD">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17" w:name="_Toc17898"/>
      <w:bookmarkStart w:id="218" w:name="_Toc24671"/>
      <w:r>
        <w:rPr>
          <w:rFonts w:hint="eastAsia" w:ascii="Times New Roman" w:hAnsi="Times New Roman" w:cs="Times New Roman"/>
          <w:color w:val="auto"/>
          <w:kern w:val="0"/>
          <w:sz w:val="21"/>
          <w:szCs w:val="21"/>
        </w:rPr>
        <w:t>D</w:t>
      </w:r>
      <w:r>
        <w:rPr>
          <w:rFonts w:ascii="Times New Roman" w:hAnsi="Times New Roman" w:cs="Times New Roman"/>
          <w:color w:val="auto"/>
          <w:kern w:val="0"/>
          <w:sz w:val="21"/>
          <w:szCs w:val="21"/>
        </w:rPr>
        <w:t>.1 工程</w:t>
      </w:r>
      <w:r>
        <w:rPr>
          <w:rFonts w:hint="eastAsia" w:ascii="Times New Roman" w:hAnsi="Times New Roman" w:cs="Times New Roman"/>
          <w:color w:val="auto"/>
          <w:kern w:val="0"/>
          <w:sz w:val="21"/>
          <w:szCs w:val="21"/>
        </w:rPr>
        <w:t>自验</w:t>
      </w:r>
      <w:r>
        <w:rPr>
          <w:rFonts w:ascii="Times New Roman" w:hAnsi="Times New Roman" w:cs="Times New Roman"/>
          <w:color w:val="auto"/>
          <w:kern w:val="0"/>
          <w:sz w:val="21"/>
          <w:szCs w:val="21"/>
        </w:rPr>
        <w:t>通过后，项目实施责任单位应对工程绩效目标完成情况进行评价，将目标完成值与设计目标值进行对照、评定打分，出具项目绩效自评价报告。</w:t>
      </w:r>
      <w:bookmarkEnd w:id="217"/>
      <w:bookmarkEnd w:id="218"/>
    </w:p>
    <w:p w14:paraId="497B1F65">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19" w:name="_Toc17927"/>
      <w:bookmarkStart w:id="220" w:name="_Toc5011"/>
      <w:r>
        <w:rPr>
          <w:rFonts w:hint="eastAsia" w:ascii="Times New Roman" w:hAnsi="Times New Roman" w:cs="Times New Roman"/>
          <w:color w:val="auto"/>
          <w:kern w:val="0"/>
          <w:sz w:val="21"/>
          <w:szCs w:val="21"/>
        </w:rPr>
        <w:t>D</w:t>
      </w:r>
      <w:r>
        <w:rPr>
          <w:rFonts w:ascii="Times New Roman" w:hAnsi="Times New Roman" w:cs="Times New Roman"/>
          <w:color w:val="auto"/>
          <w:kern w:val="0"/>
          <w:sz w:val="21"/>
          <w:szCs w:val="21"/>
        </w:rPr>
        <w:t>.2 绩效考核指标分为一级指标、二级指标、三级指标，满分值100。一、二级指标及其分值设定见表</w:t>
      </w:r>
      <w:r>
        <w:rPr>
          <w:rFonts w:hint="eastAsia" w:ascii="Times New Roman" w:hAnsi="Times New Roman" w:cs="Times New Roman"/>
          <w:color w:val="auto"/>
          <w:kern w:val="0"/>
          <w:sz w:val="21"/>
          <w:szCs w:val="21"/>
        </w:rPr>
        <w:t>D</w:t>
      </w:r>
      <w:r>
        <w:rPr>
          <w:rFonts w:ascii="Times New Roman" w:hAnsi="Times New Roman" w:cs="Times New Roman"/>
          <w:color w:val="auto"/>
          <w:kern w:val="0"/>
          <w:sz w:val="21"/>
          <w:szCs w:val="21"/>
        </w:rPr>
        <w:t>.1，三级指标、三级指标分值及其评定标准由设计单位在设计时明确。</w:t>
      </w:r>
      <w:bookmarkEnd w:id="219"/>
      <w:bookmarkEnd w:id="220"/>
    </w:p>
    <w:p w14:paraId="45179E00">
      <w:pPr>
        <w:widowControl/>
        <w:overflowPunct/>
        <w:adjustRightInd w:val="0"/>
        <w:snapToGrid w:val="0"/>
        <w:spacing w:before="312" w:beforeLines="100" w:after="312" w:afterLines="100"/>
        <w:ind w:firstLine="0" w:firstLineChars="0"/>
        <w:textAlignment w:val="auto"/>
        <w:outlineLvl w:val="2"/>
        <w:rPr>
          <w:rFonts w:ascii="Times New Roman" w:hAnsi="Times New Roman" w:cs="Times New Roman"/>
          <w:color w:val="auto"/>
          <w:kern w:val="0"/>
          <w:sz w:val="21"/>
          <w:szCs w:val="21"/>
        </w:rPr>
      </w:pPr>
      <w:bookmarkStart w:id="221" w:name="_Toc3602"/>
      <w:bookmarkStart w:id="222" w:name="_Toc18039"/>
      <w:r>
        <w:rPr>
          <w:rFonts w:hint="eastAsia" w:ascii="Times New Roman" w:hAnsi="Times New Roman" w:cs="Times New Roman"/>
          <w:color w:val="auto"/>
          <w:kern w:val="0"/>
          <w:sz w:val="21"/>
          <w:szCs w:val="21"/>
        </w:rPr>
        <w:t>D</w:t>
      </w:r>
      <w:r>
        <w:rPr>
          <w:rFonts w:ascii="Times New Roman" w:hAnsi="Times New Roman" w:cs="Times New Roman"/>
          <w:color w:val="auto"/>
          <w:kern w:val="0"/>
          <w:sz w:val="21"/>
          <w:szCs w:val="21"/>
        </w:rPr>
        <w:t>.3 绩效自评报告编写大纲。</w:t>
      </w:r>
      <w:bookmarkEnd w:id="221"/>
      <w:bookmarkEnd w:id="222"/>
    </w:p>
    <w:p w14:paraId="7B082145">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第一章、基本情况</w:t>
      </w:r>
    </w:p>
    <w:p w14:paraId="48780224">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一、项目概况</w:t>
      </w:r>
    </w:p>
    <w:p w14:paraId="5D455440">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二、总体目标</w:t>
      </w:r>
    </w:p>
    <w:p w14:paraId="71CE5011">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三、评价工作情况</w:t>
      </w:r>
    </w:p>
    <w:p w14:paraId="6A385C1B">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第二章、绩效指标完成情况分析</w:t>
      </w:r>
    </w:p>
    <w:p w14:paraId="4581EE13">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一、产出指标完成情况分析</w:t>
      </w:r>
    </w:p>
    <w:p w14:paraId="584A3674">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二、效益指标完成情况分析</w:t>
      </w:r>
    </w:p>
    <w:p w14:paraId="4AE85D1B">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三、满意度指标完成情况分析</w:t>
      </w:r>
    </w:p>
    <w:p w14:paraId="408C592C">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包括：二、三级指标完成情况及一、二、三级指标得分。</w:t>
      </w:r>
    </w:p>
    <w:p w14:paraId="7158CE9E">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第三章、绩效综合评价</w:t>
      </w:r>
    </w:p>
    <w:p w14:paraId="0289B4E6">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一、总体绩效评价</w:t>
      </w:r>
    </w:p>
    <w:p w14:paraId="420E2A51">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包括：总体目标完成情况、总分。</w:t>
      </w:r>
    </w:p>
    <w:p w14:paraId="27AB1138">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二、问题分析</w:t>
      </w:r>
    </w:p>
    <w:p w14:paraId="06371D78">
      <w:pPr>
        <w:overflowPunct/>
        <w:adjustRightInd w:val="0"/>
        <w:snapToGrid w:val="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包括：存在的问题，未完成原因、改进措施。</w:t>
      </w:r>
    </w:p>
    <w:p w14:paraId="227B9A06">
      <w:pPr>
        <w:overflowPunct/>
        <w:adjustRightInd w:val="0"/>
        <w:snapToGrid w:val="0"/>
        <w:spacing w:before="156" w:beforeLines="50" w:after="156" w:afterLines="50"/>
        <w:ind w:firstLine="420"/>
        <w:jc w:val="both"/>
        <w:textAlignment w:val="auto"/>
        <w:rPr>
          <w:rFonts w:ascii="Times New Roman" w:hAnsi="Times New Roman" w:cs="Times New Roman"/>
          <w:color w:val="auto"/>
          <w:sz w:val="21"/>
          <w:szCs w:val="22"/>
        </w:rPr>
      </w:pPr>
      <w:r>
        <w:rPr>
          <w:rFonts w:hint="eastAsia" w:ascii="Times New Roman" w:hAnsi="Times New Roman" w:cs="Times New Roman"/>
          <w:color w:val="auto"/>
          <w:sz w:val="21"/>
          <w:szCs w:val="22"/>
        </w:rPr>
        <w:t>三、其他需要说明的问题</w:t>
      </w:r>
    </w:p>
    <w:p w14:paraId="426A90E9">
      <w:pPr>
        <w:overflowPunct/>
        <w:adjustRightInd w:val="0"/>
        <w:snapToGrid w:val="0"/>
        <w:ind w:firstLine="420"/>
        <w:jc w:val="both"/>
        <w:textAlignment w:val="auto"/>
        <w:rPr>
          <w:rFonts w:ascii="Times New Roman" w:hAnsi="Times New Roman" w:cs="Times New Roman"/>
          <w:color w:val="auto"/>
          <w:sz w:val="21"/>
          <w:szCs w:val="22"/>
        </w:rPr>
        <w:sectPr>
          <w:pgSz w:w="11906" w:h="16838"/>
          <w:pgMar w:top="567" w:right="1134" w:bottom="1134" w:left="1418" w:header="1418" w:footer="1134" w:gutter="0"/>
          <w:pgNumType w:fmt="decimal"/>
          <w:cols w:space="425" w:num="1"/>
          <w:docGrid w:type="lines" w:linePitch="312" w:charSpace="0"/>
        </w:sectPr>
      </w:pPr>
    </w:p>
    <w:p w14:paraId="0E4EF553">
      <w:pPr>
        <w:widowControl/>
        <w:overflowPunct/>
        <w:autoSpaceDE w:val="0"/>
        <w:autoSpaceDN w:val="0"/>
        <w:adjustRightInd w:val="0"/>
        <w:snapToGrid w:val="0"/>
        <w:spacing w:before="120" w:beforeLines="50" w:after="120" w:afterLines="50"/>
        <w:ind w:firstLine="0" w:firstLineChars="0"/>
        <w:jc w:val="center"/>
        <w:textAlignment w:val="auto"/>
        <w:rPr>
          <w:rFonts w:ascii="Times New Roman" w:hAnsi="Times New Roman" w:eastAsia="黑体" w:cs="Times New Roman"/>
          <w:color w:val="auto"/>
          <w:kern w:val="0"/>
          <w:sz w:val="21"/>
          <w:szCs w:val="20"/>
        </w:rPr>
      </w:pPr>
      <w:r>
        <w:rPr>
          <w:rFonts w:ascii="Times New Roman" w:hAnsi="Times New Roman" w:eastAsia="黑体" w:cs="Times New Roman"/>
          <w:color w:val="auto"/>
          <w:kern w:val="0"/>
          <w:sz w:val="21"/>
          <w:szCs w:val="20"/>
        </w:rPr>
        <w:t>表</w:t>
      </w:r>
      <w:r>
        <w:rPr>
          <w:rFonts w:hint="eastAsia" w:ascii="Times New Roman" w:hAnsi="Times New Roman" w:eastAsia="黑体" w:cs="Times New Roman"/>
          <w:color w:val="auto"/>
          <w:kern w:val="0"/>
          <w:sz w:val="21"/>
          <w:szCs w:val="20"/>
        </w:rPr>
        <w:t>D</w:t>
      </w:r>
      <w:r>
        <w:rPr>
          <w:rFonts w:ascii="Times New Roman" w:hAnsi="Times New Roman" w:eastAsia="黑体" w:cs="Times New Roman"/>
          <w:color w:val="auto"/>
          <w:kern w:val="0"/>
          <w:sz w:val="21"/>
          <w:szCs w:val="20"/>
        </w:rPr>
        <w:t xml:space="preserve">.1 </w:t>
      </w:r>
      <w:r>
        <w:rPr>
          <w:rFonts w:hint="eastAsia" w:ascii="Times New Roman" w:hAnsi="Times New Roman" w:eastAsia="黑体" w:cs="Times New Roman"/>
          <w:color w:val="auto"/>
          <w:kern w:val="0"/>
          <w:sz w:val="21"/>
          <w:szCs w:val="20"/>
          <w:lang w:eastAsia="zh-CN"/>
        </w:rPr>
        <w:t>排土场（废石堆）</w:t>
      </w:r>
      <w:r>
        <w:rPr>
          <w:rFonts w:ascii="Times New Roman" w:hAnsi="Times New Roman" w:eastAsia="黑体" w:cs="Times New Roman"/>
          <w:color w:val="auto"/>
          <w:kern w:val="0"/>
          <w:sz w:val="21"/>
          <w:szCs w:val="20"/>
        </w:rPr>
        <w:t>生态修复工程验收绩效自评表</w:t>
      </w:r>
    </w:p>
    <w:tbl>
      <w:tblPr>
        <w:tblStyle w:val="7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29"/>
        <w:gridCol w:w="1044"/>
        <w:gridCol w:w="339"/>
        <w:gridCol w:w="1083"/>
        <w:gridCol w:w="1501"/>
        <w:gridCol w:w="669"/>
        <w:gridCol w:w="444"/>
        <w:gridCol w:w="978"/>
        <w:gridCol w:w="1154"/>
        <w:gridCol w:w="1128"/>
      </w:tblGrid>
      <w:tr w14:paraId="05587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87" w:type="pct"/>
            <w:gridSpan w:val="3"/>
            <w:vAlign w:val="center"/>
          </w:tcPr>
          <w:p w14:paraId="3F0D19E4">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项目</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工程</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名称</w:t>
            </w:r>
          </w:p>
        </w:tc>
        <w:tc>
          <w:tcPr>
            <w:tcW w:w="3713" w:type="pct"/>
            <w:gridSpan w:val="7"/>
            <w:vAlign w:val="center"/>
          </w:tcPr>
          <w:p w14:paraId="019E1B18">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3B36C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Align w:val="center"/>
          </w:tcPr>
          <w:p w14:paraId="2A107358">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项目实施责任单位</w:t>
            </w:r>
          </w:p>
        </w:tc>
        <w:tc>
          <w:tcPr>
            <w:tcW w:w="3713" w:type="pct"/>
            <w:gridSpan w:val="7"/>
            <w:vAlign w:val="center"/>
          </w:tcPr>
          <w:p w14:paraId="5F1BECB9">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5C1B1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Align w:val="center"/>
          </w:tcPr>
          <w:p w14:paraId="48DFD49B">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项目施工单位</w:t>
            </w:r>
          </w:p>
        </w:tc>
        <w:tc>
          <w:tcPr>
            <w:tcW w:w="3713" w:type="pct"/>
            <w:gridSpan w:val="7"/>
            <w:vAlign w:val="center"/>
          </w:tcPr>
          <w:p w14:paraId="1D57B20E">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576D7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87" w:type="pct"/>
            <w:gridSpan w:val="3"/>
            <w:vMerge w:val="restart"/>
            <w:tcBorders>
              <w:bottom w:val="nil"/>
            </w:tcBorders>
            <w:vAlign w:val="center"/>
          </w:tcPr>
          <w:p w14:paraId="1F7087DD">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资金来源</w:t>
            </w:r>
          </w:p>
        </w:tc>
        <w:tc>
          <w:tcPr>
            <w:tcW w:w="1736" w:type="pct"/>
            <w:gridSpan w:val="3"/>
            <w:vMerge w:val="restart"/>
            <w:tcBorders>
              <w:bottom w:val="nil"/>
            </w:tcBorders>
            <w:vAlign w:val="center"/>
          </w:tcPr>
          <w:p w14:paraId="7E68ACE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6E5DF7A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预算数</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万元</w:t>
            </w:r>
            <w:r>
              <w:rPr>
                <w:rFonts w:hint="eastAsia" w:ascii="Times New Roman" w:hAnsi="Times New Roman" w:cs="Times New Roman"/>
                <w:color w:val="auto"/>
                <w:sz w:val="18"/>
                <w:szCs w:val="22"/>
                <w:lang w:eastAsia="zh-CN"/>
              </w:rPr>
              <w:t>）</w:t>
            </w:r>
          </w:p>
        </w:tc>
        <w:tc>
          <w:tcPr>
            <w:tcW w:w="1219" w:type="pct"/>
            <w:gridSpan w:val="2"/>
            <w:vAlign w:val="center"/>
          </w:tcPr>
          <w:p w14:paraId="497141EC">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4E91E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87" w:type="pct"/>
            <w:gridSpan w:val="3"/>
            <w:vMerge w:val="continue"/>
            <w:tcBorders>
              <w:top w:val="nil"/>
            </w:tcBorders>
            <w:vAlign w:val="center"/>
          </w:tcPr>
          <w:p w14:paraId="01C4C6AB">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1736" w:type="pct"/>
            <w:gridSpan w:val="3"/>
            <w:vMerge w:val="continue"/>
            <w:tcBorders>
              <w:top w:val="nil"/>
            </w:tcBorders>
            <w:vAlign w:val="center"/>
          </w:tcPr>
          <w:p w14:paraId="2129364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0CDB7CEF">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决算数</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万元</w:t>
            </w:r>
            <w:r>
              <w:rPr>
                <w:rFonts w:hint="eastAsia" w:ascii="Times New Roman" w:hAnsi="Times New Roman" w:cs="Times New Roman"/>
                <w:color w:val="auto"/>
                <w:sz w:val="18"/>
                <w:szCs w:val="22"/>
                <w:lang w:eastAsia="zh-CN"/>
              </w:rPr>
              <w:t>）</w:t>
            </w:r>
          </w:p>
        </w:tc>
        <w:tc>
          <w:tcPr>
            <w:tcW w:w="1219" w:type="pct"/>
            <w:gridSpan w:val="2"/>
            <w:vAlign w:val="center"/>
          </w:tcPr>
          <w:p w14:paraId="49C41C4A">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39DCD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9" w:type="pct"/>
            <w:vAlign w:val="center"/>
          </w:tcPr>
          <w:p w14:paraId="3B8CA360">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总体目标</w:t>
            </w:r>
          </w:p>
        </w:tc>
        <w:tc>
          <w:tcPr>
            <w:tcW w:w="4451" w:type="pct"/>
            <w:gridSpan w:val="9"/>
            <w:vAlign w:val="center"/>
          </w:tcPr>
          <w:p w14:paraId="70175AEC">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02A09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9" w:type="pct"/>
            <w:vMerge w:val="restart"/>
            <w:tcBorders>
              <w:bottom w:val="nil"/>
            </w:tcBorders>
            <w:vAlign w:val="center"/>
          </w:tcPr>
          <w:p w14:paraId="1172A1D0">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绩效指标</w:t>
            </w:r>
          </w:p>
        </w:tc>
        <w:tc>
          <w:tcPr>
            <w:tcW w:w="557" w:type="pct"/>
            <w:vAlign w:val="center"/>
          </w:tcPr>
          <w:p w14:paraId="2A9BFACF">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一级指标</w:t>
            </w:r>
          </w:p>
        </w:tc>
        <w:tc>
          <w:tcPr>
            <w:tcW w:w="759" w:type="pct"/>
            <w:gridSpan w:val="2"/>
            <w:vAlign w:val="center"/>
          </w:tcPr>
          <w:p w14:paraId="35BC1A09">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二级指标</w:t>
            </w:r>
          </w:p>
        </w:tc>
        <w:tc>
          <w:tcPr>
            <w:tcW w:w="801" w:type="pct"/>
            <w:vAlign w:val="center"/>
          </w:tcPr>
          <w:p w14:paraId="6AC0FB6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三级指标</w:t>
            </w:r>
          </w:p>
        </w:tc>
        <w:tc>
          <w:tcPr>
            <w:tcW w:w="594" w:type="pct"/>
            <w:gridSpan w:val="2"/>
            <w:vAlign w:val="center"/>
          </w:tcPr>
          <w:p w14:paraId="4122995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目标值</w:t>
            </w:r>
          </w:p>
        </w:tc>
        <w:tc>
          <w:tcPr>
            <w:tcW w:w="520" w:type="pct"/>
            <w:vAlign w:val="center"/>
          </w:tcPr>
          <w:p w14:paraId="5B590186">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完成值</w:t>
            </w:r>
          </w:p>
        </w:tc>
        <w:tc>
          <w:tcPr>
            <w:tcW w:w="616" w:type="pct"/>
            <w:vAlign w:val="center"/>
          </w:tcPr>
          <w:p w14:paraId="14BA4D3E">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评定得分</w:t>
            </w:r>
          </w:p>
        </w:tc>
        <w:tc>
          <w:tcPr>
            <w:tcW w:w="603" w:type="pct"/>
            <w:vAlign w:val="center"/>
          </w:tcPr>
          <w:p w14:paraId="39901572">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未完成原因</w:t>
            </w:r>
          </w:p>
        </w:tc>
      </w:tr>
      <w:tr w14:paraId="74C63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1FBBFD5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restart"/>
            <w:tcBorders>
              <w:bottom w:val="nil"/>
            </w:tcBorders>
            <w:vAlign w:val="center"/>
          </w:tcPr>
          <w:p w14:paraId="400BA7BE">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产出指标</w:t>
            </w:r>
          </w:p>
          <w:p w14:paraId="087AA1D3">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50分</w:t>
            </w:r>
            <w:r>
              <w:rPr>
                <w:rFonts w:hint="eastAsia" w:ascii="Times New Roman" w:hAnsi="Times New Roman" w:cs="Times New Roman"/>
                <w:color w:val="auto"/>
                <w:sz w:val="18"/>
                <w:szCs w:val="22"/>
                <w:lang w:eastAsia="zh-CN"/>
              </w:rPr>
              <w:t>）</w:t>
            </w:r>
          </w:p>
        </w:tc>
        <w:tc>
          <w:tcPr>
            <w:tcW w:w="759" w:type="pct"/>
            <w:gridSpan w:val="2"/>
            <w:vAlign w:val="center"/>
          </w:tcPr>
          <w:p w14:paraId="7474F6EA">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2"/>
                <w:sz w:val="18"/>
                <w:szCs w:val="22"/>
              </w:rPr>
              <w:t>数量指标</w:t>
            </w:r>
            <w:r>
              <w:rPr>
                <w:rFonts w:hint="eastAsia" w:ascii="Times New Roman" w:hAnsi="Times New Roman" w:cs="Times New Roman"/>
                <w:color w:val="auto"/>
                <w:spacing w:val="-2"/>
                <w:sz w:val="18"/>
                <w:szCs w:val="22"/>
                <w:lang w:eastAsia="zh-CN"/>
              </w:rPr>
              <w:t>（</w:t>
            </w:r>
            <w:r>
              <w:rPr>
                <w:rFonts w:ascii="Times New Roman" w:hAnsi="Times New Roman" w:cs="Times New Roman"/>
                <w:color w:val="auto"/>
                <w:sz w:val="18"/>
                <w:szCs w:val="22"/>
              </w:rPr>
              <w:t>20分</w:t>
            </w:r>
            <w:r>
              <w:rPr>
                <w:rFonts w:hint="eastAsia" w:ascii="Times New Roman" w:hAnsi="Times New Roman" w:cs="Times New Roman"/>
                <w:color w:val="auto"/>
                <w:sz w:val="18"/>
                <w:szCs w:val="22"/>
                <w:lang w:eastAsia="zh-CN"/>
              </w:rPr>
              <w:t>）</w:t>
            </w:r>
          </w:p>
        </w:tc>
        <w:tc>
          <w:tcPr>
            <w:tcW w:w="801" w:type="pct"/>
            <w:vAlign w:val="center"/>
          </w:tcPr>
          <w:p w14:paraId="5F500E86">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3FFF92B3">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00D094D5">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5D173C9B">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12728197">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0EB3C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549" w:type="pct"/>
            <w:vMerge w:val="continue"/>
            <w:tcBorders>
              <w:top w:val="nil"/>
              <w:bottom w:val="nil"/>
            </w:tcBorders>
            <w:vAlign w:val="center"/>
          </w:tcPr>
          <w:p w14:paraId="156EFF1B">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bottom w:val="nil"/>
            </w:tcBorders>
            <w:vAlign w:val="center"/>
          </w:tcPr>
          <w:p w14:paraId="26FEF85B">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656EEF12">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2"/>
                <w:sz w:val="18"/>
                <w:szCs w:val="22"/>
              </w:rPr>
              <w:t>质量指标</w:t>
            </w:r>
            <w:r>
              <w:rPr>
                <w:rFonts w:hint="eastAsia" w:ascii="Times New Roman" w:hAnsi="Times New Roman" w:cs="Times New Roman"/>
                <w:color w:val="auto"/>
                <w:spacing w:val="-2"/>
                <w:sz w:val="18"/>
                <w:szCs w:val="22"/>
                <w:lang w:eastAsia="zh-CN"/>
              </w:rPr>
              <w:t>（</w:t>
            </w:r>
            <w:r>
              <w:rPr>
                <w:rFonts w:ascii="Times New Roman" w:hAnsi="Times New Roman" w:cs="Times New Roman"/>
                <w:color w:val="auto"/>
                <w:sz w:val="18"/>
                <w:szCs w:val="22"/>
              </w:rPr>
              <w:t>15分</w:t>
            </w:r>
            <w:r>
              <w:rPr>
                <w:rFonts w:hint="eastAsia" w:ascii="Times New Roman" w:hAnsi="Times New Roman" w:cs="Times New Roman"/>
                <w:color w:val="auto"/>
                <w:sz w:val="18"/>
                <w:szCs w:val="22"/>
                <w:lang w:eastAsia="zh-CN"/>
              </w:rPr>
              <w:t>）</w:t>
            </w:r>
          </w:p>
        </w:tc>
        <w:tc>
          <w:tcPr>
            <w:tcW w:w="801" w:type="pct"/>
            <w:vAlign w:val="center"/>
          </w:tcPr>
          <w:p w14:paraId="268A13C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7FC6DA3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440008C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3E0A5929">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2E7B067A">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63578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72FD5A2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bottom w:val="nil"/>
            </w:tcBorders>
            <w:vAlign w:val="center"/>
          </w:tcPr>
          <w:p w14:paraId="4315B7C8">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373FB2E2">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时效指标</w:t>
            </w:r>
            <w:r>
              <w:rPr>
                <w:rFonts w:hint="eastAsia" w:ascii="Times New Roman" w:hAnsi="Times New Roman" w:cs="Times New Roman"/>
                <w:color w:val="auto"/>
                <w:sz w:val="18"/>
                <w:szCs w:val="22"/>
                <w:lang w:eastAsia="zh-CN"/>
              </w:rPr>
              <w:t>（</w:t>
            </w:r>
            <w:r>
              <w:rPr>
                <w:rFonts w:ascii="Times New Roman" w:hAnsi="Times New Roman" w:cs="Times New Roman"/>
                <w:color w:val="auto"/>
                <w:spacing w:val="8"/>
                <w:sz w:val="18"/>
                <w:szCs w:val="22"/>
              </w:rPr>
              <w:t>10分</w:t>
            </w:r>
            <w:r>
              <w:rPr>
                <w:rFonts w:hint="eastAsia" w:ascii="Times New Roman" w:hAnsi="Times New Roman" w:cs="Times New Roman"/>
                <w:color w:val="auto"/>
                <w:spacing w:val="8"/>
                <w:sz w:val="18"/>
                <w:szCs w:val="22"/>
                <w:lang w:eastAsia="zh-CN"/>
              </w:rPr>
              <w:t>）</w:t>
            </w:r>
          </w:p>
        </w:tc>
        <w:tc>
          <w:tcPr>
            <w:tcW w:w="801" w:type="pct"/>
            <w:vAlign w:val="center"/>
          </w:tcPr>
          <w:p w14:paraId="0C00D71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3AB6A4A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16E37D68">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3A24E4C4">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089ECCC0">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2D63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49" w:type="pct"/>
            <w:vMerge w:val="continue"/>
            <w:tcBorders>
              <w:top w:val="nil"/>
              <w:bottom w:val="nil"/>
            </w:tcBorders>
            <w:vAlign w:val="center"/>
          </w:tcPr>
          <w:p w14:paraId="1E57B25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tcBorders>
            <w:vAlign w:val="center"/>
          </w:tcPr>
          <w:p w14:paraId="2E338A39">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6121E08D">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成本指标</w:t>
            </w:r>
            <w:r>
              <w:rPr>
                <w:rFonts w:hint="eastAsia" w:ascii="Times New Roman" w:hAnsi="Times New Roman" w:cs="Times New Roman"/>
                <w:color w:val="auto"/>
                <w:sz w:val="18"/>
                <w:szCs w:val="22"/>
                <w:lang w:eastAsia="zh-CN"/>
              </w:rPr>
              <w:t>（</w:t>
            </w:r>
            <w:r>
              <w:rPr>
                <w:rFonts w:ascii="Times New Roman" w:hAnsi="Times New Roman" w:cs="Times New Roman"/>
                <w:color w:val="auto"/>
                <w:spacing w:val="11"/>
                <w:sz w:val="18"/>
                <w:szCs w:val="22"/>
              </w:rPr>
              <w:t>5分</w:t>
            </w:r>
            <w:r>
              <w:rPr>
                <w:rFonts w:hint="eastAsia" w:ascii="Times New Roman" w:hAnsi="Times New Roman" w:cs="Times New Roman"/>
                <w:color w:val="auto"/>
                <w:spacing w:val="11"/>
                <w:sz w:val="18"/>
                <w:szCs w:val="22"/>
                <w:lang w:eastAsia="zh-CN"/>
              </w:rPr>
              <w:t>）</w:t>
            </w:r>
          </w:p>
        </w:tc>
        <w:tc>
          <w:tcPr>
            <w:tcW w:w="801" w:type="pct"/>
            <w:vAlign w:val="center"/>
          </w:tcPr>
          <w:p w14:paraId="3AEEBF0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1E68B986">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1E284701">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45C6F2E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118E508E">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595B5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785E41D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restart"/>
            <w:tcBorders>
              <w:bottom w:val="nil"/>
            </w:tcBorders>
            <w:vAlign w:val="center"/>
          </w:tcPr>
          <w:p w14:paraId="2CB0EB8D">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效益指标</w:t>
            </w:r>
          </w:p>
          <w:p w14:paraId="201A0B65">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30分</w:t>
            </w:r>
            <w:r>
              <w:rPr>
                <w:rFonts w:hint="eastAsia" w:ascii="Times New Roman" w:hAnsi="Times New Roman" w:cs="Times New Roman"/>
                <w:color w:val="auto"/>
                <w:sz w:val="18"/>
                <w:szCs w:val="22"/>
                <w:lang w:eastAsia="zh-CN"/>
              </w:rPr>
              <w:t>）</w:t>
            </w:r>
          </w:p>
        </w:tc>
        <w:tc>
          <w:tcPr>
            <w:tcW w:w="759" w:type="pct"/>
            <w:gridSpan w:val="2"/>
            <w:vAlign w:val="center"/>
          </w:tcPr>
          <w:p w14:paraId="6D4094D5">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经济效益指标</w:t>
            </w:r>
          </w:p>
          <w:p w14:paraId="0F69A6FE">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2"/>
                <w:sz w:val="18"/>
                <w:szCs w:val="22"/>
              </w:rPr>
              <w:t>（</w:t>
            </w:r>
            <w:r>
              <w:rPr>
                <w:rFonts w:ascii="Times New Roman" w:hAnsi="Times New Roman" w:cs="Times New Roman"/>
                <w:color w:val="auto"/>
                <w:sz w:val="18"/>
                <w:szCs w:val="22"/>
              </w:rPr>
              <w:t>10分</w:t>
            </w:r>
            <w:r>
              <w:rPr>
                <w:rFonts w:hint="eastAsia" w:ascii="Times New Roman" w:hAnsi="Times New Roman" w:cs="Times New Roman"/>
                <w:color w:val="auto"/>
                <w:sz w:val="18"/>
                <w:szCs w:val="22"/>
                <w:lang w:eastAsia="zh-CN"/>
              </w:rPr>
              <w:t>）</w:t>
            </w:r>
          </w:p>
        </w:tc>
        <w:tc>
          <w:tcPr>
            <w:tcW w:w="801" w:type="pct"/>
            <w:vAlign w:val="center"/>
          </w:tcPr>
          <w:p w14:paraId="3EAEA844">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5E7D0391">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45C755D8">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67BB05C1">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5FD78325">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295F4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549" w:type="pct"/>
            <w:vMerge w:val="continue"/>
            <w:tcBorders>
              <w:top w:val="nil"/>
              <w:bottom w:val="nil"/>
            </w:tcBorders>
            <w:vAlign w:val="center"/>
          </w:tcPr>
          <w:p w14:paraId="2E5AB50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bottom w:val="nil"/>
            </w:tcBorders>
            <w:vAlign w:val="center"/>
          </w:tcPr>
          <w:p w14:paraId="76EA86A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789F8ABE">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社会效益指标</w:t>
            </w:r>
          </w:p>
          <w:p w14:paraId="7A29C936">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5分</w:t>
            </w:r>
            <w:r>
              <w:rPr>
                <w:rFonts w:hint="eastAsia" w:ascii="Times New Roman" w:hAnsi="Times New Roman" w:cs="Times New Roman"/>
                <w:color w:val="auto"/>
                <w:sz w:val="18"/>
                <w:szCs w:val="22"/>
                <w:lang w:eastAsia="zh-CN"/>
              </w:rPr>
              <w:t>）</w:t>
            </w:r>
          </w:p>
        </w:tc>
        <w:tc>
          <w:tcPr>
            <w:tcW w:w="801" w:type="pct"/>
            <w:vAlign w:val="center"/>
          </w:tcPr>
          <w:p w14:paraId="2A7BD1F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53C8F3ED">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4695F1D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623DE5EB">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57E5B5D3">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5F4A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49" w:type="pct"/>
            <w:vMerge w:val="continue"/>
            <w:tcBorders>
              <w:top w:val="nil"/>
              <w:bottom w:val="nil"/>
            </w:tcBorders>
            <w:vAlign w:val="center"/>
          </w:tcPr>
          <w:p w14:paraId="3307D980">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bottom w:val="nil"/>
            </w:tcBorders>
            <w:vAlign w:val="center"/>
          </w:tcPr>
          <w:p w14:paraId="3F650905">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2EBE97DA">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生态效益指标</w:t>
            </w:r>
          </w:p>
          <w:p w14:paraId="03F8F190">
            <w:pPr>
              <w:overflowPunct/>
              <w:adjustRightInd w:val="0"/>
              <w:snapToGrid w:val="0"/>
              <w:ind w:firstLine="0" w:firstLineChars="0"/>
              <w:jc w:val="center"/>
              <w:textAlignment w:val="auto"/>
              <w:rPr>
                <w:rFonts w:ascii="Times New Roman" w:hAnsi="Times New Roman" w:cs="Times New Roman"/>
                <w:color w:val="auto"/>
                <w:sz w:val="18"/>
                <w:szCs w:val="22"/>
              </w:rPr>
            </w:pP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10分</w:t>
            </w:r>
            <w:r>
              <w:rPr>
                <w:rFonts w:hint="eastAsia" w:ascii="Times New Roman" w:hAnsi="Times New Roman" w:cs="Times New Roman"/>
                <w:color w:val="auto"/>
                <w:sz w:val="18"/>
                <w:szCs w:val="22"/>
                <w:lang w:eastAsia="zh-CN"/>
              </w:rPr>
              <w:t>）</w:t>
            </w:r>
          </w:p>
        </w:tc>
        <w:tc>
          <w:tcPr>
            <w:tcW w:w="801" w:type="pct"/>
            <w:vAlign w:val="center"/>
          </w:tcPr>
          <w:p w14:paraId="75214AD8">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344EF44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53622AAD">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2C43DDC5">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61E66421">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39715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549" w:type="pct"/>
            <w:vMerge w:val="continue"/>
            <w:tcBorders>
              <w:top w:val="nil"/>
              <w:bottom w:val="nil"/>
            </w:tcBorders>
            <w:vAlign w:val="center"/>
          </w:tcPr>
          <w:p w14:paraId="30E0C03A">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Merge w:val="continue"/>
            <w:tcBorders>
              <w:top w:val="nil"/>
            </w:tcBorders>
            <w:vAlign w:val="center"/>
          </w:tcPr>
          <w:p w14:paraId="09B220BA">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759" w:type="pct"/>
            <w:gridSpan w:val="2"/>
            <w:vAlign w:val="center"/>
          </w:tcPr>
          <w:p w14:paraId="4B2BC7DD">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z w:val="18"/>
                <w:szCs w:val="22"/>
              </w:rPr>
              <w:t>可持续影响指</w:t>
            </w:r>
            <w:r>
              <w:rPr>
                <w:rFonts w:ascii="Times New Roman" w:hAnsi="Times New Roman" w:cs="Times New Roman"/>
                <w:color w:val="auto"/>
                <w:spacing w:val="7"/>
                <w:sz w:val="18"/>
                <w:szCs w:val="22"/>
              </w:rPr>
              <w:t>标</w:t>
            </w:r>
            <w:r>
              <w:rPr>
                <w:rFonts w:hint="eastAsia" w:ascii="Times New Roman" w:hAnsi="Times New Roman" w:cs="Times New Roman"/>
                <w:color w:val="auto"/>
                <w:spacing w:val="7"/>
                <w:sz w:val="18"/>
                <w:szCs w:val="22"/>
                <w:lang w:eastAsia="zh-CN"/>
              </w:rPr>
              <w:t>（</w:t>
            </w:r>
            <w:r>
              <w:rPr>
                <w:rFonts w:ascii="Times New Roman" w:hAnsi="Times New Roman" w:cs="Times New Roman"/>
                <w:color w:val="auto"/>
                <w:spacing w:val="7"/>
                <w:sz w:val="18"/>
                <w:szCs w:val="22"/>
              </w:rPr>
              <w:t>5分</w:t>
            </w:r>
            <w:r>
              <w:rPr>
                <w:rFonts w:hint="eastAsia" w:ascii="Times New Roman" w:hAnsi="Times New Roman" w:cs="Times New Roman"/>
                <w:color w:val="auto"/>
                <w:spacing w:val="7"/>
                <w:sz w:val="18"/>
                <w:szCs w:val="22"/>
                <w:lang w:eastAsia="zh-CN"/>
              </w:rPr>
              <w:t>）</w:t>
            </w:r>
          </w:p>
        </w:tc>
        <w:tc>
          <w:tcPr>
            <w:tcW w:w="801" w:type="pct"/>
            <w:vAlign w:val="center"/>
          </w:tcPr>
          <w:p w14:paraId="3FEBCFDE">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74A15B2D">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69E68CF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744D9DCC">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38816015">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357B1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9" w:type="pct"/>
            <w:vMerge w:val="continue"/>
            <w:tcBorders>
              <w:top w:val="nil"/>
            </w:tcBorders>
            <w:vAlign w:val="center"/>
          </w:tcPr>
          <w:p w14:paraId="1CEA2D74">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57" w:type="pct"/>
            <w:vAlign w:val="center"/>
          </w:tcPr>
          <w:p w14:paraId="34E17196">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2"/>
                <w:sz w:val="18"/>
                <w:szCs w:val="22"/>
              </w:rPr>
              <w:t>满意度指</w:t>
            </w:r>
            <w:r>
              <w:rPr>
                <w:rFonts w:ascii="Times New Roman" w:hAnsi="Times New Roman" w:cs="Times New Roman"/>
                <w:color w:val="auto"/>
                <w:sz w:val="18"/>
                <w:szCs w:val="22"/>
              </w:rPr>
              <w:t>标</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20分</w:t>
            </w:r>
            <w:r>
              <w:rPr>
                <w:rFonts w:hint="eastAsia" w:ascii="Times New Roman" w:hAnsi="Times New Roman" w:cs="Times New Roman"/>
                <w:color w:val="auto"/>
                <w:sz w:val="18"/>
                <w:szCs w:val="22"/>
                <w:lang w:eastAsia="zh-CN"/>
              </w:rPr>
              <w:t>）</w:t>
            </w:r>
          </w:p>
        </w:tc>
        <w:tc>
          <w:tcPr>
            <w:tcW w:w="759" w:type="pct"/>
            <w:gridSpan w:val="2"/>
            <w:vAlign w:val="center"/>
          </w:tcPr>
          <w:p w14:paraId="73CEC683">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2"/>
                <w:sz w:val="18"/>
                <w:szCs w:val="22"/>
              </w:rPr>
              <w:t>服务对象满意</w:t>
            </w:r>
            <w:r>
              <w:rPr>
                <w:rFonts w:ascii="Times New Roman" w:hAnsi="Times New Roman" w:cs="Times New Roman"/>
                <w:color w:val="auto"/>
                <w:sz w:val="18"/>
                <w:szCs w:val="22"/>
              </w:rPr>
              <w:t>度指标</w:t>
            </w:r>
            <w:r>
              <w:rPr>
                <w:rFonts w:hint="eastAsia" w:ascii="Times New Roman" w:hAnsi="Times New Roman" w:cs="Times New Roman"/>
                <w:color w:val="auto"/>
                <w:sz w:val="18"/>
                <w:szCs w:val="22"/>
                <w:lang w:eastAsia="zh-CN"/>
              </w:rPr>
              <w:t>（</w:t>
            </w:r>
            <w:r>
              <w:rPr>
                <w:rFonts w:ascii="Times New Roman" w:hAnsi="Times New Roman" w:cs="Times New Roman"/>
                <w:color w:val="auto"/>
                <w:sz w:val="18"/>
                <w:szCs w:val="22"/>
              </w:rPr>
              <w:t>20分</w:t>
            </w:r>
            <w:r>
              <w:rPr>
                <w:rFonts w:hint="eastAsia" w:ascii="Times New Roman" w:hAnsi="Times New Roman" w:cs="Times New Roman"/>
                <w:color w:val="auto"/>
                <w:sz w:val="18"/>
                <w:szCs w:val="22"/>
                <w:lang w:eastAsia="zh-CN"/>
              </w:rPr>
              <w:t>）</w:t>
            </w:r>
          </w:p>
        </w:tc>
        <w:tc>
          <w:tcPr>
            <w:tcW w:w="801" w:type="pct"/>
            <w:vAlign w:val="center"/>
          </w:tcPr>
          <w:p w14:paraId="75FD9557">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94" w:type="pct"/>
            <w:gridSpan w:val="2"/>
            <w:vAlign w:val="center"/>
          </w:tcPr>
          <w:p w14:paraId="145910E2">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520" w:type="pct"/>
            <w:vAlign w:val="center"/>
          </w:tcPr>
          <w:p w14:paraId="3C43F57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16" w:type="pct"/>
            <w:vAlign w:val="center"/>
          </w:tcPr>
          <w:p w14:paraId="75FDF9CF">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vAlign w:val="center"/>
          </w:tcPr>
          <w:p w14:paraId="55B5197C">
            <w:pPr>
              <w:overflowPunct/>
              <w:adjustRightInd w:val="0"/>
              <w:snapToGrid w:val="0"/>
              <w:ind w:firstLine="0" w:firstLineChars="0"/>
              <w:jc w:val="center"/>
              <w:textAlignment w:val="auto"/>
              <w:rPr>
                <w:rFonts w:ascii="Times New Roman" w:hAnsi="Times New Roman" w:cs="Times New Roman"/>
                <w:color w:val="auto"/>
                <w:sz w:val="18"/>
                <w:szCs w:val="22"/>
              </w:rPr>
            </w:pPr>
          </w:p>
        </w:tc>
      </w:tr>
      <w:tr w14:paraId="1542E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3781" w:type="pct"/>
            <w:gridSpan w:val="8"/>
          </w:tcPr>
          <w:p w14:paraId="4586682E">
            <w:pPr>
              <w:overflowPunct/>
              <w:adjustRightInd w:val="0"/>
              <w:snapToGrid w:val="0"/>
              <w:ind w:firstLine="0" w:firstLineChars="0"/>
              <w:jc w:val="center"/>
              <w:textAlignment w:val="auto"/>
              <w:rPr>
                <w:rFonts w:ascii="Times New Roman" w:hAnsi="Times New Roman" w:cs="Times New Roman"/>
                <w:color w:val="auto"/>
                <w:sz w:val="18"/>
                <w:szCs w:val="22"/>
              </w:rPr>
            </w:pPr>
          </w:p>
          <w:p w14:paraId="1B7AF164">
            <w:pPr>
              <w:overflowPunct/>
              <w:adjustRightInd w:val="0"/>
              <w:snapToGrid w:val="0"/>
              <w:ind w:firstLine="0" w:firstLineChars="0"/>
              <w:jc w:val="center"/>
              <w:textAlignment w:val="auto"/>
              <w:rPr>
                <w:rFonts w:ascii="Times New Roman" w:hAnsi="Times New Roman" w:cs="Times New Roman"/>
                <w:color w:val="auto"/>
                <w:sz w:val="18"/>
                <w:szCs w:val="22"/>
              </w:rPr>
            </w:pPr>
            <w:r>
              <w:rPr>
                <w:rFonts w:ascii="Times New Roman" w:hAnsi="Times New Roman" w:cs="Times New Roman"/>
                <w:color w:val="auto"/>
                <w:spacing w:val="-5"/>
                <w:sz w:val="18"/>
                <w:szCs w:val="22"/>
              </w:rPr>
              <w:t>合</w:t>
            </w:r>
            <w:r>
              <w:rPr>
                <w:rFonts w:ascii="Times New Roman" w:hAnsi="Times New Roman" w:cs="Times New Roman"/>
                <w:color w:val="auto"/>
                <w:sz w:val="18"/>
                <w:szCs w:val="22"/>
              </w:rPr>
              <w:t xml:space="preserve">            </w:t>
            </w:r>
            <w:r>
              <w:rPr>
                <w:rFonts w:ascii="Times New Roman" w:hAnsi="Times New Roman" w:cs="Times New Roman"/>
                <w:color w:val="auto"/>
                <w:spacing w:val="-5"/>
                <w:sz w:val="18"/>
                <w:szCs w:val="22"/>
              </w:rPr>
              <w:t>计</w:t>
            </w:r>
          </w:p>
        </w:tc>
        <w:tc>
          <w:tcPr>
            <w:tcW w:w="616" w:type="pct"/>
          </w:tcPr>
          <w:p w14:paraId="4DA3A281">
            <w:pPr>
              <w:overflowPunct/>
              <w:adjustRightInd w:val="0"/>
              <w:snapToGrid w:val="0"/>
              <w:ind w:firstLine="0" w:firstLineChars="0"/>
              <w:jc w:val="center"/>
              <w:textAlignment w:val="auto"/>
              <w:rPr>
                <w:rFonts w:ascii="Times New Roman" w:hAnsi="Times New Roman" w:cs="Times New Roman"/>
                <w:color w:val="auto"/>
                <w:sz w:val="18"/>
                <w:szCs w:val="22"/>
              </w:rPr>
            </w:pPr>
          </w:p>
        </w:tc>
        <w:tc>
          <w:tcPr>
            <w:tcW w:w="603" w:type="pct"/>
          </w:tcPr>
          <w:p w14:paraId="517EC069">
            <w:pPr>
              <w:overflowPunct/>
              <w:adjustRightInd w:val="0"/>
              <w:snapToGrid w:val="0"/>
              <w:ind w:firstLine="0" w:firstLineChars="0"/>
              <w:jc w:val="center"/>
              <w:textAlignment w:val="auto"/>
              <w:rPr>
                <w:rFonts w:ascii="Times New Roman" w:hAnsi="Times New Roman" w:cs="Times New Roman"/>
                <w:color w:val="auto"/>
                <w:sz w:val="18"/>
                <w:szCs w:val="22"/>
              </w:rPr>
            </w:pPr>
          </w:p>
        </w:tc>
      </w:tr>
    </w:tbl>
    <w:p w14:paraId="2CEB41F7">
      <w:pPr>
        <w:overflowPunct/>
        <w:adjustRightInd w:val="0"/>
        <w:snapToGrid w:val="0"/>
        <w:ind w:firstLine="420"/>
        <w:jc w:val="both"/>
        <w:textAlignment w:val="auto"/>
        <w:rPr>
          <w:rFonts w:ascii="Times New Roman" w:hAnsi="Times New Roman" w:cs="Times New Roman"/>
          <w:color w:val="auto"/>
          <w:sz w:val="21"/>
          <w:szCs w:val="22"/>
        </w:rPr>
      </w:pPr>
    </w:p>
    <w:p w14:paraId="2A6BC640">
      <w:pPr>
        <w:spacing w:line="360" w:lineRule="auto"/>
        <w:ind w:right="113" w:firstLine="0" w:firstLineChars="0"/>
        <w:rPr>
          <w:color w:val="auto"/>
        </w:rPr>
        <w:sectPr>
          <w:footerReference r:id="rId18" w:type="default"/>
          <w:footerReference r:id="rId19" w:type="even"/>
          <w:pgSz w:w="11910" w:h="16840"/>
          <w:pgMar w:top="567" w:right="1134" w:bottom="1134" w:left="1417" w:header="1417" w:footer="1134" w:gutter="0"/>
          <w:pgNumType w:fmt="decimal"/>
          <w:cols w:space="720" w:num="1"/>
        </w:sectPr>
      </w:pPr>
    </w:p>
    <w:p w14:paraId="57D36A14">
      <w:pPr>
        <w:tabs>
          <w:tab w:val="left" w:pos="594"/>
          <w:tab w:val="left" w:pos="1105"/>
        </w:tabs>
        <w:autoSpaceDE w:val="0"/>
        <w:autoSpaceDN w:val="0"/>
        <w:spacing w:before="57"/>
        <w:ind w:left="-1" w:firstLine="0" w:firstLineChars="0"/>
        <w:jc w:val="center"/>
        <w:outlineLvl w:val="0"/>
        <w:rPr>
          <w:rFonts w:ascii="黑体" w:eastAsia="黑体"/>
          <w:color w:val="auto"/>
          <w:sz w:val="21"/>
          <w:szCs w:val="21"/>
        </w:rPr>
      </w:pPr>
      <w:bookmarkStart w:id="223" w:name="_Toc14230"/>
      <w:bookmarkStart w:id="224" w:name="_Toc29890"/>
      <w:bookmarkStart w:id="225" w:name="_Toc8028"/>
      <w:r>
        <w:rPr>
          <w:rFonts w:hint="eastAsia" w:ascii="黑体" w:eastAsia="黑体"/>
          <w:color w:val="auto"/>
          <w:sz w:val="21"/>
          <w:szCs w:val="21"/>
        </w:rPr>
        <w:t>参考文献</w:t>
      </w:r>
      <w:bookmarkEnd w:id="223"/>
      <w:bookmarkEnd w:id="224"/>
      <w:bookmarkEnd w:id="225"/>
    </w:p>
    <w:p w14:paraId="54914C23">
      <w:pPr>
        <w:autoSpaceDE w:val="0"/>
        <w:autoSpaceDN w:val="0"/>
        <w:spacing w:line="360" w:lineRule="auto"/>
        <w:ind w:left="56" w:leftChars="20" w:right="113" w:firstLine="540"/>
        <w:rPr>
          <w:rFonts w:ascii="黑体"/>
          <w:color w:val="auto"/>
          <w:sz w:val="27"/>
          <w:szCs w:val="21"/>
        </w:rPr>
      </w:pPr>
    </w:p>
    <w:p w14:paraId="22DC2F1E">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[1] 《关于印发矿产资源权益金制度改革方案的通知》</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国发</w:t>
      </w:r>
      <w:r>
        <w:rPr>
          <w:rFonts w:hint="default" w:ascii="Times New Roman" w:hAnsi="Times New Roman" w:cs="Times New Roman"/>
          <w:color w:val="auto"/>
          <w:sz w:val="21"/>
          <w:szCs w:val="22"/>
          <w:lang w:eastAsia="zh-CN"/>
        </w:rPr>
        <w:t>〔2017〕29号）</w:t>
      </w:r>
    </w:p>
    <w:p w14:paraId="53472189">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[2] 《土地复垦条例》</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国务院令第592号发布</w:t>
      </w:r>
      <w:r>
        <w:rPr>
          <w:rFonts w:hint="default" w:ascii="Times New Roman" w:hAnsi="Times New Roman" w:cs="Times New Roman"/>
          <w:color w:val="auto"/>
          <w:sz w:val="21"/>
          <w:szCs w:val="22"/>
          <w:lang w:eastAsia="zh-CN"/>
        </w:rPr>
        <w:t>）</w:t>
      </w:r>
    </w:p>
    <w:p w14:paraId="001BE529">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[3] 《矿山地质环境保护规定》</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自然资源部令</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2019年</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第5号</w:t>
      </w:r>
      <w:r>
        <w:rPr>
          <w:rFonts w:hint="default" w:ascii="Times New Roman" w:hAnsi="Times New Roman" w:cs="Times New Roman"/>
          <w:color w:val="auto"/>
          <w:sz w:val="21"/>
          <w:szCs w:val="22"/>
          <w:lang w:eastAsia="zh-CN"/>
        </w:rPr>
        <w:t>）</w:t>
      </w:r>
    </w:p>
    <w:p w14:paraId="1CE322EC">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[4] 《地质环境监测管理办法》</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国土资源部令第59号</w:t>
      </w:r>
      <w:r>
        <w:rPr>
          <w:rFonts w:hint="default" w:ascii="Times New Roman" w:hAnsi="Times New Roman" w:cs="Times New Roman"/>
          <w:color w:val="auto"/>
          <w:sz w:val="21"/>
          <w:szCs w:val="22"/>
          <w:lang w:eastAsia="zh-CN"/>
        </w:rPr>
        <w:t>）</w:t>
      </w:r>
    </w:p>
    <w:p w14:paraId="51D5D5B1">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[5] 《关于加强矿山地质环境恢复和综合治理的指导意见》</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国土资发</w:t>
      </w:r>
      <w:r>
        <w:rPr>
          <w:rFonts w:hint="default" w:ascii="Times New Roman" w:hAnsi="Times New Roman" w:cs="Times New Roman"/>
          <w:color w:val="auto"/>
          <w:sz w:val="21"/>
          <w:szCs w:val="22"/>
          <w:lang w:eastAsia="zh-CN"/>
        </w:rPr>
        <w:t>〔2016〕63号）</w:t>
      </w:r>
    </w:p>
    <w:p w14:paraId="7D7587C3">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[6] 《土地复垦条例实施办法》</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2019年修正版</w:t>
      </w:r>
      <w:r>
        <w:rPr>
          <w:rFonts w:hint="default" w:ascii="Times New Roman" w:hAnsi="Times New Roman" w:cs="Times New Roman"/>
          <w:color w:val="auto"/>
          <w:sz w:val="21"/>
          <w:szCs w:val="22"/>
          <w:lang w:eastAsia="zh-CN"/>
        </w:rPr>
        <w:t>）</w:t>
      </w:r>
      <w:r>
        <w:rPr>
          <w:rFonts w:hint="default" w:ascii="Times New Roman" w:hAnsi="Times New Roman" w:cs="Times New Roman"/>
          <w:color w:val="auto"/>
          <w:sz w:val="21"/>
          <w:szCs w:val="22"/>
        </w:rPr>
        <w:t xml:space="preserve"> </w:t>
      </w:r>
    </w:p>
    <w:p w14:paraId="20CCC09F">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[7]  DB41/T 1836 矿山地质环境恢复治理工程施工质量验收规范</w:t>
      </w:r>
    </w:p>
    <w:p w14:paraId="1B403AC8">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[8]  DB43/T 2299 矿山生态保护修复工程质量验收规范</w:t>
      </w:r>
    </w:p>
    <w:p w14:paraId="38BC231C">
      <w:pPr>
        <w:overflowPunct/>
        <w:adjustRightInd w:val="0"/>
        <w:snapToGrid w:val="0"/>
        <w:ind w:firstLine="420"/>
        <w:jc w:val="both"/>
        <w:textAlignment w:val="auto"/>
        <w:rPr>
          <w:rFonts w:hint="default" w:ascii="Times New Roman" w:hAnsi="Times New Roman" w:cs="Times New Roman"/>
          <w:color w:val="auto"/>
          <w:sz w:val="21"/>
          <w:szCs w:val="22"/>
        </w:rPr>
      </w:pPr>
      <w:r>
        <w:rPr>
          <w:rFonts w:hint="default" w:ascii="Times New Roman" w:hAnsi="Times New Roman" w:cs="Times New Roman"/>
          <w:color w:val="auto"/>
          <w:sz w:val="21"/>
          <w:szCs w:val="22"/>
        </w:rPr>
        <w:t>[9]  DB63/T 2072 矿山地质环境恢复治理工程验收指南</w:t>
      </w:r>
    </w:p>
    <w:p w14:paraId="26329A8A">
      <w:pPr>
        <w:autoSpaceDE w:val="0"/>
        <w:autoSpaceDN w:val="0"/>
        <w:ind w:firstLine="400"/>
        <w:rPr>
          <w:color w:val="auto"/>
          <w:sz w:val="20"/>
          <w:szCs w:val="21"/>
        </w:rPr>
      </w:pPr>
    </w:p>
    <w:p w14:paraId="7A1AE841">
      <w:pPr>
        <w:autoSpaceDE w:val="0"/>
        <w:autoSpaceDN w:val="0"/>
        <w:spacing w:before="1"/>
        <w:ind w:firstLine="420"/>
        <w:rPr>
          <w:color w:val="auto"/>
          <w:sz w:val="17"/>
          <w:szCs w:val="21"/>
        </w:rPr>
      </w:pPr>
      <w:r>
        <w:rPr>
          <w:color w:val="auto"/>
          <w:sz w:val="21"/>
          <w:szCs w:val="21"/>
        </w:rPr>
        <w:drawing>
          <wp:anchor distT="0" distB="0" distL="0" distR="0" simplePos="0" relativeHeight="251660288" behindDoc="0" locked="0" layoutInCell="1" allowOverlap="1">
            <wp:simplePos x="0" y="0"/>
            <wp:positionH relativeFrom="page">
              <wp:posOffset>3126740</wp:posOffset>
            </wp:positionH>
            <wp:positionV relativeFrom="paragraph">
              <wp:posOffset>163830</wp:posOffset>
            </wp:positionV>
            <wp:extent cx="1484630" cy="127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21" cstate="print"/>
                    <a:stretch>
                      <a:fillRect/>
                    </a:stretch>
                  </pic:blipFill>
                  <pic:spPr>
                    <a:xfrm>
                      <a:off x="0" y="0"/>
                      <a:ext cx="1484560" cy="12668"/>
                    </a:xfrm>
                    <a:prstGeom prst="rect">
                      <a:avLst/>
                    </a:prstGeom>
                  </pic:spPr>
                </pic:pic>
              </a:graphicData>
            </a:graphic>
          </wp:anchor>
        </w:drawing>
      </w:r>
    </w:p>
    <w:p w14:paraId="2F8B9EE5">
      <w:pPr>
        <w:ind w:firstLine="0" w:firstLineChars="0"/>
        <w:rPr>
          <w:color w:val="auto"/>
        </w:rPr>
      </w:pPr>
    </w:p>
    <w:sectPr>
      <w:pgSz w:w="11910" w:h="16840"/>
      <w:pgMar w:top="567" w:right="1134" w:bottom="1134" w:left="1417" w:header="1417" w:footer="113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5C587">
    <w:pPr>
      <w:pStyle w:val="19"/>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8F13D">
    <w:pPr>
      <w:autoSpaceDE w:val="0"/>
      <w:autoSpaceDN w:val="0"/>
      <w:spacing w:line="14" w:lineRule="auto"/>
      <w:ind w:firstLine="420"/>
      <w:rPr>
        <w:sz w:val="20"/>
        <w:szCs w:val="21"/>
        <w:lang w:eastAsia="en-US"/>
      </w:rPr>
    </w:pPr>
    <w:r>
      <w:rPr>
        <w:sz w:val="21"/>
        <w:szCs w:val="21"/>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66370" cy="1397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617B9925">
                          <w:pPr>
                            <w:overflowPunct/>
                            <w:autoSpaceDE w:val="0"/>
                            <w:autoSpaceDN w:val="0"/>
                            <w:spacing w:line="220" w:lineRule="exact"/>
                            <w:ind w:left="40" w:firstLine="0" w:firstLineChars="0"/>
                            <w:textAlignment w:val="auto"/>
                            <w:rPr>
                              <w:kern w:val="0"/>
                              <w:sz w:val="18"/>
                              <w:szCs w:val="22"/>
                              <w:lang w:eastAsia="en-US"/>
                            </w:rPr>
                          </w:pPr>
                          <w:r>
                            <w:rPr>
                              <w:kern w:val="0"/>
                              <w:sz w:val="22"/>
                              <w:szCs w:val="22"/>
                              <w:lang w:eastAsia="en-US"/>
                            </w:rPr>
                            <w:fldChar w:fldCharType="begin"/>
                          </w:r>
                          <w:r>
                            <w:rPr>
                              <w:kern w:val="0"/>
                              <w:sz w:val="18"/>
                              <w:szCs w:val="22"/>
                              <w:lang w:eastAsia="en-US"/>
                            </w:rPr>
                            <w:instrText xml:space="preserve"> PAGE </w:instrText>
                          </w:r>
                          <w:r>
                            <w:rPr>
                              <w:kern w:val="0"/>
                              <w:sz w:val="22"/>
                              <w:szCs w:val="22"/>
                              <w:lang w:eastAsia="en-US"/>
                            </w:rPr>
                            <w:fldChar w:fldCharType="separate"/>
                          </w:r>
                          <w:r>
                            <w:rPr>
                              <w:kern w:val="0"/>
                              <w:sz w:val="18"/>
                              <w:szCs w:val="22"/>
                              <w:lang w:eastAsia="en-US"/>
                            </w:rPr>
                            <w:t>19</w:t>
                          </w:r>
                          <w:r>
                            <w:rPr>
                              <w:kern w:val="0"/>
                              <w:sz w:val="22"/>
                              <w:szCs w:val="22"/>
                              <w:lang w:eastAsia="en-US"/>
                            </w:rP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1pt;width:13.1pt;mso-position-horizontal:inside;mso-position-horizontal-relative:margin;z-index:251659264;mso-width-relative:page;mso-height-relative:page;" filled="f" stroked="f" coordsize="21600,21600" o:gfxdata="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n0rMG0gAAAAMBAAAPAAAAAAAAAAEAIAAAACIAAABkcnMvZG93bnJldi54bWxQSwECFAAUAAAA&#10;CACHTuJAnetHd7sBAABzAwAADgAAAAAAAAABACAAAAAhAQAAZHJzL2Uyb0RvYy54bWxQSwUGAAAA&#10;AAYABgBZAQAATgUAAAAA&#10;">
              <v:fill on="f" focussize="0,0"/>
              <v:stroke on="f"/>
              <v:imagedata o:title=""/>
              <o:lock v:ext="edit" aspectratio="f"/>
              <v:textbox inset="0mm,0mm,0mm,0mm">
                <w:txbxContent>
                  <w:p w14:paraId="617B9925">
                    <w:pPr>
                      <w:overflowPunct/>
                      <w:autoSpaceDE w:val="0"/>
                      <w:autoSpaceDN w:val="0"/>
                      <w:spacing w:line="220" w:lineRule="exact"/>
                      <w:ind w:left="40" w:firstLine="0" w:firstLineChars="0"/>
                      <w:textAlignment w:val="auto"/>
                      <w:rPr>
                        <w:kern w:val="0"/>
                        <w:sz w:val="18"/>
                        <w:szCs w:val="22"/>
                        <w:lang w:eastAsia="en-US"/>
                      </w:rPr>
                    </w:pPr>
                    <w:r>
                      <w:rPr>
                        <w:kern w:val="0"/>
                        <w:sz w:val="22"/>
                        <w:szCs w:val="22"/>
                        <w:lang w:eastAsia="en-US"/>
                      </w:rPr>
                      <w:fldChar w:fldCharType="begin"/>
                    </w:r>
                    <w:r>
                      <w:rPr>
                        <w:kern w:val="0"/>
                        <w:sz w:val="18"/>
                        <w:szCs w:val="22"/>
                        <w:lang w:eastAsia="en-US"/>
                      </w:rPr>
                      <w:instrText xml:space="preserve"> PAGE </w:instrText>
                    </w:r>
                    <w:r>
                      <w:rPr>
                        <w:kern w:val="0"/>
                        <w:sz w:val="22"/>
                        <w:szCs w:val="22"/>
                        <w:lang w:eastAsia="en-US"/>
                      </w:rPr>
                      <w:fldChar w:fldCharType="separate"/>
                    </w:r>
                    <w:r>
                      <w:rPr>
                        <w:kern w:val="0"/>
                        <w:sz w:val="18"/>
                        <w:szCs w:val="22"/>
                        <w:lang w:eastAsia="en-US"/>
                      </w:rPr>
                      <w:t>19</w:t>
                    </w:r>
                    <w:r>
                      <w:rPr>
                        <w:kern w:val="0"/>
                        <w:sz w:val="22"/>
                        <w:szCs w:val="22"/>
                        <w:lang w:eastAsia="en-US"/>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FC372">
    <w:pPr>
      <w:autoSpaceDE w:val="0"/>
      <w:autoSpaceDN w:val="0"/>
      <w:spacing w:line="14" w:lineRule="auto"/>
      <w:ind w:firstLine="420"/>
      <w:rPr>
        <w:sz w:val="20"/>
        <w:szCs w:val="21"/>
        <w:lang w:eastAsia="en-US"/>
      </w:rPr>
    </w:pPr>
    <w:r>
      <w:rPr>
        <w:sz w:val="21"/>
        <w:szCs w:val="21"/>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66370" cy="1397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4ABDB3C0">
                          <w:pPr>
                            <w:overflowPunct/>
                            <w:autoSpaceDE w:val="0"/>
                            <w:autoSpaceDN w:val="0"/>
                            <w:spacing w:line="220" w:lineRule="exact"/>
                            <w:ind w:left="40" w:firstLine="0" w:firstLineChars="0"/>
                            <w:textAlignment w:val="auto"/>
                            <w:rPr>
                              <w:kern w:val="0"/>
                              <w:sz w:val="18"/>
                              <w:szCs w:val="22"/>
                              <w:lang w:eastAsia="en-US"/>
                            </w:rPr>
                          </w:pPr>
                          <w:r>
                            <w:rPr>
                              <w:kern w:val="0"/>
                              <w:sz w:val="22"/>
                              <w:szCs w:val="22"/>
                              <w:lang w:eastAsia="en-US"/>
                            </w:rPr>
                            <w:fldChar w:fldCharType="begin"/>
                          </w:r>
                          <w:r>
                            <w:rPr>
                              <w:kern w:val="0"/>
                              <w:sz w:val="18"/>
                              <w:szCs w:val="22"/>
                              <w:lang w:eastAsia="en-US"/>
                            </w:rPr>
                            <w:instrText xml:space="preserve"> PAGE </w:instrText>
                          </w:r>
                          <w:r>
                            <w:rPr>
                              <w:kern w:val="0"/>
                              <w:sz w:val="22"/>
                              <w:szCs w:val="22"/>
                              <w:lang w:eastAsia="en-US"/>
                            </w:rPr>
                            <w:fldChar w:fldCharType="separate"/>
                          </w:r>
                          <w:r>
                            <w:rPr>
                              <w:kern w:val="0"/>
                              <w:sz w:val="18"/>
                              <w:szCs w:val="22"/>
                              <w:lang w:eastAsia="en-US"/>
                            </w:rPr>
                            <w:t>18</w:t>
                          </w:r>
                          <w:r>
                            <w:rPr>
                              <w:kern w:val="0"/>
                              <w:sz w:val="22"/>
                              <w:szCs w:val="22"/>
                              <w:lang w:eastAsia="en-US"/>
                            </w:rP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1pt;width:13.1pt;mso-position-horizontal:inside;mso-position-horizontal-relative:margin;z-index:251659264;mso-width-relative:page;mso-height-relative:page;" filled="f" stroked="f" coordsize="21600,21600" o:gfxdata="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n0rMG0gAAAAMBAAAPAAAAAAAAAAEAIAAAACIAAABkcnMvZG93bnJldi54bWxQSwECFAAUAAAA&#10;CACHTuJAwOtRyrsBAABzAwAADgAAAAAAAAABACAAAAAhAQAAZHJzL2Uyb0RvYy54bWxQSwUGAAAA&#10;AAYABgBZAQAATgUAAAAA&#10;">
              <v:fill on="f" focussize="0,0"/>
              <v:stroke on="f"/>
              <v:imagedata o:title=""/>
              <o:lock v:ext="edit" aspectratio="f"/>
              <v:textbox inset="0mm,0mm,0mm,0mm">
                <w:txbxContent>
                  <w:p w14:paraId="4ABDB3C0">
                    <w:pPr>
                      <w:overflowPunct/>
                      <w:autoSpaceDE w:val="0"/>
                      <w:autoSpaceDN w:val="0"/>
                      <w:spacing w:line="220" w:lineRule="exact"/>
                      <w:ind w:left="40" w:firstLine="0" w:firstLineChars="0"/>
                      <w:textAlignment w:val="auto"/>
                      <w:rPr>
                        <w:kern w:val="0"/>
                        <w:sz w:val="18"/>
                        <w:szCs w:val="22"/>
                        <w:lang w:eastAsia="en-US"/>
                      </w:rPr>
                    </w:pPr>
                    <w:r>
                      <w:rPr>
                        <w:kern w:val="0"/>
                        <w:sz w:val="22"/>
                        <w:szCs w:val="22"/>
                        <w:lang w:eastAsia="en-US"/>
                      </w:rPr>
                      <w:fldChar w:fldCharType="begin"/>
                    </w:r>
                    <w:r>
                      <w:rPr>
                        <w:kern w:val="0"/>
                        <w:sz w:val="18"/>
                        <w:szCs w:val="22"/>
                        <w:lang w:eastAsia="en-US"/>
                      </w:rPr>
                      <w:instrText xml:space="preserve"> PAGE </w:instrText>
                    </w:r>
                    <w:r>
                      <w:rPr>
                        <w:kern w:val="0"/>
                        <w:sz w:val="22"/>
                        <w:szCs w:val="22"/>
                        <w:lang w:eastAsia="en-US"/>
                      </w:rPr>
                      <w:fldChar w:fldCharType="separate"/>
                    </w:r>
                    <w:r>
                      <w:rPr>
                        <w:kern w:val="0"/>
                        <w:sz w:val="18"/>
                        <w:szCs w:val="22"/>
                        <w:lang w:eastAsia="en-US"/>
                      </w:rPr>
                      <w:t>18</w:t>
                    </w:r>
                    <w:r>
                      <w:rPr>
                        <w:kern w:val="0"/>
                        <w:sz w:val="22"/>
                        <w:szCs w:val="22"/>
                        <w:lang w:eastAsia="en-US"/>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0DD2">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F44BB">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FB92F">
    <w:pPr>
      <w:pStyle w:val="19"/>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C7502">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6C7502">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020AE">
    <w:pPr>
      <w:pStyle w:val="19"/>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7658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7A7658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8828E">
    <w:pPr>
      <w:pStyle w:val="19"/>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385C1">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7E385C1">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EDC0A">
    <w:pPr>
      <w:pStyle w:val="19"/>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2E4B4">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DE2E4B4">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BA763">
    <w:pPr>
      <w:pStyle w:val="19"/>
      <w:ind w:firstLine="360"/>
      <w:jc w:val="right"/>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749"/>
                            <w:docPartObj>
                              <w:docPartGallery w:val="autotext"/>
                            </w:docPartObj>
                          </w:sdtPr>
                          <w:sdtContent>
                            <w:p w14:paraId="11A92953">
                              <w:pPr>
                                <w:pStyle w:val="19"/>
                                <w:ind w:firstLine="360"/>
                                <w:jc w:val="right"/>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14:paraId="5B5F167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77749"/>
                      <w:docPartObj>
                        <w:docPartGallery w:val="autotext"/>
                      </w:docPartObj>
                    </w:sdtPr>
                    <w:sdtContent>
                      <w:p w14:paraId="11A92953">
                        <w:pPr>
                          <w:pStyle w:val="19"/>
                          <w:ind w:firstLine="360"/>
                          <w:jc w:val="right"/>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14:paraId="5B5F1670"/>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2F20">
    <w:pPr>
      <w:pStyle w:val="19"/>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BE82F">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FFBE82F">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7B44">
    <w:pPr>
      <w:pStyle w:val="20"/>
      <w:pBdr>
        <w:bottom w:val="none" w:color="auto" w:sz="0" w:space="0"/>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502CE">
    <w:pPr>
      <w:pStyle w:val="20"/>
      <w:ind w:firstLine="0" w:firstLineChars="0"/>
    </w:pPr>
    <w:r>
      <w:rPr>
        <w:rFonts w:hint="eastAsia"/>
      </w:rPr>
      <w:t>T/CAGHPER 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81EBD">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2CD1">
    <w:pPr>
      <w:pStyle w:val="20"/>
      <w:ind w:firstLine="360"/>
      <w:jc w:val="right"/>
    </w:pPr>
    <w:r>
      <w:rPr>
        <w:rFonts w:hint="eastAsia"/>
      </w:rP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850EE"/>
    <w:multiLevelType w:val="multilevel"/>
    <w:tmpl w:val="987850EE"/>
    <w:lvl w:ilvl="0" w:tentative="0">
      <w:start w:val="1"/>
      <w:numFmt w:val="chineseCounting"/>
      <w:suff w:val="nothing"/>
      <w:lvlText w:val="%1、"/>
      <w:lvlJc w:val="left"/>
      <w:pPr>
        <w:tabs>
          <w:tab w:val="left" w:pos="0"/>
        </w:tabs>
        <w:ind w:left="0" w:firstLine="0"/>
      </w:pPr>
      <w:rPr>
        <w:rFonts w:hint="eastAsia" w:ascii="宋体" w:hAnsi="宋体" w:eastAsia="宋体" w:cs="宋体"/>
        <w:sz w:val="28"/>
        <w:szCs w:val="28"/>
      </w:rPr>
    </w:lvl>
    <w:lvl w:ilvl="1" w:tentative="0">
      <w:start w:val="1"/>
      <w:numFmt w:val="chineseCounting"/>
      <w:suff w:val="nothing"/>
      <w:lvlText w:val="（%2）"/>
      <w:lvlJc w:val="left"/>
      <w:pPr>
        <w:tabs>
          <w:tab w:val="left" w:pos="0"/>
        </w:tabs>
        <w:ind w:left="0" w:firstLine="0"/>
      </w:pPr>
      <w:rPr>
        <w:rFonts w:hint="eastAsia" w:ascii="宋体" w:hAnsi="宋体" w:eastAsia="宋体" w:cs="宋体"/>
        <w:sz w:val="28"/>
        <w:szCs w:val="28"/>
      </w:rPr>
    </w:lvl>
    <w:lvl w:ilvl="2" w:tentative="0">
      <w:start w:val="1"/>
      <w:numFmt w:val="decimal"/>
      <w:suff w:val="nothing"/>
      <w:lvlText w:val="%3、"/>
      <w:lvlJc w:val="left"/>
      <w:pPr>
        <w:tabs>
          <w:tab w:val="left" w:pos="0"/>
        </w:tabs>
        <w:ind w:left="0" w:firstLine="0"/>
      </w:pPr>
      <w:rPr>
        <w:rFonts w:hint="eastAsia" w:ascii="宋体" w:hAnsi="宋体" w:eastAsia="宋体" w:cs="宋体"/>
        <w:sz w:val="28"/>
        <w:szCs w:val="28"/>
      </w:rPr>
    </w:lvl>
    <w:lvl w:ilvl="3" w:tentative="0">
      <w:start w:val="1"/>
      <w:numFmt w:val="decimal"/>
      <w:suff w:val="nothing"/>
      <w:lvlText w:val="%3.%4"/>
      <w:lvlJc w:val="left"/>
      <w:pPr>
        <w:tabs>
          <w:tab w:val="left" w:pos="0"/>
        </w:tabs>
        <w:ind w:left="0" w:firstLine="0"/>
      </w:pPr>
      <w:rPr>
        <w:rFonts w:hint="eastAsia" w:ascii="宋体" w:hAnsi="宋体" w:eastAsia="宋体" w:cs="宋体"/>
        <w:sz w:val="28"/>
      </w:rPr>
    </w:lvl>
    <w:lvl w:ilvl="4" w:tentative="0">
      <w:start w:val="1"/>
      <w:numFmt w:val="decimal"/>
      <w:suff w:val="nothing"/>
      <w:lvlText w:val="（%5）"/>
      <w:lvlJc w:val="left"/>
      <w:pPr>
        <w:tabs>
          <w:tab w:val="left" w:pos="0"/>
        </w:tabs>
        <w:ind w:left="0" w:firstLine="0"/>
      </w:pPr>
      <w:rPr>
        <w:rFonts w:hint="eastAsia" w:ascii="宋体" w:hAnsi="宋体" w:eastAsia="宋体" w:cs="宋体"/>
        <w:sz w:val="28"/>
        <w:szCs w:val="28"/>
      </w:rPr>
    </w:lvl>
    <w:lvl w:ilvl="5" w:tentative="0">
      <w:start w:val="1"/>
      <w:numFmt w:val="decimal"/>
      <w:suff w:val="nothing"/>
      <w:lvlText w:val="%6）"/>
      <w:lvlJc w:val="left"/>
      <w:pPr>
        <w:tabs>
          <w:tab w:val="left" w:pos="0"/>
        </w:tabs>
        <w:ind w:left="0" w:firstLine="0"/>
      </w:pPr>
      <w:rPr>
        <w:rFonts w:hint="eastAsia" w:ascii="宋体" w:hAnsi="宋体" w:eastAsia="宋体" w:cs="宋体"/>
        <w:sz w:val="28"/>
        <w:szCs w:val="28"/>
      </w:rPr>
    </w:lvl>
    <w:lvl w:ilvl="6" w:tentative="0">
      <w:start w:val="1"/>
      <w:numFmt w:val="upperLetter"/>
      <w:pStyle w:val="8"/>
      <w:suff w:val="nothing"/>
      <w:lvlText w:val="%7"/>
      <w:lvlJc w:val="left"/>
      <w:pPr>
        <w:tabs>
          <w:tab w:val="left" w:pos="0"/>
        </w:tabs>
        <w:ind w:left="0" w:firstLine="0"/>
      </w:pPr>
      <w:rPr>
        <w:rFonts w:hint="eastAsia" w:ascii="宋体" w:hAnsi="宋体" w:eastAsia="宋体" w:cs="宋体"/>
        <w:sz w:val="28"/>
        <w:szCs w:val="28"/>
      </w:rPr>
    </w:lvl>
    <w:lvl w:ilvl="7" w:tentative="0">
      <w:start w:val="1"/>
      <w:numFmt w:val="lowerLetter"/>
      <w:pStyle w:val="9"/>
      <w:suff w:val="nothing"/>
      <w:lvlText w:val="%8"/>
      <w:lvlJc w:val="left"/>
      <w:pPr>
        <w:ind w:left="0" w:firstLine="0"/>
      </w:pPr>
      <w:rPr>
        <w:rFonts w:hint="eastAsia" w:ascii="宋体" w:hAnsi="宋体" w:eastAsia="宋体" w:cs="宋体"/>
      </w:rPr>
    </w:lvl>
    <w:lvl w:ilvl="8" w:tentative="0">
      <w:start w:val="1"/>
      <w:numFmt w:val="lowerLetter"/>
      <w:pStyle w:val="10"/>
      <w:suff w:val="nothing"/>
      <w:lvlText w:val="%9）"/>
      <w:lvlJc w:val="left"/>
      <w:pPr>
        <w:ind w:left="0" w:firstLine="0"/>
      </w:pPr>
      <w:rPr>
        <w:rFonts w:hint="eastAsia" w:ascii="宋体" w:hAnsi="宋体" w:eastAsia="宋体" w:cs="宋体"/>
      </w:rPr>
    </w:lvl>
  </w:abstractNum>
  <w:abstractNum w:abstractNumId="1">
    <w:nsid w:val="D56A397E"/>
    <w:multiLevelType w:val="multilevel"/>
    <w:tmpl w:val="D56A397E"/>
    <w:lvl w:ilvl="0" w:tentative="0">
      <w:start w:val="1"/>
      <w:numFmt w:val="decimal"/>
      <w:isLgl/>
      <w:suff w:val="nothing"/>
      <w:lvlText w:val="第%1章 "/>
      <w:lvlJc w:val="center"/>
      <w:pPr>
        <w:tabs>
          <w:tab w:val="left" w:pos="0"/>
        </w:tabs>
        <w:ind w:left="0" w:firstLine="0"/>
      </w:pPr>
      <w:rPr>
        <w:rFonts w:hint="default" w:ascii="Times New Roman" w:hAnsi="Times New Roman" w:eastAsia="宋体" w:cs="宋体"/>
        <w:b/>
        <w:i w:val="0"/>
        <w:sz w:val="44"/>
      </w:rPr>
    </w:lvl>
    <w:lvl w:ilvl="1" w:tentative="0">
      <w:start w:val="1"/>
      <w:numFmt w:val="decimal"/>
      <w:pStyle w:val="45"/>
      <w:isLgl/>
      <w:suff w:val="space"/>
      <w:lvlText w:val="%1.%2 "/>
      <w:lvlJc w:val="left"/>
      <w:pPr>
        <w:ind w:left="0" w:firstLine="0"/>
      </w:pPr>
      <w:rPr>
        <w:rFonts w:hint="default" w:ascii="Times New Roman" w:hAnsi="Times New Roman" w:eastAsia="仿宋_GB2312"/>
        <w:b/>
        <w:i w:val="0"/>
        <w:sz w:val="28"/>
      </w:rPr>
    </w:lvl>
    <w:lvl w:ilvl="2" w:tentative="0">
      <w:start w:val="1"/>
      <w:numFmt w:val="decimal"/>
      <w:isLgl/>
      <w:suff w:val="space"/>
      <w:lvlText w:val="%1.%2.%3 "/>
      <w:lvlJc w:val="left"/>
      <w:pPr>
        <w:ind w:left="0" w:firstLine="0"/>
      </w:pPr>
      <w:rPr>
        <w:rFonts w:hint="default" w:ascii="Times New Roman" w:hAnsi="Times New Roman" w:eastAsia="仿宋_GB2312"/>
        <w:b/>
        <w:i w:val="0"/>
        <w:sz w:val="28"/>
      </w:rPr>
    </w:lvl>
    <w:lvl w:ilvl="3" w:tentative="0">
      <w:start w:val="1"/>
      <w:numFmt w:val="decimal"/>
      <w:isLgl/>
      <w:suff w:val="space"/>
      <w:lvlText w:val="%1.%2.%3.%4 "/>
      <w:lvlJc w:val="left"/>
      <w:pPr>
        <w:ind w:left="0" w:firstLine="0"/>
      </w:pPr>
      <w:rPr>
        <w:rFonts w:hint="default" w:ascii="Times New Roman" w:hAnsi="Times New Roman" w:eastAsia="仿宋_GB2312"/>
        <w:b/>
        <w:i w:val="0"/>
        <w:sz w:val="28"/>
      </w:rPr>
    </w:lvl>
    <w:lvl w:ilvl="4" w:tentative="0">
      <w:start w:val="1"/>
      <w:numFmt w:val="decimal"/>
      <w:isLgl/>
      <w:suff w:val="nothing"/>
      <w:lvlText w:val="（%5）"/>
      <w:lvlJc w:val="left"/>
      <w:pPr>
        <w:ind w:left="-87" w:firstLine="0"/>
      </w:pPr>
      <w:rPr>
        <w:rFonts w:hint="default" w:ascii="Times New Roman" w:hAnsi="Times New Roman" w:eastAsia="宋体"/>
        <w:b/>
        <w:i w:val="0"/>
      </w:rPr>
    </w:lvl>
    <w:lvl w:ilvl="5" w:tentative="0">
      <w:start w:val="1"/>
      <w:numFmt w:val="decimal"/>
      <w:lvlRestart w:val="1"/>
      <w:isLgl/>
      <w:suff w:val="space"/>
      <w:lvlText w:val="表%1-%6"/>
      <w:lvlJc w:val="center"/>
      <w:pPr>
        <w:ind w:left="0" w:firstLine="0"/>
      </w:pPr>
      <w:rPr>
        <w:rFonts w:hint="eastAsia"/>
      </w:rPr>
    </w:lvl>
    <w:lvl w:ilvl="6" w:tentative="0">
      <w:start w:val="1"/>
      <w:numFmt w:val="decimal"/>
      <w:lvlRestart w:val="1"/>
      <w:isLgl/>
      <w:suff w:val="space"/>
      <w:lvlText w:val="图%1-%7"/>
      <w:lvlJc w:val="center"/>
      <w:pPr>
        <w:ind w:left="0" w:firstLine="0"/>
      </w:pPr>
      <w:rPr>
        <w:rFonts w:hint="eastAsia"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E289CCD0"/>
    <w:multiLevelType w:val="multilevel"/>
    <w:tmpl w:val="E289CCD0"/>
    <w:lvl w:ilvl="0" w:tentative="0">
      <w:start w:val="1"/>
      <w:numFmt w:val="decimal"/>
      <w:isLgl/>
      <w:suff w:val="nothing"/>
      <w:lvlText w:val="第%1章 "/>
      <w:lvlJc w:val="center"/>
      <w:pPr>
        <w:tabs>
          <w:tab w:val="left" w:pos="0"/>
        </w:tabs>
        <w:ind w:left="0" w:firstLine="0"/>
      </w:pPr>
      <w:rPr>
        <w:rFonts w:hint="default" w:ascii="Times New Roman" w:hAnsi="Times New Roman" w:eastAsia="宋体" w:cs="宋体"/>
        <w:b/>
        <w:i w:val="0"/>
        <w:sz w:val="44"/>
      </w:rPr>
    </w:lvl>
    <w:lvl w:ilvl="1" w:tentative="0">
      <w:start w:val="1"/>
      <w:numFmt w:val="decimal"/>
      <w:isLgl/>
      <w:suff w:val="nothing"/>
      <w:lvlText w:val="%1.%2 "/>
      <w:lvlJc w:val="left"/>
      <w:pPr>
        <w:tabs>
          <w:tab w:val="left" w:pos="420"/>
        </w:tabs>
        <w:ind w:left="0" w:firstLine="0"/>
      </w:pPr>
      <w:rPr>
        <w:rFonts w:hint="default" w:ascii="Times New Roman" w:hAnsi="Times New Roman" w:eastAsia="宋体" w:cs="宋体"/>
        <w:b/>
        <w:i w:val="0"/>
        <w:sz w:val="36"/>
      </w:rPr>
    </w:lvl>
    <w:lvl w:ilvl="2" w:tentative="0">
      <w:start w:val="1"/>
      <w:numFmt w:val="decimal"/>
      <w:pStyle w:val="42"/>
      <w:isLgl/>
      <w:suff w:val="space"/>
      <w:lvlText w:val="%1.%2.%3 "/>
      <w:lvlJc w:val="left"/>
      <w:pPr>
        <w:ind w:left="0" w:firstLine="0"/>
      </w:pPr>
      <w:rPr>
        <w:rFonts w:hint="default" w:ascii="Times New Roman" w:hAnsi="Times New Roman" w:eastAsia="仿宋_GB2312"/>
        <w:b/>
        <w:i w:val="0"/>
        <w:sz w:val="28"/>
      </w:rPr>
    </w:lvl>
    <w:lvl w:ilvl="3" w:tentative="0">
      <w:start w:val="1"/>
      <w:numFmt w:val="decimal"/>
      <w:isLgl/>
      <w:suff w:val="space"/>
      <w:lvlText w:val="%1.%2.%3.%4 "/>
      <w:lvlJc w:val="left"/>
      <w:pPr>
        <w:ind w:left="0" w:firstLine="0"/>
      </w:pPr>
      <w:rPr>
        <w:rFonts w:hint="default" w:ascii="Times New Roman" w:hAnsi="Times New Roman" w:eastAsia="仿宋_GB2312"/>
        <w:b/>
        <w:i w:val="0"/>
        <w:sz w:val="28"/>
      </w:rPr>
    </w:lvl>
    <w:lvl w:ilvl="4" w:tentative="0">
      <w:start w:val="1"/>
      <w:numFmt w:val="decimal"/>
      <w:isLgl/>
      <w:suff w:val="nothing"/>
      <w:lvlText w:val="（%5）"/>
      <w:lvlJc w:val="left"/>
      <w:pPr>
        <w:ind w:left="-87" w:firstLine="0"/>
      </w:pPr>
      <w:rPr>
        <w:rFonts w:hint="default" w:ascii="Times New Roman" w:hAnsi="Times New Roman" w:eastAsia="宋体"/>
        <w:b/>
        <w:i w:val="0"/>
      </w:rPr>
    </w:lvl>
    <w:lvl w:ilvl="5" w:tentative="0">
      <w:start w:val="1"/>
      <w:numFmt w:val="decimal"/>
      <w:lvlRestart w:val="1"/>
      <w:isLgl/>
      <w:suff w:val="space"/>
      <w:lvlText w:val="表%1-%6"/>
      <w:lvlJc w:val="center"/>
      <w:pPr>
        <w:ind w:left="0" w:firstLine="0"/>
      </w:pPr>
      <w:rPr>
        <w:rFonts w:hint="eastAsia"/>
      </w:rPr>
    </w:lvl>
    <w:lvl w:ilvl="6" w:tentative="0">
      <w:start w:val="1"/>
      <w:numFmt w:val="decimal"/>
      <w:lvlRestart w:val="1"/>
      <w:isLgl/>
      <w:suff w:val="space"/>
      <w:lvlText w:val="图%1-%7"/>
      <w:lvlJc w:val="center"/>
      <w:pPr>
        <w:ind w:left="0" w:firstLine="0"/>
      </w:pPr>
      <w:rPr>
        <w:rFonts w:hint="eastAsia"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1FC91163"/>
    <w:multiLevelType w:val="multilevel"/>
    <w:tmpl w:val="1FC91163"/>
    <w:lvl w:ilvl="0" w:tentative="0">
      <w:start w:val="1"/>
      <w:numFmt w:val="decimal"/>
      <w:pStyle w:val="6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5"/>
      <w:suff w:val="nothing"/>
      <w:lvlText w:val="%1.%2　"/>
      <w:lvlJc w:val="left"/>
      <w:pPr>
        <w:ind w:left="851"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2C29749B"/>
    <w:multiLevelType w:val="multilevel"/>
    <w:tmpl w:val="2C29749B"/>
    <w:lvl w:ilvl="0" w:tentative="0">
      <w:start w:val="1"/>
      <w:numFmt w:val="decimal"/>
      <w:pStyle w:val="44"/>
      <w:suff w:val="space"/>
      <w:lvlText w:val="第%1章 "/>
      <w:lvlJc w:val="center"/>
      <w:pPr>
        <w:ind w:left="0" w:firstLine="0"/>
      </w:pPr>
      <w:rPr>
        <w:rFonts w:hint="default" w:ascii="Times New Roman" w:hAnsi="Times New Roman" w:eastAsia="黑体"/>
        <w:b w:val="0"/>
        <w:i w:val="0"/>
        <w:sz w:val="30"/>
      </w:rPr>
    </w:lvl>
    <w:lvl w:ilvl="1" w:tentative="0">
      <w:start w:val="1"/>
      <w:numFmt w:val="decimal"/>
      <w:isLgl/>
      <w:suff w:val="space"/>
      <w:lvlText w:val="%1.%2 "/>
      <w:lvlJc w:val="left"/>
      <w:pPr>
        <w:ind w:left="0" w:firstLine="0"/>
      </w:pPr>
      <w:rPr>
        <w:rFonts w:hint="default" w:ascii="Times New Roman" w:hAnsi="Times New Roman" w:eastAsia="仿宋_GB2312"/>
        <w:b/>
        <w:i w:val="0"/>
        <w:sz w:val="28"/>
      </w:rPr>
    </w:lvl>
    <w:lvl w:ilvl="2" w:tentative="0">
      <w:start w:val="1"/>
      <w:numFmt w:val="decimal"/>
      <w:isLgl/>
      <w:suff w:val="space"/>
      <w:lvlText w:val="%1.%2.%3 "/>
      <w:lvlJc w:val="left"/>
      <w:pPr>
        <w:ind w:left="0" w:firstLine="0"/>
      </w:pPr>
      <w:rPr>
        <w:rFonts w:hint="default" w:ascii="Times New Roman" w:hAnsi="Times New Roman" w:eastAsia="仿宋_GB2312"/>
        <w:b/>
        <w:i w:val="0"/>
        <w:sz w:val="28"/>
      </w:rPr>
    </w:lvl>
    <w:lvl w:ilvl="3" w:tentative="0">
      <w:start w:val="1"/>
      <w:numFmt w:val="decimal"/>
      <w:isLgl/>
      <w:suff w:val="space"/>
      <w:lvlText w:val="%1.%2.%3.%4 "/>
      <w:lvlJc w:val="left"/>
      <w:pPr>
        <w:ind w:left="0" w:firstLine="0"/>
      </w:pPr>
      <w:rPr>
        <w:rFonts w:hint="default" w:ascii="Times New Roman" w:hAnsi="Times New Roman" w:eastAsia="仿宋_GB2312"/>
        <w:b/>
        <w:i w:val="0"/>
        <w:sz w:val="28"/>
      </w:rPr>
    </w:lvl>
    <w:lvl w:ilvl="4" w:tentative="0">
      <w:start w:val="1"/>
      <w:numFmt w:val="decimal"/>
      <w:isLgl/>
      <w:suff w:val="nothing"/>
      <w:lvlText w:val="（%5）"/>
      <w:lvlJc w:val="left"/>
      <w:pPr>
        <w:ind w:left="-87" w:firstLine="0"/>
      </w:pPr>
      <w:rPr>
        <w:rFonts w:hint="default" w:ascii="Times New Roman" w:hAnsi="Times New Roman" w:eastAsia="宋体"/>
        <w:b/>
        <w:i w:val="0"/>
      </w:rPr>
    </w:lvl>
    <w:lvl w:ilvl="5" w:tentative="0">
      <w:start w:val="1"/>
      <w:numFmt w:val="decimal"/>
      <w:lvlRestart w:val="1"/>
      <w:isLgl/>
      <w:suff w:val="space"/>
      <w:lvlText w:val="表%1-%6"/>
      <w:lvlJc w:val="center"/>
      <w:pPr>
        <w:ind w:left="0" w:firstLine="0"/>
      </w:pPr>
      <w:rPr>
        <w:rFonts w:hint="eastAsia"/>
      </w:rPr>
    </w:lvl>
    <w:lvl w:ilvl="6" w:tentative="0">
      <w:start w:val="1"/>
      <w:numFmt w:val="decimal"/>
      <w:lvlRestart w:val="1"/>
      <w:isLgl/>
      <w:suff w:val="space"/>
      <w:lvlText w:val="图%1-%7"/>
      <w:lvlJc w:val="center"/>
      <w:pPr>
        <w:ind w:left="0" w:firstLine="0"/>
      </w:pPr>
      <w:rPr>
        <w:rFonts w:hint="eastAsia"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3D537E4E"/>
    <w:multiLevelType w:val="multilevel"/>
    <w:tmpl w:val="3D537E4E"/>
    <w:lvl w:ilvl="0" w:tentative="0">
      <w:start w:val="1"/>
      <w:numFmt w:val="decimal"/>
      <w:isLgl/>
      <w:suff w:val="nothing"/>
      <w:lvlText w:val="第%1章 "/>
      <w:lvlJc w:val="center"/>
      <w:pPr>
        <w:tabs>
          <w:tab w:val="left" w:pos="0"/>
        </w:tabs>
        <w:ind w:left="0" w:firstLine="0"/>
      </w:pPr>
      <w:rPr>
        <w:rFonts w:hint="default" w:ascii="Times New Roman" w:hAnsi="Times New Roman" w:eastAsia="宋体" w:cs="宋体"/>
        <w:b/>
        <w:i w:val="0"/>
        <w:sz w:val="44"/>
      </w:rPr>
    </w:lvl>
    <w:lvl w:ilvl="1" w:tentative="0">
      <w:start w:val="1"/>
      <w:numFmt w:val="decimal"/>
      <w:isLgl/>
      <w:suff w:val="nothing"/>
      <w:lvlText w:val="%1.%2 "/>
      <w:lvlJc w:val="left"/>
      <w:pPr>
        <w:tabs>
          <w:tab w:val="left" w:pos="420"/>
        </w:tabs>
        <w:ind w:left="0" w:firstLine="0"/>
      </w:pPr>
      <w:rPr>
        <w:rFonts w:hint="default" w:ascii="Times New Roman" w:hAnsi="Times New Roman" w:eastAsia="宋体" w:cs="宋体"/>
        <w:b/>
        <w:i w:val="0"/>
        <w:sz w:val="36"/>
      </w:rPr>
    </w:lvl>
    <w:lvl w:ilvl="2" w:tentative="0">
      <w:start w:val="1"/>
      <w:numFmt w:val="decimal"/>
      <w:isLgl/>
      <w:suff w:val="nothing"/>
      <w:lvlText w:val="%1.%2.%3 "/>
      <w:lvlJc w:val="left"/>
      <w:pPr>
        <w:tabs>
          <w:tab w:val="left" w:pos="420"/>
        </w:tabs>
        <w:ind w:left="0" w:firstLine="0"/>
      </w:pPr>
      <w:rPr>
        <w:rFonts w:hint="default" w:ascii="Times New Roman" w:hAnsi="Times New Roman" w:eastAsia="宋体"/>
        <w:b/>
        <w:i w:val="0"/>
        <w:sz w:val="32"/>
      </w:rPr>
    </w:lvl>
    <w:lvl w:ilvl="3" w:tentative="0">
      <w:start w:val="1"/>
      <w:numFmt w:val="decimal"/>
      <w:pStyle w:val="46"/>
      <w:isLgl/>
      <w:suff w:val="space"/>
      <w:lvlText w:val="%1.%2.%3.%4 "/>
      <w:lvlJc w:val="left"/>
      <w:pPr>
        <w:ind w:left="0" w:firstLine="0"/>
      </w:pPr>
      <w:rPr>
        <w:rFonts w:hint="default" w:ascii="Times New Roman" w:hAnsi="Times New Roman" w:eastAsia="仿宋_GB2312"/>
        <w:b/>
        <w:i w:val="0"/>
        <w:sz w:val="28"/>
      </w:rPr>
    </w:lvl>
    <w:lvl w:ilvl="4" w:tentative="0">
      <w:start w:val="1"/>
      <w:numFmt w:val="decimal"/>
      <w:pStyle w:val="47"/>
      <w:isLgl/>
      <w:suff w:val="nothing"/>
      <w:lvlText w:val="（%5）"/>
      <w:lvlJc w:val="left"/>
      <w:pPr>
        <w:ind w:left="-87" w:firstLine="0"/>
      </w:pPr>
      <w:rPr>
        <w:rFonts w:hint="default" w:ascii="Times New Roman" w:hAnsi="Times New Roman" w:eastAsia="宋体"/>
        <w:b/>
        <w:i w:val="0"/>
      </w:rPr>
    </w:lvl>
    <w:lvl w:ilvl="5" w:tentative="0">
      <w:start w:val="1"/>
      <w:numFmt w:val="decimal"/>
      <w:lvlRestart w:val="1"/>
      <w:pStyle w:val="48"/>
      <w:isLgl/>
      <w:suff w:val="space"/>
      <w:lvlText w:val="表%1-%6"/>
      <w:lvlJc w:val="center"/>
      <w:pPr>
        <w:ind w:left="0" w:firstLine="0"/>
      </w:pPr>
      <w:rPr>
        <w:rFonts w:hint="eastAsia"/>
      </w:rPr>
    </w:lvl>
    <w:lvl w:ilvl="6" w:tentative="0">
      <w:start w:val="1"/>
      <w:numFmt w:val="decimal"/>
      <w:lvlRestart w:val="1"/>
      <w:pStyle w:val="49"/>
      <w:isLgl/>
      <w:suff w:val="space"/>
      <w:lvlText w:val="图%1-%7"/>
      <w:lvlJc w:val="center"/>
      <w:pPr>
        <w:ind w:left="0" w:firstLine="0"/>
      </w:pPr>
      <w:rPr>
        <w:rFonts w:hint="eastAsia"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61D93C83"/>
    <w:multiLevelType w:val="multilevel"/>
    <w:tmpl w:val="61D93C83"/>
    <w:lvl w:ilvl="0" w:tentative="0">
      <w:start w:val="1"/>
      <w:numFmt w:val="decimal"/>
      <w:pStyle w:val="2"/>
      <w:isLgl/>
      <w:suff w:val="space"/>
      <w:lvlText w:val="%1"/>
      <w:lvlJc w:val="left"/>
      <w:pPr>
        <w:tabs>
          <w:tab w:val="left" w:pos="0"/>
        </w:tabs>
        <w:ind w:left="0" w:firstLine="0"/>
      </w:pPr>
      <w:rPr>
        <w:rFonts w:hint="default" w:ascii="宋体" w:hAnsi="宋体" w:eastAsia="宋体" w:cs="宋体"/>
        <w:b/>
        <w:bCs/>
        <w:i w:val="0"/>
        <w:caps w:val="0"/>
        <w:strike w:val="0"/>
        <w:dstrike w:val="0"/>
        <w:snapToGrid/>
        <w:vanish w:val="0"/>
        <w:color w:val="auto"/>
        <w:kern w:val="0"/>
        <w:sz w:val="21"/>
        <w:szCs w:val="21"/>
        <w:u w:val="none"/>
        <w:vertAlign w:val="baseline"/>
      </w:rPr>
    </w:lvl>
    <w:lvl w:ilvl="1" w:tentative="0">
      <w:start w:val="1"/>
      <w:numFmt w:val="decimal"/>
      <w:pStyle w:val="3"/>
      <w:isLgl/>
      <w:suff w:val="space"/>
      <w:lvlText w:val="%1.%2"/>
      <w:lvlJc w:val="left"/>
      <w:pPr>
        <w:tabs>
          <w:tab w:val="left" w:pos="0"/>
        </w:tabs>
        <w:ind w:left="0" w:firstLine="0"/>
      </w:pPr>
      <w:rPr>
        <w:rFonts w:hint="default" w:ascii="宋体" w:hAnsi="宋体" w:eastAsia="宋体" w:cs="宋体"/>
      </w:rPr>
    </w:lvl>
    <w:lvl w:ilvl="2" w:tentative="0">
      <w:start w:val="1"/>
      <w:numFmt w:val="decimal"/>
      <w:pStyle w:val="4"/>
      <w:isLgl/>
      <w:suff w:val="space"/>
      <w:lvlText w:val="%1.%2.%3"/>
      <w:lvlJc w:val="left"/>
      <w:pPr>
        <w:ind w:left="0" w:firstLine="0"/>
      </w:pPr>
      <w:rPr>
        <w:rFonts w:hint="default" w:ascii="宋体" w:hAnsi="宋体" w:eastAsia="宋体" w:cs="宋体"/>
        <w:spacing w:val="-20"/>
      </w:rPr>
    </w:lvl>
    <w:lvl w:ilvl="3" w:tentative="0">
      <w:start w:val="1"/>
      <w:numFmt w:val="decimal"/>
      <w:pStyle w:val="5"/>
      <w:isLgl/>
      <w:suff w:val="space"/>
      <w:lvlText w:val="%1.%2.%3.%4"/>
      <w:lvlJc w:val="left"/>
      <w:pPr>
        <w:tabs>
          <w:tab w:val="left" w:pos="420"/>
        </w:tabs>
        <w:ind w:left="0" w:firstLine="284"/>
      </w:pPr>
      <w:rPr>
        <w:rFonts w:hint="default" w:ascii="宋体" w:hAnsi="宋体" w:eastAsia="宋体" w:cs="宋体"/>
      </w:rPr>
    </w:lvl>
    <w:lvl w:ilvl="4" w:tentative="0">
      <w:start w:val="1"/>
      <w:numFmt w:val="decimal"/>
      <w:lvlRestart w:val="1"/>
      <w:pStyle w:val="6"/>
      <w:isLgl/>
      <w:suff w:val="space"/>
      <w:lvlText w:val="图%1-%5"/>
      <w:lvlJc w:val="left"/>
      <w:pPr>
        <w:tabs>
          <w:tab w:val="left" w:pos="420"/>
        </w:tabs>
        <w:ind w:left="0" w:firstLine="0"/>
      </w:pPr>
      <w:rPr>
        <w:rFonts w:hint="default" w:ascii="宋体" w:hAnsi="宋体" w:eastAsia="宋体" w:cs="宋体"/>
        <w:b w:val="0"/>
        <w:bCs w:val="0"/>
        <w:i w:val="0"/>
        <w:iCs w:val="0"/>
        <w:caps w:val="0"/>
        <w:smallCaps w:val="0"/>
        <w:strike w:val="0"/>
        <w:dstrike w:val="0"/>
        <w:outline w:val="0"/>
        <w:shadow w:val="0"/>
        <w:emboss w:val="0"/>
        <w:imprint w:val="0"/>
        <w:vanish w:val="0"/>
        <w:color w:val="auto"/>
        <w:spacing w:val="0"/>
        <w:kern w:val="0"/>
        <w:position w:val="0"/>
        <w:u w:val="none"/>
        <w:vertAlign w:val="baseline"/>
      </w:rPr>
    </w:lvl>
    <w:lvl w:ilvl="5" w:tentative="0">
      <w:start w:val="1"/>
      <w:numFmt w:val="decimal"/>
      <w:lvlRestart w:val="1"/>
      <w:pStyle w:val="7"/>
      <w:isLgl/>
      <w:suff w:val="nothing"/>
      <w:lvlText w:val="表%1-%6"/>
      <w:lvlJc w:val="left"/>
      <w:pPr>
        <w:tabs>
          <w:tab w:val="left" w:pos="420"/>
        </w:tabs>
        <w:ind w:left="0" w:firstLine="0"/>
      </w:pPr>
      <w:rPr>
        <w:rFonts w:hint="default" w:ascii="宋体" w:hAnsi="宋体" w:eastAsia="宋体" w:cs="宋体"/>
        <w:b w:val="0"/>
        <w:i w:val="0"/>
        <w:sz w:val="21"/>
        <w:lang w:val="en-US"/>
      </w:rPr>
    </w:lvl>
    <w:lvl w:ilvl="6" w:tentative="0">
      <w:start w:val="1"/>
      <w:numFmt w:val="decimal"/>
      <w:lvlText w:val="%1.%2.%3.%4.%5.%6.%7"/>
      <w:lvlJc w:val="left"/>
      <w:pPr>
        <w:tabs>
          <w:tab w:val="left" w:pos="420"/>
        </w:tabs>
        <w:ind w:left="1296" w:hanging="1296"/>
      </w:pPr>
      <w:rPr>
        <w:rFonts w:hint="default" w:ascii="宋体" w:hAnsi="宋体" w:eastAsia="宋体" w:cs="宋体"/>
      </w:rPr>
    </w:lvl>
    <w:lvl w:ilvl="7" w:tentative="0">
      <w:start w:val="1"/>
      <w:numFmt w:val="decimal"/>
      <w:lvlText w:val="%1.%2.%3.%4.%5.%6.%7.%8"/>
      <w:lvlJc w:val="left"/>
      <w:pPr>
        <w:tabs>
          <w:tab w:val="left" w:pos="420"/>
        </w:tabs>
        <w:ind w:left="1440" w:hanging="1440"/>
      </w:pPr>
      <w:rPr>
        <w:rFonts w:hint="default" w:ascii="宋体" w:hAnsi="宋体" w:eastAsia="宋体" w:cs="宋体"/>
      </w:rPr>
    </w:lvl>
    <w:lvl w:ilvl="8" w:tentative="0">
      <w:start w:val="1"/>
      <w:numFmt w:val="decimal"/>
      <w:lvlText w:val="%1.%2.%3.%4.%5.%6.%7.%8.%9"/>
      <w:lvlJc w:val="left"/>
      <w:pPr>
        <w:ind w:left="1584" w:hanging="1584"/>
      </w:pPr>
      <w:rPr>
        <w:rFonts w:hint="eastAsia"/>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abstractNum>
  <w:abstractNum w:abstractNumId="7">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7EE"/>
    <w:rsid w:val="000D1138"/>
    <w:rsid w:val="000D4056"/>
    <w:rsid w:val="000F1FB7"/>
    <w:rsid w:val="001350E4"/>
    <w:rsid w:val="002C7134"/>
    <w:rsid w:val="003177EE"/>
    <w:rsid w:val="00441AEB"/>
    <w:rsid w:val="004C4557"/>
    <w:rsid w:val="00521C64"/>
    <w:rsid w:val="0058530C"/>
    <w:rsid w:val="006765F2"/>
    <w:rsid w:val="007D6FFF"/>
    <w:rsid w:val="008E019B"/>
    <w:rsid w:val="0091663C"/>
    <w:rsid w:val="009641FA"/>
    <w:rsid w:val="0099680D"/>
    <w:rsid w:val="00A1301B"/>
    <w:rsid w:val="00AD1DF1"/>
    <w:rsid w:val="00AD2016"/>
    <w:rsid w:val="00BA3992"/>
    <w:rsid w:val="00C03F26"/>
    <w:rsid w:val="00D21C51"/>
    <w:rsid w:val="00DC2709"/>
    <w:rsid w:val="00FD6CB4"/>
    <w:rsid w:val="0172107A"/>
    <w:rsid w:val="01835520"/>
    <w:rsid w:val="021B7681"/>
    <w:rsid w:val="022F1E30"/>
    <w:rsid w:val="02345C2D"/>
    <w:rsid w:val="02471E62"/>
    <w:rsid w:val="0261209C"/>
    <w:rsid w:val="026E5A10"/>
    <w:rsid w:val="02983E99"/>
    <w:rsid w:val="029A44C4"/>
    <w:rsid w:val="0434268A"/>
    <w:rsid w:val="04566DFB"/>
    <w:rsid w:val="04984319"/>
    <w:rsid w:val="04E51556"/>
    <w:rsid w:val="05177476"/>
    <w:rsid w:val="057A65A0"/>
    <w:rsid w:val="05A42274"/>
    <w:rsid w:val="05B24A66"/>
    <w:rsid w:val="05D9562C"/>
    <w:rsid w:val="05DA47A3"/>
    <w:rsid w:val="06065821"/>
    <w:rsid w:val="06284E50"/>
    <w:rsid w:val="066E4F1C"/>
    <w:rsid w:val="06792C9A"/>
    <w:rsid w:val="06FA18AB"/>
    <w:rsid w:val="070E2DBC"/>
    <w:rsid w:val="07667C3F"/>
    <w:rsid w:val="07A07E74"/>
    <w:rsid w:val="07A9357A"/>
    <w:rsid w:val="080C38C8"/>
    <w:rsid w:val="081078B3"/>
    <w:rsid w:val="081852E5"/>
    <w:rsid w:val="0824277F"/>
    <w:rsid w:val="084915C1"/>
    <w:rsid w:val="08F34E7D"/>
    <w:rsid w:val="097823FB"/>
    <w:rsid w:val="099C656E"/>
    <w:rsid w:val="09DE3835"/>
    <w:rsid w:val="0A382B9E"/>
    <w:rsid w:val="0A9B1C58"/>
    <w:rsid w:val="0ACF24DE"/>
    <w:rsid w:val="0B173C0C"/>
    <w:rsid w:val="0B375434"/>
    <w:rsid w:val="0B886953"/>
    <w:rsid w:val="0BCE70BB"/>
    <w:rsid w:val="0BF237F7"/>
    <w:rsid w:val="0C124FD2"/>
    <w:rsid w:val="0C6E479D"/>
    <w:rsid w:val="0CC55203"/>
    <w:rsid w:val="0CF355FF"/>
    <w:rsid w:val="0D7F3746"/>
    <w:rsid w:val="0DA46421"/>
    <w:rsid w:val="0E2D190C"/>
    <w:rsid w:val="0E4244B2"/>
    <w:rsid w:val="0F0740F2"/>
    <w:rsid w:val="0F812EBC"/>
    <w:rsid w:val="103964D4"/>
    <w:rsid w:val="103E7FAD"/>
    <w:rsid w:val="10663775"/>
    <w:rsid w:val="10694EF6"/>
    <w:rsid w:val="107453F4"/>
    <w:rsid w:val="108F6D8B"/>
    <w:rsid w:val="1135576A"/>
    <w:rsid w:val="113B6C8D"/>
    <w:rsid w:val="121A6E9F"/>
    <w:rsid w:val="12BB3B13"/>
    <w:rsid w:val="13313C61"/>
    <w:rsid w:val="13424DE3"/>
    <w:rsid w:val="137B0F4B"/>
    <w:rsid w:val="139C27B3"/>
    <w:rsid w:val="13ED09FB"/>
    <w:rsid w:val="140F7BCC"/>
    <w:rsid w:val="143F1847"/>
    <w:rsid w:val="14517BE9"/>
    <w:rsid w:val="14954E3A"/>
    <w:rsid w:val="152F114F"/>
    <w:rsid w:val="15F8016D"/>
    <w:rsid w:val="1695452E"/>
    <w:rsid w:val="16C575BD"/>
    <w:rsid w:val="172146A2"/>
    <w:rsid w:val="172D597F"/>
    <w:rsid w:val="17657612"/>
    <w:rsid w:val="178F42C5"/>
    <w:rsid w:val="17F60DFA"/>
    <w:rsid w:val="18006141"/>
    <w:rsid w:val="18647F5D"/>
    <w:rsid w:val="186E6FF0"/>
    <w:rsid w:val="188E6361"/>
    <w:rsid w:val="18F47149"/>
    <w:rsid w:val="19CB14DE"/>
    <w:rsid w:val="1A110891"/>
    <w:rsid w:val="1A3A45BC"/>
    <w:rsid w:val="1A524C3A"/>
    <w:rsid w:val="1A890932"/>
    <w:rsid w:val="1A8D1871"/>
    <w:rsid w:val="1ADD3E1A"/>
    <w:rsid w:val="1BA75FA6"/>
    <w:rsid w:val="1BAD3168"/>
    <w:rsid w:val="1BB110B1"/>
    <w:rsid w:val="1BDB289A"/>
    <w:rsid w:val="1C736BAA"/>
    <w:rsid w:val="1CE14856"/>
    <w:rsid w:val="1D0E2C95"/>
    <w:rsid w:val="1D230D15"/>
    <w:rsid w:val="1D717DED"/>
    <w:rsid w:val="1D8A0E79"/>
    <w:rsid w:val="1DCF542D"/>
    <w:rsid w:val="1DD0112D"/>
    <w:rsid w:val="1DD107B4"/>
    <w:rsid w:val="1E012473"/>
    <w:rsid w:val="1FF322A0"/>
    <w:rsid w:val="201C1248"/>
    <w:rsid w:val="20395FF7"/>
    <w:rsid w:val="219D54D2"/>
    <w:rsid w:val="21AF01E6"/>
    <w:rsid w:val="221E1873"/>
    <w:rsid w:val="22364120"/>
    <w:rsid w:val="22FA042B"/>
    <w:rsid w:val="232E3EB1"/>
    <w:rsid w:val="234534B4"/>
    <w:rsid w:val="234871FF"/>
    <w:rsid w:val="235A7076"/>
    <w:rsid w:val="23885406"/>
    <w:rsid w:val="24BF6FF6"/>
    <w:rsid w:val="2588103B"/>
    <w:rsid w:val="25970280"/>
    <w:rsid w:val="26854F1D"/>
    <w:rsid w:val="26AF231F"/>
    <w:rsid w:val="26F30F76"/>
    <w:rsid w:val="26F849D4"/>
    <w:rsid w:val="278E01A3"/>
    <w:rsid w:val="279B616E"/>
    <w:rsid w:val="280C22E7"/>
    <w:rsid w:val="28426186"/>
    <w:rsid w:val="288F5AD7"/>
    <w:rsid w:val="28C10309"/>
    <w:rsid w:val="2940790F"/>
    <w:rsid w:val="29EB0C54"/>
    <w:rsid w:val="2A3E2C5C"/>
    <w:rsid w:val="2A505766"/>
    <w:rsid w:val="2A6050A0"/>
    <w:rsid w:val="2B181E53"/>
    <w:rsid w:val="2B586C7E"/>
    <w:rsid w:val="2B9A038F"/>
    <w:rsid w:val="2BA22CE6"/>
    <w:rsid w:val="2BDA7B1E"/>
    <w:rsid w:val="2C0267A2"/>
    <w:rsid w:val="2D430310"/>
    <w:rsid w:val="2D4539B7"/>
    <w:rsid w:val="2D502E59"/>
    <w:rsid w:val="2DA441A6"/>
    <w:rsid w:val="2E345DF0"/>
    <w:rsid w:val="2E7D7F92"/>
    <w:rsid w:val="2E88532B"/>
    <w:rsid w:val="2EA16DE5"/>
    <w:rsid w:val="2EC769B2"/>
    <w:rsid w:val="2EE74643"/>
    <w:rsid w:val="2EE87F31"/>
    <w:rsid w:val="2EF416F3"/>
    <w:rsid w:val="2F8760B1"/>
    <w:rsid w:val="2F9B73DA"/>
    <w:rsid w:val="2FF43B67"/>
    <w:rsid w:val="30A021B4"/>
    <w:rsid w:val="31514DB5"/>
    <w:rsid w:val="317177AC"/>
    <w:rsid w:val="31785591"/>
    <w:rsid w:val="31B25CAD"/>
    <w:rsid w:val="31C72764"/>
    <w:rsid w:val="321E2F12"/>
    <w:rsid w:val="328027E0"/>
    <w:rsid w:val="3297178C"/>
    <w:rsid w:val="32B65C59"/>
    <w:rsid w:val="331B466C"/>
    <w:rsid w:val="33537CF4"/>
    <w:rsid w:val="34835B79"/>
    <w:rsid w:val="34B966B2"/>
    <w:rsid w:val="34EF439C"/>
    <w:rsid w:val="355A0EC5"/>
    <w:rsid w:val="35FD5C61"/>
    <w:rsid w:val="36710F6B"/>
    <w:rsid w:val="369756B8"/>
    <w:rsid w:val="36F54C70"/>
    <w:rsid w:val="374359F5"/>
    <w:rsid w:val="37847A8F"/>
    <w:rsid w:val="37970993"/>
    <w:rsid w:val="38A16FB6"/>
    <w:rsid w:val="38A945E4"/>
    <w:rsid w:val="38C12EAD"/>
    <w:rsid w:val="39AE702A"/>
    <w:rsid w:val="3A0239E8"/>
    <w:rsid w:val="3AE047EF"/>
    <w:rsid w:val="3B207320"/>
    <w:rsid w:val="3B32574F"/>
    <w:rsid w:val="3B76669E"/>
    <w:rsid w:val="3B785448"/>
    <w:rsid w:val="3C776F93"/>
    <w:rsid w:val="3CE227EA"/>
    <w:rsid w:val="3D8244A5"/>
    <w:rsid w:val="3DCF6FFB"/>
    <w:rsid w:val="3DF94704"/>
    <w:rsid w:val="3E5D61CE"/>
    <w:rsid w:val="3FF870B7"/>
    <w:rsid w:val="406908A1"/>
    <w:rsid w:val="4136428A"/>
    <w:rsid w:val="42123436"/>
    <w:rsid w:val="4345084E"/>
    <w:rsid w:val="43E47B74"/>
    <w:rsid w:val="43F97E03"/>
    <w:rsid w:val="44091E87"/>
    <w:rsid w:val="44364144"/>
    <w:rsid w:val="44475CE1"/>
    <w:rsid w:val="44AF7030"/>
    <w:rsid w:val="44D516DB"/>
    <w:rsid w:val="45C74089"/>
    <w:rsid w:val="461F614E"/>
    <w:rsid w:val="46245001"/>
    <w:rsid w:val="469265BD"/>
    <w:rsid w:val="476C2EDA"/>
    <w:rsid w:val="47B5072E"/>
    <w:rsid w:val="47B94257"/>
    <w:rsid w:val="47D552AF"/>
    <w:rsid w:val="48004A23"/>
    <w:rsid w:val="48192A0A"/>
    <w:rsid w:val="48686124"/>
    <w:rsid w:val="4876000D"/>
    <w:rsid w:val="48A253DF"/>
    <w:rsid w:val="48AC3669"/>
    <w:rsid w:val="48FA7161"/>
    <w:rsid w:val="49011038"/>
    <w:rsid w:val="493842DA"/>
    <w:rsid w:val="49436AA0"/>
    <w:rsid w:val="495B70EA"/>
    <w:rsid w:val="497C6136"/>
    <w:rsid w:val="49C331DB"/>
    <w:rsid w:val="49DB1F32"/>
    <w:rsid w:val="4A121A99"/>
    <w:rsid w:val="4A1D0979"/>
    <w:rsid w:val="4A303B76"/>
    <w:rsid w:val="4B4D183A"/>
    <w:rsid w:val="4B6246A3"/>
    <w:rsid w:val="4BE055A6"/>
    <w:rsid w:val="4C8C3B57"/>
    <w:rsid w:val="4CBC1559"/>
    <w:rsid w:val="4CCA137F"/>
    <w:rsid w:val="4CE03BBE"/>
    <w:rsid w:val="4D1466A3"/>
    <w:rsid w:val="4D79151E"/>
    <w:rsid w:val="4D907448"/>
    <w:rsid w:val="4E153BF3"/>
    <w:rsid w:val="4E1E342B"/>
    <w:rsid w:val="4ED8305E"/>
    <w:rsid w:val="4EF879D1"/>
    <w:rsid w:val="4F0A2925"/>
    <w:rsid w:val="4F950C90"/>
    <w:rsid w:val="4FF356FA"/>
    <w:rsid w:val="50BD49FC"/>
    <w:rsid w:val="51423117"/>
    <w:rsid w:val="516A38C2"/>
    <w:rsid w:val="51CA1001"/>
    <w:rsid w:val="51D323B4"/>
    <w:rsid w:val="523B6687"/>
    <w:rsid w:val="52A70BA0"/>
    <w:rsid w:val="52BB3250"/>
    <w:rsid w:val="52F86099"/>
    <w:rsid w:val="533E071B"/>
    <w:rsid w:val="53515129"/>
    <w:rsid w:val="53526944"/>
    <w:rsid w:val="53982CF8"/>
    <w:rsid w:val="53F7115E"/>
    <w:rsid w:val="542D361E"/>
    <w:rsid w:val="54481AB1"/>
    <w:rsid w:val="55564307"/>
    <w:rsid w:val="55846771"/>
    <w:rsid w:val="55BA12E2"/>
    <w:rsid w:val="55CC63B8"/>
    <w:rsid w:val="55D035A5"/>
    <w:rsid w:val="55D67355"/>
    <w:rsid w:val="55D845CE"/>
    <w:rsid w:val="55EC0EFF"/>
    <w:rsid w:val="560A306F"/>
    <w:rsid w:val="56A2184E"/>
    <w:rsid w:val="56A23BEF"/>
    <w:rsid w:val="56B01490"/>
    <w:rsid w:val="572E6AAD"/>
    <w:rsid w:val="57B457BD"/>
    <w:rsid w:val="580F2CAC"/>
    <w:rsid w:val="58280D75"/>
    <w:rsid w:val="59032417"/>
    <w:rsid w:val="59112618"/>
    <w:rsid w:val="59573665"/>
    <w:rsid w:val="59D32CD9"/>
    <w:rsid w:val="5AB01B08"/>
    <w:rsid w:val="5ACB528A"/>
    <w:rsid w:val="5BAF575B"/>
    <w:rsid w:val="5CE072A0"/>
    <w:rsid w:val="5DB13DEC"/>
    <w:rsid w:val="5DC418C3"/>
    <w:rsid w:val="5E106839"/>
    <w:rsid w:val="5E1576E4"/>
    <w:rsid w:val="5E4F79FB"/>
    <w:rsid w:val="5E720652"/>
    <w:rsid w:val="60EB4BB4"/>
    <w:rsid w:val="610A0BA5"/>
    <w:rsid w:val="612C2006"/>
    <w:rsid w:val="612D7F0A"/>
    <w:rsid w:val="61454DC2"/>
    <w:rsid w:val="61E46661"/>
    <w:rsid w:val="62BC5A0C"/>
    <w:rsid w:val="63334D06"/>
    <w:rsid w:val="63576761"/>
    <w:rsid w:val="63901EA2"/>
    <w:rsid w:val="63DD10CA"/>
    <w:rsid w:val="63F91DA1"/>
    <w:rsid w:val="63FA10A2"/>
    <w:rsid w:val="64A271B2"/>
    <w:rsid w:val="653247CC"/>
    <w:rsid w:val="654F6D5B"/>
    <w:rsid w:val="65683213"/>
    <w:rsid w:val="6584299C"/>
    <w:rsid w:val="662F52BC"/>
    <w:rsid w:val="676B3745"/>
    <w:rsid w:val="67713939"/>
    <w:rsid w:val="67BA2E8A"/>
    <w:rsid w:val="67CD6DCE"/>
    <w:rsid w:val="680E5A14"/>
    <w:rsid w:val="689E32B8"/>
    <w:rsid w:val="699B558A"/>
    <w:rsid w:val="69D30089"/>
    <w:rsid w:val="69FF12F1"/>
    <w:rsid w:val="6A2E7AC1"/>
    <w:rsid w:val="6A300946"/>
    <w:rsid w:val="6A6D4AC4"/>
    <w:rsid w:val="6B64724E"/>
    <w:rsid w:val="6BB94D86"/>
    <w:rsid w:val="6BCB53E5"/>
    <w:rsid w:val="6C4D0A8B"/>
    <w:rsid w:val="6C5A7F9E"/>
    <w:rsid w:val="6CEE3F7D"/>
    <w:rsid w:val="6D200F48"/>
    <w:rsid w:val="6D62197B"/>
    <w:rsid w:val="6D7D743A"/>
    <w:rsid w:val="6D944D1E"/>
    <w:rsid w:val="6DC70C67"/>
    <w:rsid w:val="6DFB586F"/>
    <w:rsid w:val="6E8A0D44"/>
    <w:rsid w:val="6E9424B8"/>
    <w:rsid w:val="6E9C086C"/>
    <w:rsid w:val="6F2C3FB0"/>
    <w:rsid w:val="6FB14EC8"/>
    <w:rsid w:val="6FD946D5"/>
    <w:rsid w:val="7003369F"/>
    <w:rsid w:val="705A7660"/>
    <w:rsid w:val="70B056A3"/>
    <w:rsid w:val="70E3206A"/>
    <w:rsid w:val="714712DD"/>
    <w:rsid w:val="71AF559B"/>
    <w:rsid w:val="71CB1B2E"/>
    <w:rsid w:val="71F4323B"/>
    <w:rsid w:val="71F516FA"/>
    <w:rsid w:val="7297468D"/>
    <w:rsid w:val="7297592C"/>
    <w:rsid w:val="731009FB"/>
    <w:rsid w:val="73BE28B0"/>
    <w:rsid w:val="73FE6984"/>
    <w:rsid w:val="74104C97"/>
    <w:rsid w:val="74407543"/>
    <w:rsid w:val="74651D75"/>
    <w:rsid w:val="753D7DE4"/>
    <w:rsid w:val="757D600F"/>
    <w:rsid w:val="75C9583B"/>
    <w:rsid w:val="75CC3021"/>
    <w:rsid w:val="76F92E16"/>
    <w:rsid w:val="776A702D"/>
    <w:rsid w:val="776B0596"/>
    <w:rsid w:val="77742B0E"/>
    <w:rsid w:val="77834F01"/>
    <w:rsid w:val="77862AE9"/>
    <w:rsid w:val="77ED5087"/>
    <w:rsid w:val="785F0A02"/>
    <w:rsid w:val="78AB3461"/>
    <w:rsid w:val="790469D9"/>
    <w:rsid w:val="794F37D9"/>
    <w:rsid w:val="795643D2"/>
    <w:rsid w:val="79761752"/>
    <w:rsid w:val="79A459FF"/>
    <w:rsid w:val="79D4536F"/>
    <w:rsid w:val="79E43BEE"/>
    <w:rsid w:val="7A0C2F4B"/>
    <w:rsid w:val="7A1301AC"/>
    <w:rsid w:val="7A4E35CD"/>
    <w:rsid w:val="7A9F0F36"/>
    <w:rsid w:val="7B000E04"/>
    <w:rsid w:val="7B962802"/>
    <w:rsid w:val="7B9D6B40"/>
    <w:rsid w:val="7BDE0C48"/>
    <w:rsid w:val="7C012B58"/>
    <w:rsid w:val="7C8B0BA1"/>
    <w:rsid w:val="7CBE4A76"/>
    <w:rsid w:val="7CBF7F35"/>
    <w:rsid w:val="7CC07834"/>
    <w:rsid w:val="7CF72411"/>
    <w:rsid w:val="7D3C6959"/>
    <w:rsid w:val="7D705435"/>
    <w:rsid w:val="7DAC730F"/>
    <w:rsid w:val="7DAD67C8"/>
    <w:rsid w:val="7E734D25"/>
    <w:rsid w:val="7EB71CAB"/>
    <w:rsid w:val="7EDF5FB1"/>
    <w:rsid w:val="7F0842E6"/>
    <w:rsid w:val="7F481078"/>
    <w:rsid w:val="7F5B0D08"/>
    <w:rsid w:val="7F9D1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ind w:firstLine="200" w:firstLineChars="200"/>
      <w:textAlignment w:val="center"/>
    </w:pPr>
    <w:rPr>
      <w:rFonts w:ascii="宋体" w:hAnsi="宋体" w:eastAsia="宋体" w:cs="宋体"/>
      <w:kern w:val="2"/>
      <w:sz w:val="28"/>
      <w:szCs w:val="28"/>
      <w:lang w:val="en-US" w:eastAsia="zh-CN" w:bidi="ar-SA"/>
    </w:rPr>
  </w:style>
  <w:style w:type="paragraph" w:styleId="2">
    <w:name w:val="heading 1"/>
    <w:basedOn w:val="1"/>
    <w:next w:val="1"/>
    <w:link w:val="32"/>
    <w:qFormat/>
    <w:uiPriority w:val="0"/>
    <w:pPr>
      <w:numPr>
        <w:ilvl w:val="0"/>
        <w:numId w:val="1"/>
      </w:numPr>
      <w:spacing w:before="100" w:beforeLines="100" w:after="100" w:afterLines="100"/>
      <w:ind w:firstLineChars="0"/>
      <w:outlineLvl w:val="0"/>
    </w:pPr>
    <w:rPr>
      <w:rFonts w:ascii="Times New Roman" w:hAnsi="Times New Roman" w:eastAsia="黑体"/>
      <w:b/>
      <w:bCs/>
      <w:kern w:val="44"/>
      <w:sz w:val="21"/>
      <w:szCs w:val="36"/>
    </w:rPr>
  </w:style>
  <w:style w:type="paragraph" w:styleId="3">
    <w:name w:val="heading 2"/>
    <w:basedOn w:val="1"/>
    <w:next w:val="1"/>
    <w:link w:val="33"/>
    <w:unhideWhenUsed/>
    <w:qFormat/>
    <w:uiPriority w:val="0"/>
    <w:pPr>
      <w:numPr>
        <w:ilvl w:val="1"/>
        <w:numId w:val="1"/>
      </w:numPr>
      <w:spacing w:before="50" w:beforeLines="50" w:after="50" w:afterLines="50"/>
      <w:ind w:firstLineChars="0"/>
      <w:outlineLvl w:val="1"/>
    </w:pPr>
    <w:rPr>
      <w:rFonts w:ascii="Times New Roman" w:hAnsi="Times New Roman"/>
      <w:b/>
      <w:bCs/>
      <w:sz w:val="32"/>
      <w:lang w:val="zh-CN"/>
    </w:rPr>
  </w:style>
  <w:style w:type="paragraph" w:styleId="4">
    <w:name w:val="heading 3"/>
    <w:basedOn w:val="1"/>
    <w:next w:val="1"/>
    <w:link w:val="34"/>
    <w:unhideWhenUsed/>
    <w:qFormat/>
    <w:uiPriority w:val="0"/>
    <w:pPr>
      <w:numPr>
        <w:ilvl w:val="2"/>
        <w:numId w:val="1"/>
      </w:numPr>
      <w:tabs>
        <w:tab w:val="left" w:pos="0"/>
      </w:tabs>
      <w:ind w:firstLineChars="0"/>
      <w:outlineLvl w:val="2"/>
    </w:pPr>
    <w:rPr>
      <w:rFonts w:ascii="Times New Roman" w:hAnsi="Times New Roman"/>
      <w:b/>
      <w:bCs/>
      <w:color w:val="000000"/>
      <w:sz w:val="30"/>
      <w:szCs w:val="30"/>
      <w:lang w:val="zh-CN"/>
    </w:rPr>
  </w:style>
  <w:style w:type="paragraph" w:styleId="5">
    <w:name w:val="heading 4"/>
    <w:basedOn w:val="4"/>
    <w:next w:val="1"/>
    <w:link w:val="40"/>
    <w:unhideWhenUsed/>
    <w:qFormat/>
    <w:uiPriority w:val="0"/>
    <w:pPr>
      <w:numPr>
        <w:ilvl w:val="3"/>
      </w:numPr>
      <w:ind w:firstLine="0"/>
      <w:outlineLvl w:val="3"/>
    </w:pPr>
    <w:rPr>
      <w:rFonts w:asciiTheme="majorHAnsi" w:hAnsiTheme="majorHAnsi" w:cstheme="majorBidi"/>
      <w:kern w:val="44"/>
      <w:szCs w:val="28"/>
      <w:lang w:val="en-US"/>
      <w14:ligatures w14:val="standardContextual"/>
    </w:rPr>
  </w:style>
  <w:style w:type="paragraph" w:styleId="6">
    <w:name w:val="heading 5"/>
    <w:basedOn w:val="1"/>
    <w:next w:val="1"/>
    <w:link w:val="52"/>
    <w:semiHidden/>
    <w:unhideWhenUsed/>
    <w:qFormat/>
    <w:uiPriority w:val="0"/>
    <w:pPr>
      <w:numPr>
        <w:ilvl w:val="4"/>
        <w:numId w:val="1"/>
      </w:numPr>
      <w:tabs>
        <w:tab w:val="left" w:pos="0"/>
        <w:tab w:val="clear" w:pos="420"/>
      </w:tabs>
      <w:ind w:firstLineChars="0"/>
      <w:outlineLvl w:val="4"/>
    </w:pPr>
    <w:rPr>
      <w:lang w:val="zh-CN"/>
    </w:rPr>
  </w:style>
  <w:style w:type="paragraph" w:styleId="7">
    <w:name w:val="heading 6"/>
    <w:basedOn w:val="1"/>
    <w:next w:val="1"/>
    <w:link w:val="53"/>
    <w:semiHidden/>
    <w:unhideWhenUsed/>
    <w:qFormat/>
    <w:uiPriority w:val="0"/>
    <w:pPr>
      <w:numPr>
        <w:ilvl w:val="5"/>
        <w:numId w:val="1"/>
      </w:numPr>
      <w:tabs>
        <w:tab w:val="left" w:pos="0"/>
        <w:tab w:val="clear" w:pos="420"/>
      </w:tabs>
      <w:adjustRightInd w:val="0"/>
      <w:ind w:firstLineChars="0"/>
      <w:outlineLvl w:val="5"/>
    </w:pPr>
  </w:style>
  <w:style w:type="paragraph" w:styleId="8">
    <w:name w:val="heading 7"/>
    <w:basedOn w:val="1"/>
    <w:next w:val="1"/>
    <w:link w:val="35"/>
    <w:semiHidden/>
    <w:unhideWhenUsed/>
    <w:qFormat/>
    <w:uiPriority w:val="0"/>
    <w:pPr>
      <w:numPr>
        <w:ilvl w:val="6"/>
        <w:numId w:val="2"/>
      </w:numPr>
      <w:ind w:firstLineChars="0"/>
      <w:outlineLvl w:val="6"/>
    </w:pPr>
  </w:style>
  <w:style w:type="paragraph" w:styleId="9">
    <w:name w:val="heading 8"/>
    <w:basedOn w:val="1"/>
    <w:next w:val="1"/>
    <w:link w:val="55"/>
    <w:semiHidden/>
    <w:unhideWhenUsed/>
    <w:qFormat/>
    <w:uiPriority w:val="0"/>
    <w:pPr>
      <w:numPr>
        <w:ilvl w:val="7"/>
        <w:numId w:val="2"/>
      </w:numPr>
      <w:adjustRightInd w:val="0"/>
      <w:snapToGrid w:val="0"/>
      <w:ind w:firstLineChars="0"/>
      <w:outlineLvl w:val="7"/>
    </w:pPr>
  </w:style>
  <w:style w:type="paragraph" w:styleId="10">
    <w:name w:val="heading 9"/>
    <w:basedOn w:val="1"/>
    <w:next w:val="1"/>
    <w:link w:val="56"/>
    <w:semiHidden/>
    <w:unhideWhenUsed/>
    <w:qFormat/>
    <w:uiPriority w:val="0"/>
    <w:pPr>
      <w:numPr>
        <w:ilvl w:val="8"/>
        <w:numId w:val="2"/>
      </w:numPr>
      <w:spacing w:line="600" w:lineRule="exact"/>
      <w:ind w:firstLineChars="0"/>
      <w:outlineLvl w:val="8"/>
    </w:pPr>
    <w:rPr>
      <w:rFonts w:ascii="等线 Light" w:hAnsi="等线 Light"/>
      <w:color w:val="000000" w:themeColor="text1"/>
      <w14:textFill>
        <w14:solidFill>
          <w14:schemeClr w14:val="tx1"/>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snapToGrid w:val="0"/>
      <w:spacing w:line="300" w:lineRule="exact"/>
      <w:ind w:firstLine="0" w:firstLineChars="0"/>
      <w:jc w:val="center"/>
    </w:pPr>
    <w:rPr>
      <w:sz w:val="24"/>
      <w:szCs w:val="24"/>
    </w:rPr>
  </w:style>
  <w:style w:type="paragraph" w:styleId="12">
    <w:name w:val="caption"/>
    <w:basedOn w:val="1"/>
    <w:next w:val="1"/>
    <w:link w:val="41"/>
    <w:semiHidden/>
    <w:unhideWhenUsed/>
    <w:qFormat/>
    <w:uiPriority w:val="0"/>
    <w:pPr>
      <w:widowControl/>
      <w:ind w:firstLine="0" w:firstLineChars="0"/>
      <w:jc w:val="center"/>
      <w:outlineLvl w:val="4"/>
    </w:pPr>
    <w:rPr>
      <w:rFonts w:ascii="Times New Roman" w:hAnsi="Times New Roman" w:cstheme="majorBidi"/>
      <w:b/>
      <w:kern w:val="0"/>
      <w:sz w:val="24"/>
      <w:szCs w:val="24"/>
    </w:rPr>
  </w:style>
  <w:style w:type="paragraph" w:styleId="13">
    <w:name w:val="annotation text"/>
    <w:basedOn w:val="1"/>
    <w:qFormat/>
    <w:uiPriority w:val="0"/>
  </w:style>
  <w:style w:type="paragraph" w:styleId="14">
    <w:name w:val="Body Text"/>
    <w:basedOn w:val="1"/>
    <w:qFormat/>
    <w:uiPriority w:val="0"/>
    <w:pPr>
      <w:spacing w:after="120"/>
    </w:pPr>
  </w:style>
  <w:style w:type="paragraph" w:styleId="15">
    <w:name w:val="Body Text Indent"/>
    <w:basedOn w:val="1"/>
    <w:qFormat/>
    <w:uiPriority w:val="0"/>
    <w:pPr>
      <w:spacing w:after="120"/>
      <w:ind w:left="420" w:leftChars="200"/>
    </w:pPr>
  </w:style>
  <w:style w:type="paragraph" w:styleId="16">
    <w:name w:val="toc 3"/>
    <w:basedOn w:val="1"/>
    <w:next w:val="1"/>
    <w:autoRedefine/>
    <w:qFormat/>
    <w:uiPriority w:val="39"/>
    <w:pPr>
      <w:ind w:left="840" w:leftChars="400"/>
    </w:pPr>
  </w:style>
  <w:style w:type="paragraph" w:styleId="17">
    <w:name w:val="Plain Text"/>
    <w:basedOn w:val="1"/>
    <w:next w:val="1"/>
    <w:unhideWhenUsed/>
    <w:qFormat/>
    <w:uiPriority w:val="0"/>
    <w:pPr>
      <w:spacing w:line="192" w:lineRule="atLeast"/>
      <w:ind w:left="-357" w:firstLine="886"/>
    </w:pPr>
    <w:rPr>
      <w:rFonts w:hAnsi="Courier New" w:cs="Courier New"/>
      <w:szCs w:val="21"/>
    </w:rPr>
  </w:style>
  <w:style w:type="paragraph" w:styleId="18">
    <w:name w:val="Balloon Text"/>
    <w:basedOn w:val="1"/>
    <w:link w:val="68"/>
    <w:qFormat/>
    <w:uiPriority w:val="0"/>
    <w:rPr>
      <w:sz w:val="18"/>
      <w:szCs w:val="18"/>
    </w:rPr>
  </w:style>
  <w:style w:type="paragraph" w:styleId="19">
    <w:name w:val="footer"/>
    <w:basedOn w:val="1"/>
    <w:qFormat/>
    <w:uiPriority w:val="0"/>
    <w:pPr>
      <w:tabs>
        <w:tab w:val="center" w:pos="4153"/>
        <w:tab w:val="right" w:pos="8306"/>
      </w:tabs>
      <w:snapToGrid w:val="0"/>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1">
    <w:name w:val="toc 1"/>
    <w:basedOn w:val="1"/>
    <w:next w:val="1"/>
    <w:qFormat/>
    <w:uiPriority w:val="39"/>
    <w:pPr>
      <w:spacing w:before="25" w:beforeLines="25" w:after="25" w:afterLines="25"/>
    </w:pPr>
    <w:rPr>
      <w:szCs w:val="21"/>
    </w:rPr>
  </w:style>
  <w:style w:type="paragraph" w:styleId="22">
    <w:name w:val="toc 4"/>
    <w:basedOn w:val="1"/>
    <w:next w:val="1"/>
    <w:qFormat/>
    <w:uiPriority w:val="39"/>
    <w:pPr>
      <w:tabs>
        <w:tab w:val="right" w:leader="dot" w:pos="9241"/>
      </w:tabs>
      <w:ind w:firstLine="198" w:firstLineChars="200"/>
      <w:jc w:val="left"/>
    </w:pPr>
    <w:rPr>
      <w:rFonts w:ascii="宋体"/>
      <w:szCs w:val="21"/>
    </w:rPr>
  </w:style>
  <w:style w:type="paragraph" w:styleId="23">
    <w:name w:val="toc 2"/>
    <w:basedOn w:val="1"/>
    <w:next w:val="1"/>
    <w:qFormat/>
    <w:uiPriority w:val="39"/>
    <w:pPr>
      <w:ind w:left="420" w:leftChars="200"/>
    </w:pPr>
  </w:style>
  <w:style w:type="paragraph" w:styleId="24">
    <w:name w:val="Normal (Web)"/>
    <w:basedOn w:val="1"/>
    <w:qFormat/>
    <w:uiPriority w:val="0"/>
    <w:rPr>
      <w:sz w:val="24"/>
    </w:rPr>
  </w:style>
  <w:style w:type="paragraph" w:styleId="25">
    <w:name w:val="Title"/>
    <w:basedOn w:val="1"/>
    <w:qFormat/>
    <w:uiPriority w:val="0"/>
    <w:pPr>
      <w:spacing w:before="240" w:after="60"/>
      <w:jc w:val="center"/>
      <w:outlineLvl w:val="0"/>
    </w:pPr>
    <w:rPr>
      <w:rFonts w:ascii="Arial" w:hAnsi="Arial"/>
      <w:b/>
      <w:sz w:val="32"/>
    </w:rPr>
  </w:style>
  <w:style w:type="paragraph" w:styleId="26">
    <w:name w:val="Body Text First Indent"/>
    <w:basedOn w:val="14"/>
    <w:qFormat/>
    <w:uiPriority w:val="0"/>
    <w:pPr>
      <w:ind w:firstLine="420" w:firstLineChars="100"/>
    </w:pPr>
  </w:style>
  <w:style w:type="paragraph" w:styleId="27">
    <w:name w:val="Body Text First Indent 2"/>
    <w:basedOn w:val="15"/>
    <w:qFormat/>
    <w:uiPriority w:val="0"/>
    <w:pPr>
      <w:ind w:firstLine="42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Hyperlink"/>
    <w:basedOn w:val="30"/>
    <w:unhideWhenUsed/>
    <w:qFormat/>
    <w:uiPriority w:val="99"/>
    <w:rPr>
      <w:color w:val="0563C1" w:themeColor="hyperlink"/>
      <w:u w:val="single"/>
      <w14:textFill>
        <w14:solidFill>
          <w14:schemeClr w14:val="hlink"/>
        </w14:solidFill>
      </w14:textFill>
    </w:rPr>
  </w:style>
  <w:style w:type="character" w:customStyle="1" w:styleId="32">
    <w:name w:val="标题 1 Char"/>
    <w:link w:val="2"/>
    <w:qFormat/>
    <w:uiPriority w:val="1"/>
    <w:rPr>
      <w:rFonts w:ascii="Times New Roman" w:hAnsi="Times New Roman" w:eastAsia="黑体" w:cs="宋体"/>
      <w:b/>
      <w:bCs/>
      <w:kern w:val="44"/>
      <w:sz w:val="21"/>
      <w:szCs w:val="36"/>
    </w:rPr>
  </w:style>
  <w:style w:type="character" w:customStyle="1" w:styleId="33">
    <w:name w:val="标题 2 Char"/>
    <w:link w:val="3"/>
    <w:qFormat/>
    <w:uiPriority w:val="1"/>
    <w:rPr>
      <w:rFonts w:ascii="Times New Roman" w:hAnsi="Times New Roman" w:eastAsia="宋体" w:cs="宋体"/>
      <w:b/>
      <w:bCs/>
      <w:sz w:val="32"/>
      <w:szCs w:val="28"/>
      <w:lang w:val="zh-CN"/>
    </w:rPr>
  </w:style>
  <w:style w:type="character" w:customStyle="1" w:styleId="34">
    <w:name w:val="标题 3 Char"/>
    <w:link w:val="4"/>
    <w:qFormat/>
    <w:uiPriority w:val="1"/>
    <w:rPr>
      <w:rFonts w:ascii="Times New Roman" w:hAnsi="Times New Roman" w:eastAsia="宋体"/>
      <w:b/>
      <w:bCs/>
      <w:color w:val="000000"/>
      <w:sz w:val="30"/>
      <w:szCs w:val="30"/>
      <w:lang w:val="zh-CN"/>
    </w:rPr>
  </w:style>
  <w:style w:type="character" w:customStyle="1" w:styleId="35">
    <w:name w:val="标题 7 Char"/>
    <w:link w:val="8"/>
    <w:qFormat/>
    <w:uiPriority w:val="9"/>
    <w:rPr>
      <w:rFonts w:ascii="宋体" w:hAnsi="宋体" w:eastAsia="宋体"/>
      <w:sz w:val="28"/>
      <w:szCs w:val="28"/>
    </w:rPr>
  </w:style>
  <w:style w:type="paragraph" w:customStyle="1" w:styleId="36">
    <w:name w:val="表格文字"/>
    <w:qFormat/>
    <w:uiPriority w:val="0"/>
    <w:pPr>
      <w:widowControl w:val="0"/>
      <w:overflowPunct w:val="0"/>
      <w:adjustRightInd w:val="0"/>
      <w:snapToGrid w:val="0"/>
      <w:jc w:val="center"/>
    </w:pPr>
    <w:rPr>
      <w:rFonts w:ascii="Times New Roman" w:hAnsi="Times New Roman" w:eastAsia="宋体" w:cs="Times New Roman"/>
      <w:kern w:val="2"/>
      <w:sz w:val="21"/>
      <w:szCs w:val="24"/>
      <w:lang w:val="en-US" w:eastAsia="zh-CN" w:bidi="ar-SA"/>
    </w:rPr>
  </w:style>
  <w:style w:type="paragraph" w:customStyle="1" w:styleId="37">
    <w:name w:val="表格标题"/>
    <w:basedOn w:val="1"/>
    <w:next w:val="1"/>
    <w:link w:val="38"/>
    <w:qFormat/>
    <w:uiPriority w:val="0"/>
    <w:pPr>
      <w:jc w:val="center"/>
      <w:outlineLvl w:val="4"/>
    </w:pPr>
    <w:rPr>
      <w:rFonts w:ascii="Times New Roman" w:hAnsi="Times New Roman"/>
      <w:b/>
      <w:color w:val="000000"/>
      <w:kern w:val="0"/>
      <w:sz w:val="21"/>
      <w:szCs w:val="24"/>
    </w:rPr>
  </w:style>
  <w:style w:type="character" w:customStyle="1" w:styleId="38">
    <w:name w:val="表格标题 Char"/>
    <w:link w:val="37"/>
    <w:qFormat/>
    <w:uiPriority w:val="0"/>
    <w:rPr>
      <w:rFonts w:ascii="Times New Roman" w:hAnsi="Times New Roman" w:eastAsia="宋体" w:cs="Times New Roman"/>
      <w:b/>
      <w:bCs/>
      <w:color w:val="000000"/>
      <w:kern w:val="0"/>
      <w:sz w:val="24"/>
      <w:szCs w:val="24"/>
    </w:rPr>
  </w:style>
  <w:style w:type="paragraph" w:customStyle="1" w:styleId="39">
    <w:name w:val="表格内容"/>
    <w:next w:val="1"/>
    <w:link w:val="54"/>
    <w:unhideWhenUsed/>
    <w:qFormat/>
    <w:uiPriority w:val="99"/>
    <w:pPr>
      <w:jc w:val="center"/>
    </w:pPr>
    <w:rPr>
      <w:rFonts w:ascii="Times New Roman" w:hAnsi="Times New Roman" w:eastAsia="宋体" w:cstheme="majorBidi"/>
      <w:bCs/>
      <w:kern w:val="2"/>
      <w:sz w:val="24"/>
      <w:szCs w:val="24"/>
      <w:lang w:val="en-US" w:eastAsia="zh-CN" w:bidi="ar-SA"/>
      <w14:ligatures w14:val="standardContextual"/>
    </w:rPr>
  </w:style>
  <w:style w:type="character" w:customStyle="1" w:styleId="40">
    <w:name w:val="标题 4 Char"/>
    <w:link w:val="5"/>
    <w:qFormat/>
    <w:uiPriority w:val="0"/>
    <w:rPr>
      <w:rFonts w:ascii="宋体" w:hAnsi="宋体" w:eastAsia="宋体" w:cstheme="majorBidi"/>
      <w:b/>
      <w:kern w:val="44"/>
      <w:sz w:val="30"/>
      <w:szCs w:val="28"/>
      <w:lang w:val="en-US"/>
      <w14:ligatures w14:val="standardContextual"/>
    </w:rPr>
  </w:style>
  <w:style w:type="character" w:customStyle="1" w:styleId="41">
    <w:name w:val="题注 Char"/>
    <w:link w:val="12"/>
    <w:qFormat/>
    <w:uiPriority w:val="35"/>
    <w:rPr>
      <w:rFonts w:ascii="Times New Roman" w:hAnsi="Times New Roman" w:eastAsia="宋体" w:cstheme="majorBidi"/>
      <w:b/>
      <w:kern w:val="0"/>
      <w:sz w:val="24"/>
      <w:szCs w:val="24"/>
    </w:rPr>
  </w:style>
  <w:style w:type="paragraph" w:customStyle="1" w:styleId="42">
    <w:name w:val="样式3"/>
    <w:basedOn w:val="1"/>
    <w:next w:val="1"/>
    <w:link w:val="43"/>
    <w:qFormat/>
    <w:uiPriority w:val="0"/>
    <w:pPr>
      <w:numPr>
        <w:ilvl w:val="2"/>
        <w:numId w:val="3"/>
      </w:numPr>
      <w:ind w:firstLineChars="0"/>
      <w:outlineLvl w:val="2"/>
    </w:pPr>
    <w:rPr>
      <w:rFonts w:ascii="Times New Roman" w:hAnsi="Times New Roman" w:eastAsia="仿宋_GB2312"/>
      <w:b/>
      <w:szCs w:val="22"/>
    </w:rPr>
  </w:style>
  <w:style w:type="character" w:customStyle="1" w:styleId="43">
    <w:name w:val="样式3 字符"/>
    <w:link w:val="42"/>
    <w:qFormat/>
    <w:uiPriority w:val="0"/>
    <w:rPr>
      <w:rFonts w:ascii="Times New Roman" w:hAnsi="Times New Roman" w:eastAsia="仿宋_GB2312"/>
      <w:b/>
      <w:sz w:val="28"/>
      <w:szCs w:val="22"/>
      <w:shd w:val="clear" w:color="FFFFFF" w:fill="FFFFFF"/>
    </w:rPr>
  </w:style>
  <w:style w:type="paragraph" w:customStyle="1" w:styleId="44">
    <w:name w:val="样式1"/>
    <w:basedOn w:val="1"/>
    <w:qFormat/>
    <w:uiPriority w:val="0"/>
    <w:pPr>
      <w:numPr>
        <w:ilvl w:val="0"/>
        <w:numId w:val="4"/>
      </w:numPr>
      <w:ind w:firstLineChars="0"/>
    </w:pPr>
  </w:style>
  <w:style w:type="paragraph" w:customStyle="1" w:styleId="45">
    <w:name w:val="样式2"/>
    <w:basedOn w:val="1"/>
    <w:qFormat/>
    <w:uiPriority w:val="0"/>
    <w:pPr>
      <w:numPr>
        <w:ilvl w:val="1"/>
        <w:numId w:val="5"/>
      </w:numPr>
      <w:ind w:firstLineChars="0"/>
    </w:pPr>
  </w:style>
  <w:style w:type="paragraph" w:customStyle="1" w:styleId="46">
    <w:name w:val="样式4"/>
    <w:basedOn w:val="1"/>
    <w:qFormat/>
    <w:uiPriority w:val="0"/>
    <w:pPr>
      <w:numPr>
        <w:ilvl w:val="3"/>
        <w:numId w:val="6"/>
      </w:numPr>
      <w:ind w:firstLineChars="0"/>
    </w:pPr>
  </w:style>
  <w:style w:type="paragraph" w:customStyle="1" w:styleId="47">
    <w:name w:val="样式5"/>
    <w:basedOn w:val="1"/>
    <w:qFormat/>
    <w:uiPriority w:val="0"/>
    <w:pPr>
      <w:numPr>
        <w:ilvl w:val="4"/>
        <w:numId w:val="6"/>
      </w:numPr>
      <w:ind w:firstLineChars="0"/>
    </w:pPr>
  </w:style>
  <w:style w:type="paragraph" w:customStyle="1" w:styleId="48">
    <w:name w:val="样式6表标题"/>
    <w:basedOn w:val="7"/>
    <w:link w:val="51"/>
    <w:qFormat/>
    <w:uiPriority w:val="0"/>
    <w:pPr>
      <w:numPr>
        <w:numId w:val="6"/>
      </w:numPr>
      <w:jc w:val="center"/>
    </w:pPr>
    <w:rPr>
      <w:rFonts w:ascii="Times New Roman" w:hAnsi="Times New Roman" w:eastAsia="黑体" w:cs="Times New Roman"/>
    </w:rPr>
  </w:style>
  <w:style w:type="paragraph" w:customStyle="1" w:styleId="49">
    <w:name w:val="样式7图标题"/>
    <w:basedOn w:val="8"/>
    <w:link w:val="50"/>
    <w:qFormat/>
    <w:uiPriority w:val="0"/>
    <w:pPr>
      <w:numPr>
        <w:numId w:val="6"/>
      </w:numPr>
      <w:jc w:val="center"/>
    </w:pPr>
    <w:rPr>
      <w:rFonts w:ascii="Times New Roman" w:hAnsi="Times New Roman" w:eastAsia="黑体"/>
      <w:bCs/>
      <w:sz w:val="24"/>
      <w:szCs w:val="24"/>
    </w:rPr>
  </w:style>
  <w:style w:type="character" w:customStyle="1" w:styleId="50">
    <w:name w:val="样式7图标题 字符"/>
    <w:link w:val="49"/>
    <w:qFormat/>
    <w:uiPriority w:val="0"/>
    <w:rPr>
      <w:rFonts w:ascii="Times New Roman" w:hAnsi="Times New Roman" w:eastAsia="黑体"/>
      <w:bCs/>
      <w:kern w:val="2"/>
      <w:sz w:val="24"/>
      <w:szCs w:val="24"/>
    </w:rPr>
  </w:style>
  <w:style w:type="character" w:customStyle="1" w:styleId="51">
    <w:name w:val="样式6表标题 字符"/>
    <w:link w:val="48"/>
    <w:qFormat/>
    <w:uiPriority w:val="0"/>
    <w:rPr>
      <w:rFonts w:ascii="Times New Roman" w:hAnsi="Times New Roman" w:eastAsia="黑体" w:cs="Times New Roman"/>
      <w:bCs/>
      <w:sz w:val="24"/>
      <w:szCs w:val="24"/>
    </w:rPr>
  </w:style>
  <w:style w:type="character" w:customStyle="1" w:styleId="52">
    <w:name w:val="标题 5 Char"/>
    <w:link w:val="6"/>
    <w:qFormat/>
    <w:uiPriority w:val="9"/>
    <w:rPr>
      <w:rFonts w:ascii="宋体" w:hAnsi="宋体" w:eastAsia="宋体"/>
      <w:sz w:val="28"/>
      <w:szCs w:val="28"/>
      <w:lang w:val="zh-CN"/>
    </w:rPr>
  </w:style>
  <w:style w:type="character" w:customStyle="1" w:styleId="53">
    <w:name w:val="标题 6 Char"/>
    <w:link w:val="7"/>
    <w:qFormat/>
    <w:uiPriority w:val="9"/>
    <w:rPr>
      <w:rFonts w:ascii="宋体" w:hAnsi="宋体" w:eastAsia="宋体" w:cs="宋体"/>
      <w:sz w:val="28"/>
      <w:szCs w:val="28"/>
    </w:rPr>
  </w:style>
  <w:style w:type="character" w:customStyle="1" w:styleId="54">
    <w:name w:val="表格内容 字符"/>
    <w:basedOn w:val="30"/>
    <w:link w:val="39"/>
    <w:qFormat/>
    <w:uiPriority w:val="0"/>
    <w:rPr>
      <w:rFonts w:ascii="Times New Roman" w:hAnsi="Times New Roman" w:eastAsia="宋体" w:cstheme="majorBidi"/>
      <w:bCs/>
      <w:sz w:val="24"/>
      <w:szCs w:val="24"/>
    </w:rPr>
  </w:style>
  <w:style w:type="character" w:customStyle="1" w:styleId="55">
    <w:name w:val="标题 8 Char"/>
    <w:link w:val="9"/>
    <w:qFormat/>
    <w:uiPriority w:val="0"/>
    <w:rPr>
      <w:rFonts w:ascii="宋体" w:hAnsi="宋体" w:eastAsia="宋体" w:cs="宋体"/>
      <w:kern w:val="2"/>
      <w:sz w:val="28"/>
      <w:szCs w:val="28"/>
    </w:rPr>
  </w:style>
  <w:style w:type="character" w:customStyle="1" w:styleId="56">
    <w:name w:val="标题 9 Char"/>
    <w:link w:val="10"/>
    <w:semiHidden/>
    <w:qFormat/>
    <w:uiPriority w:val="9"/>
    <w:rPr>
      <w:rFonts w:ascii="等线 Light" w:hAnsi="等线 Light" w:eastAsia="宋体" w:cs="宋体"/>
      <w:color w:val="000000" w:themeColor="text1"/>
      <w:kern w:val="2"/>
      <w:sz w:val="28"/>
      <w:szCs w:val="28"/>
      <w14:textFill>
        <w14:solidFill>
          <w14:schemeClr w14:val="tx1"/>
        </w14:solidFill>
      </w14:textFill>
    </w:rPr>
  </w:style>
  <w:style w:type="paragraph" w:customStyle="1" w:styleId="57">
    <w:name w:val="WPSOffice手动目录 1"/>
    <w:qFormat/>
    <w:uiPriority w:val="0"/>
    <w:rPr>
      <w:rFonts w:ascii="Times New Roman" w:hAnsi="Times New Roman" w:eastAsia="宋体" w:cs="Times New Roman"/>
      <w:lang w:val="en-US" w:eastAsia="zh-CN" w:bidi="ar-SA"/>
    </w:rPr>
  </w:style>
  <w:style w:type="paragraph" w:customStyle="1" w:styleId="5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9">
    <w:name w:val="Table Paragraph"/>
    <w:basedOn w:val="1"/>
    <w:qFormat/>
    <w:uiPriority w:val="1"/>
  </w:style>
  <w:style w:type="paragraph" w:styleId="60">
    <w:name w:val="List Paragraph"/>
    <w:basedOn w:val="1"/>
    <w:qFormat/>
    <w:uiPriority w:val="1"/>
    <w:pPr>
      <w:ind w:left="1258" w:hanging="420"/>
    </w:pPr>
  </w:style>
  <w:style w:type="paragraph" w:customStyle="1" w:styleId="61">
    <w:name w:val="目次、标准名称标题"/>
    <w:basedOn w:val="1"/>
    <w:next w:val="6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63">
    <w:name w:val="前言、引言标题"/>
    <w:next w:val="6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5">
    <w:name w:val="一级条标题"/>
    <w:next w:val="62"/>
    <w:link w:val="67"/>
    <w:qFormat/>
    <w:uiPriority w:val="0"/>
    <w:pPr>
      <w:numPr>
        <w:ilvl w:val="1"/>
        <w:numId w:val="7"/>
      </w:numPr>
      <w:spacing w:before="50" w:beforeLines="50" w:after="50" w:afterLines="50"/>
      <w:ind w:left="0"/>
      <w:outlineLvl w:val="1"/>
    </w:pPr>
    <w:rPr>
      <w:rFonts w:ascii="黑体" w:hAnsi="Times New Roman" w:eastAsia="黑体" w:cs="Times New Roman"/>
      <w:sz w:val="21"/>
      <w:szCs w:val="21"/>
      <w:lang w:val="en-US" w:eastAsia="zh-CN" w:bidi="ar-SA"/>
    </w:rPr>
  </w:style>
  <w:style w:type="paragraph" w:customStyle="1" w:styleId="66">
    <w:name w:val="章标题"/>
    <w:next w:val="62"/>
    <w:qFormat/>
    <w:uiPriority w:val="0"/>
    <w:pPr>
      <w:numPr>
        <w:ilvl w:val="0"/>
        <w:numId w:val="7"/>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67">
    <w:name w:val="一级条标题 Char"/>
    <w:link w:val="65"/>
    <w:qFormat/>
    <w:uiPriority w:val="0"/>
    <w:rPr>
      <w:rFonts w:ascii="黑体" w:eastAsia="黑体"/>
      <w:sz w:val="21"/>
      <w:szCs w:val="21"/>
    </w:rPr>
  </w:style>
  <w:style w:type="character" w:customStyle="1" w:styleId="68">
    <w:name w:val="批注框文本 Char"/>
    <w:basedOn w:val="30"/>
    <w:link w:val="18"/>
    <w:qFormat/>
    <w:uiPriority w:val="0"/>
    <w:rPr>
      <w:rFonts w:ascii="宋体" w:hAnsi="宋体" w:cs="宋体"/>
      <w:kern w:val="2"/>
      <w:sz w:val="18"/>
      <w:szCs w:val="18"/>
    </w:rPr>
  </w:style>
  <w:style w:type="table" w:customStyle="1" w:styleId="69">
    <w:name w:val="网格型1"/>
    <w:basedOn w:val="28"/>
    <w:qFormat/>
    <w:uiPriority w:val="3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71">
    <w:name w:val="TOC Heading"/>
    <w:basedOn w:val="2"/>
    <w:next w:val="1"/>
    <w:semiHidden/>
    <w:unhideWhenUsed/>
    <w:qFormat/>
    <w:uiPriority w:val="39"/>
    <w:pPr>
      <w:keepNext/>
      <w:keepLines/>
      <w:widowControl/>
      <w:numPr>
        <w:numId w:val="0"/>
      </w:numPr>
      <w:tabs>
        <w:tab w:val="clear" w:pos="0"/>
      </w:tabs>
      <w:overflowPunct/>
      <w:spacing w:before="480" w:beforeLines="0" w:after="0" w:afterLines="0" w:line="276" w:lineRule="auto"/>
      <w:textAlignment w:val="auto"/>
      <w:outlineLvl w:val="9"/>
    </w:pPr>
    <w:rPr>
      <w:rFonts w:asciiTheme="majorHAnsi" w:hAnsiTheme="majorHAnsi" w:eastAsiaTheme="majorEastAsia" w:cstheme="majorBidi"/>
      <w:color w:val="2E75B6" w:themeColor="accent1" w:themeShade="BF"/>
      <w:kern w:val="0"/>
      <w:sz w:val="28"/>
      <w:szCs w:val="28"/>
    </w:rPr>
  </w:style>
  <w:style w:type="paragraph" w:customStyle="1" w:styleId="72">
    <w:name w:val="zz二级条标题"/>
    <w:basedOn w:val="73"/>
    <w:next w:val="62"/>
    <w:qFormat/>
    <w:uiPriority w:val="0"/>
    <w:pPr>
      <w:spacing w:before="0" w:beforeLines="0" w:after="0" w:afterLines="0"/>
      <w:ind w:firstLine="200" w:firstLineChars="200"/>
      <w:outlineLvl w:val="3"/>
    </w:pPr>
    <w:rPr>
      <w:rFonts w:eastAsia="宋体"/>
    </w:rPr>
  </w:style>
  <w:style w:type="paragraph" w:customStyle="1" w:styleId="73">
    <w:name w:val="zz一级条标题"/>
    <w:next w:val="1"/>
    <w:qFormat/>
    <w:uiPriority w:val="0"/>
    <w:pPr>
      <w:adjustRightInd w:val="0"/>
      <w:snapToGrid w:val="0"/>
      <w:spacing w:before="50" w:beforeLines="50" w:after="50" w:afterLines="50"/>
      <w:outlineLvl w:val="1"/>
    </w:pPr>
    <w:rPr>
      <w:rFonts w:ascii="Times New Roman"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683c993b-3b29-47e8-bb72-41175f7b7ed5</errorID>
      <errorWord>:</errorWord>
      <group>L1_Format</group>
      <groupName>格式问题</groupName>
      <ability>L2_HalfPunc</ability>
      <abilityName>全半角检查</abilityName>
      <candidateList>
        <item>：</item>
      </candidateList>
      <explain>文本全半角错误。</explain>
      <paraID>68D18FA2</paraID>
      <start>31</start>
      <end>32</end>
      <status>modified</status>
      <modifiedWord>：</modifiedWord>
      <trackRevisions>false</trackRevisions>
    </reviewItem>
    <reviewItem>
      <errorID>916c23c9-e72e-48e8-a890-c041cdab9bd2</errorID>
      <errorWord>本</errorWord>
      <group>L1_AI</group>
      <groupName>深度校对</groupName>
      <ability>L2_AI_Punc</ability>
      <abilityName>标点纠错</abilityName>
      <candidateList>
        <item>，本</item>
      </candidateList>
      <explain/>
      <paraID> 75430C6</paraID>
      <start>3</start>
      <end>4</end>
      <status>ignored</status>
      <modifiedWord/>
      <trackRevisions>false</trackRevisions>
    </reviewItem>
    <reviewItem>
      <errorID>1ec0a531-bee3-421e-893d-7a63780262f6</errorID>
      <errorWord>--</errorWord>
      <group>L1_Punc</group>
      <groupName>标点问题</groupName>
      <ability>L2_Punc</ability>
      <abilityName>标点符号检查</abilityName>
      <candidateList>
        <item>——</item>
      </candidateList>
      <explain>破折号或连接号疑似使用错误。</explain>
      <paraID> 6F136D0</paraID>
      <start>23</start>
      <end>25</end>
      <status>modified</status>
      <modifiedWord>——</modifiedWord>
      <trackRevisions>false</trackRevisions>
    </reviewItem>
    <reviewItem>
      <errorID>8c81aa08-4186-443b-ae9d-d36410ff9e9a</errorID>
      <errorWord>适应</errorWord>
      <group>L1_AI</group>
      <groupName>深度校对</groupName>
      <ability>L2_AI_Word</ability>
      <abilityName>字词纠错</abilityName>
      <candidateList>
        <item>适用</item>
      </candidateList>
      <explain/>
      <paraID> ACA5841</paraID>
      <start>7</start>
      <end>9</end>
      <status>modified</status>
      <modifiedWord>适用</modifiedWord>
      <trackRevisions>false</trackRevisions>
    </reviewItem>
    <reviewItem>
      <errorID>1d120e7e-31a0-4236-81aa-c163c1c0e86d</errorID>
      <errorWord>规定</errorWord>
      <group>L1_AI</group>
      <groupName>深度校对</groupName>
      <ability>L2_AI_Word</ability>
      <abilityName>字词纠错</abilityName>
      <candidateList>
        <item>的</item>
      </candidateList>
      <explain/>
      <paraID>4942E3A5</paraID>
      <start>24</start>
      <end>25</end>
      <status>modified</status>
      <modifiedWord>的</modifiedWord>
      <trackRevisions>false</trackRevisions>
    </reviewItem>
    <reviewItem>
      <errorID>e95a90c9-c9d2-40b8-ad31-fb27dde40005</errorID>
      <errorWord>评定的</errorWord>
      <group>L1_AI</group>
      <groupName>深度校对</groupName>
      <ability>L2_AI_Word</ability>
      <abilityName>字词纠错</abilityName>
      <candidateList>
        <item>评定</item>
      </candidateList>
      <explain/>
      <paraID>4942E3A5</paraID>
      <start>93</start>
      <end>95</end>
      <status>modified</status>
      <modifiedWord>评定</modifiedWord>
      <trackRevisions>false</trackRevisions>
    </reviewItem>
    <reviewItem>
      <errorID>5c68cae7-7ee4-49e8-847c-5b167ee2d3f5</errorID>
      <errorWord>修复工程</errorWord>
      <group>L1_AI</group>
      <groupName>深度校对</groupName>
      <ability>L2_AI_Grammar</ability>
      <abilityName>语法纠错</abilityName>
      <candidateList>
        <item>修复</item>
      </candidateList>
      <explain/>
      <paraID>1031D28C</paraID>
      <start>10</start>
      <end>14</end>
      <status>ignored</status>
      <modifiedWord/>
      <trackRevisions>false</trackRevisions>
    </reviewItem>
    <reviewItem>
      <errorID>4e18429b-a792-4d85-9700-89614c7f80a8</errorID>
      <errorWord>相结合方式进行，</errorWord>
      <group>L1_Word</group>
      <groupName>字词问题</groupName>
      <ability>L2_Typo</ability>
      <abilityName>字词错误</abilityName>
      <candidateList>
        <item>相结合的方式进行，</item>
      </candidateList>
      <explain/>
      <paraID>1031D28C</paraID>
      <start>46</start>
      <end>55</end>
      <status>modified</status>
      <modifiedWord>相结合的方式进行，</modifiedWord>
      <trackRevisions>false</trackRevisions>
    </reviewItem>
    <reviewItem>
      <errorID>87c1341e-ff33-46ef-be7a-26a5a0f526f9</errorID>
      <errorWord>勘查</errorWord>
      <group>L1_Word</group>
      <groupName>字词问题</groupName>
      <ability>L2_Typo</ability>
      <abilityName>字词错误</abilityName>
      <candidateList>
        <item>勘察</item>
      </candidateList>
      <explain>存在发音相同字词的误用。</explain>
      <paraID>61C169B8</paraID>
      <start>19</start>
      <end>21</end>
      <status>ignored</status>
      <modifiedWord/>
      <trackRevisions>false</trackRevisions>
    </reviewItem>
    <reviewItem>
      <errorID>48029f3d-a8d5-4476-843d-e44dcc2971ed</errorID>
      <errorWord>(</errorWord>
      <group>L1_Format</group>
      <groupName>格式问题</groupName>
      <ability>L2_HalfPunc</ability>
      <abilityName>全半角检查</abilityName>
      <candidateList>
        <item>（</item>
      </candidateList>
      <explain>文本全半角错误。</explain>
      <paraID> 3944937</paraID>
      <start>14</start>
      <end>15</end>
      <status>modified</status>
      <modifiedWord>（</modifiedWord>
      <trackRevisions>false</trackRevisions>
    </reviewItem>
    <reviewItem>
      <errorID>7f35a6b6-caa3-46d4-b62e-5dfec490404e</errorID>
      <errorWord>)</errorWord>
      <group>L1_Format</group>
      <groupName>格式问题</groupName>
      <ability>L2_HalfPunc</ability>
      <abilityName>全半角检查</abilityName>
      <candidateList>
        <item>）</item>
      </candidateList>
      <explain>文本全半角错误。</explain>
      <paraID> 3944937</paraID>
      <start>22</start>
      <end>23</end>
      <status>modified</status>
      <modifiedWord>）</modifiedWord>
      <trackRevisions>false</trackRevisions>
    </reviewItem>
    <reviewItem>
      <errorID>828a7508-2427-4cc9-a588-122a93224a2b</errorID>
      <errorWord>、</errorWord>
      <group>L1_AI</group>
      <groupName>深度校对</groupName>
      <ability>L2_AI_Grammar</ability>
      <abilityName>语法纠错</abilityName>
      <candidateList>
        <item>，邀请</item>
      </candidateList>
      <explain/>
      <paraID> FBA5CCC</paraID>
      <start>23</start>
      <end>24</end>
      <status>ignored</status>
      <modifiedWord/>
      <trackRevisions>false</trackRevisions>
    </reviewItem>
    <reviewItem>
      <errorID>a70cb05c-cb66-4b91-95c3-3fdce5b300d3</errorID>
      <errorWord>~</errorWord>
      <group>L1_Format</group>
      <groupName>格式问题</groupName>
      <ability>L2_HalfPunc</ability>
      <abilityName>全半角检查</abilityName>
      <candidateList>
        <item>～</item>
      </candidateList>
      <explain>文本全半角错误。</explain>
      <paraID>24E1CEDC</paraID>
      <start>94</start>
      <end>95</end>
      <status>modified</status>
      <modifiedWord>～</modifiedWord>
      <trackRevisions>false</trackRevisions>
    </reviewItem>
    <reviewItem>
      <errorID>c9609a1c-ba3e-4aab-99c0-321aace30b5f</errorID>
      <errorWord>査</errorWord>
      <group>L1_Word</group>
      <groupName>字词问题</groupName>
      <ability>L2_Fanti</ability>
      <abilityName>繁转简</abilityName>
      <candidateList>
        <item>查</item>
      </candidateList>
      <explain>（査）Zhā〈名〉姓。</explain>
      <paraID> A44A424</paraID>
      <start>18</start>
      <end>19</end>
      <status>modified</status>
      <modifiedWord>查</modifiedWord>
      <trackRevisions>false</trackRevisions>
    </reviewItem>
    <reviewItem>
      <errorID>15fe3084-3bc7-46a1-b653-89294a7b85c7</errorID>
      <errorWord>检査</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4F410CDC</paraID>
      <start>9</start>
      <end>11</end>
      <status>modified</status>
      <modifiedWord>检查</modifiedWord>
      <trackRevisions>false</trackRevisions>
    </reviewItem>
    <reviewItem>
      <errorID>01d5d56a-d346-4095-a742-aecb207f355d</errorID>
      <errorWord>需</errorWord>
      <group>L1_Word</group>
      <groupName>字词问题</groupName>
      <ability>L2_Typo</ability>
      <abilityName>字词错误</abilityName>
      <candidateList>
        <item>须</item>
      </candidateList>
      <explain>（鬚）xū❶原来指长在下巴上的胡子，后来泛指胡须：～发｜～眉。❷须子：触～｜花～。</explain>
      <paraID>5F192473</paraID>
      <start>32</start>
      <end>33</end>
      <status>ignored</status>
      <modifiedWord/>
      <trackRevisions>false</trackRevisions>
    </reviewItem>
    <reviewItem>
      <errorID>a0ca509f-f0c6-40db-a0f5-67d222b7df3e</errorID>
      <errorWord>(</errorWord>
      <group>L1_Format</group>
      <groupName>格式问题</groupName>
      <ability>L2_HalfPunc</ability>
      <abilityName>全半角检查</abilityName>
      <candidateList>
        <item>（</item>
      </candidateList>
      <explain>文本全半角错误。</explain>
      <paraID>621A4C53</paraID>
      <start>15</start>
      <end>16</end>
      <status>modified</status>
      <modifiedWord>（</modifiedWord>
      <trackRevisions>false</trackRevisions>
    </reviewItem>
    <reviewItem>
      <errorID>0c16f319-68c9-4f39-ba95-f8d6cf483e86</errorID>
      <errorWord>)</errorWord>
      <group>L1_Format</group>
      <groupName>格式问题</groupName>
      <ability>L2_HalfPunc</ability>
      <abilityName>全半角检查</abilityName>
      <candidateList>
        <item>）</item>
      </candidateList>
      <explain>文本全半角错误。</explain>
      <paraID>621A4C53</paraID>
      <start>22</start>
      <end>23</end>
      <status>modified</status>
      <modifiedWord>）</modifiedWord>
      <trackRevisions>false</trackRevisions>
    </reviewItem>
    <reviewItem>
      <errorID>78da0c74-93dd-49ce-9221-7f25552ff1ba</errorID>
      <errorWord>(</errorWord>
      <group>L1_Format</group>
      <groupName>格式问题</groupName>
      <ability>L2_HalfPunc</ability>
      <abilityName>全半角检查</abilityName>
      <candidateList>
        <item>（</item>
      </candidateList>
      <explain>文本全半角错误。</explain>
      <paraID>4B69A0BB</paraID>
      <start>41</start>
      <end>42</end>
      <status>modified</status>
      <modifiedWord>（</modifiedWord>
      <trackRevisions>false</trackRevisions>
    </reviewItem>
    <reviewItem>
      <errorID>282b47d2-6046-412d-9124-47c61254550c</errorID>
      <errorWord>)</errorWord>
      <group>L1_Format</group>
      <groupName>格式问题</groupName>
      <ability>L2_HalfPunc</ability>
      <abilityName>全半角检查</abilityName>
      <candidateList>
        <item>）</item>
      </candidateList>
      <explain>文本全半角错误。</explain>
      <paraID>4B69A0BB</paraID>
      <start>48</start>
      <end>49</end>
      <status>modified</status>
      <modifiedWord>）</modifiedWord>
      <trackRevisions>false</trackRevisions>
    </reviewItem>
    <reviewItem>
      <errorID>0a2d4c17-7348-4d36-8435-aaebbb7f4e5d</errorID>
      <errorWord>自</errorWord>
      <group>L1_Word</group>
      <groupName>字词问题</groupName>
      <ability>L2_Typo</ability>
      <abilityName>字词错误</abilityName>
      <candidateList>
        <item>的</item>
      </candidateList>
      <explain>存在字形相近字词的误用。</explain>
      <paraID>6B731BB4</paraID>
      <start>34</start>
      <end>35</end>
      <status>modified</status>
      <modifiedWord>的</modifiedWord>
      <trackRevisions>false</trackRevisions>
    </reviewItem>
    <reviewItem>
      <errorID>0f0fc84c-7da1-467c-9a64-77b5bbb2bb78</errorID>
      <errorWord>资科</errorWord>
      <group>L1_Word</group>
      <groupName>字词问题</groupName>
      <ability>L2_Typo</ability>
      <abilityName>字词错误</abilityName>
      <candidateList>
        <item>资料</item>
      </candidateList>
      <explain>存在字形相近字词的误用。</explain>
      <paraID>18864DFB</paraID>
      <start>36</start>
      <end>38</end>
      <status>modified</status>
      <modifiedWord>资料</modifiedWord>
      <trackRevisions>false</trackRevisions>
    </reviewItem>
    <reviewItem>
      <errorID>5c5793a1-2b56-475a-99a8-bf2bfdcb1241</errorID>
      <errorWord>(</errorWord>
      <group>L1_Format</group>
      <groupName>格式问题</groupName>
      <ability>L2_HalfPunc</ability>
      <abilityName>全半角检查</abilityName>
      <candidateList>
        <item>（</item>
      </candidateList>
      <explain>文本全半角错误。</explain>
      <paraID>69903DEF</paraID>
      <start>5</start>
      <end>6</end>
      <status>modified</status>
      <modifiedWord>（</modifiedWord>
      <trackRevisions>false</trackRevisions>
    </reviewItem>
    <reviewItem>
      <errorID>8ce98884-3c48-40b4-b493-831266684ec7</errorID>
      <errorWord>)</errorWord>
      <group>L1_Format</group>
      <groupName>格式问题</groupName>
      <ability>L2_HalfPunc</ability>
      <abilityName>全半角检查</abilityName>
      <candidateList>
        <item>）</item>
      </candidateList>
      <explain>文本全半角错误。</explain>
      <paraID>69903DEF</paraID>
      <start>8</start>
      <end>9</end>
      <status>modified</status>
      <modifiedWord>）</modifiedWord>
      <trackRevisions>false</trackRevisions>
    </reviewItem>
    <reviewItem>
      <errorID>68aaabcb-4080-4972-9405-cbb9d849ae08</errorID>
      <errorWord>(</errorWord>
      <group>L1_Format</group>
      <groupName>格式问题</groupName>
      <ability>L2_HalfPunc</ability>
      <abilityName>全半角检查</abilityName>
      <candidateList>
        <item>（</item>
      </candidateList>
      <explain>文本全半角错误。</explain>
      <paraID>307F4D34</paraID>
      <start>14</start>
      <end>15</end>
      <status>modified</status>
      <modifiedWord>（</modifiedWord>
      <trackRevisions>false</trackRevisions>
    </reviewItem>
    <reviewItem>
      <errorID>790df7b2-1e4a-4c84-923a-992eeb4f2220</errorID>
      <errorWord>)</errorWord>
      <group>L1_Format</group>
      <groupName>格式问题</groupName>
      <ability>L2_HalfPunc</ability>
      <abilityName>全半角检查</abilityName>
      <candidateList>
        <item>）</item>
      </candidateList>
      <explain>文本全半角错误。</explain>
      <paraID>307F4D34</paraID>
      <start>26</start>
      <end>27</end>
      <status>modified</status>
      <modifiedWord>）</modifiedWord>
      <trackRevisions>false</trackRevisions>
    </reviewItem>
    <reviewItem>
      <errorID>d77f45b2-7578-4460-8d3d-7aedae061041</errorID>
      <errorWord>(</errorWord>
      <group>L1_Format</group>
      <groupName>格式问题</groupName>
      <ability>L2_HalfPunc</ability>
      <abilityName>全半角检查</abilityName>
      <candidateList>
        <item>（</item>
      </candidateList>
      <explain>文本全半角错误。</explain>
      <paraID>1EAEEC48</paraID>
      <start>83</start>
      <end>84</end>
      <status>modified</status>
      <modifiedWord>（</modifiedWord>
      <trackRevisions>false</trackRevisions>
    </reviewItem>
    <reviewItem>
      <errorID>4ef1b26e-f9bf-4724-9ea5-f5214efbfee0</errorID>
      <errorWord>)</errorWord>
      <group>L1_Format</group>
      <groupName>格式问题</groupName>
      <ability>L2_HalfPunc</ability>
      <abilityName>全半角检查</abilityName>
      <candidateList>
        <item>）</item>
      </candidateList>
      <explain>文本全半角错误。</explain>
      <paraID>1EAEEC48</paraID>
      <start>92</start>
      <end>93</end>
      <status>modified</status>
      <modifiedWord>）</modifiedWord>
      <trackRevisions>false</trackRevisions>
    </reviewItem>
    <reviewItem>
      <errorID>85cc4e72-8463-47ff-8a99-65ed0874a0f5</errorID>
      <errorWord>(</errorWord>
      <group>L1_Format</group>
      <groupName>格式问题</groupName>
      <ability>L2_HalfPunc</ability>
      <abilityName>全半角检查</abilityName>
      <candidateList>
        <item>（</item>
      </candidateList>
      <explain>文本全半角错误。</explain>
      <paraID>665E1F27</paraID>
      <start>5</start>
      <end>6</end>
      <status>modified</status>
      <modifiedWord>（</modifiedWord>
      <trackRevisions>false</trackRevisions>
    </reviewItem>
    <reviewItem>
      <errorID>e92a7ff4-0187-463f-ab79-85f9af4a6a20</errorID>
      <errorWord>)</errorWord>
      <group>L1_Format</group>
      <groupName>格式问题</groupName>
      <ability>L2_HalfPunc</ability>
      <abilityName>全半角检查</abilityName>
      <candidateList>
        <item>）</item>
      </candidateList>
      <explain>文本全半角错误。</explain>
      <paraID>665E1F27</paraID>
      <start>8</start>
      <end>9</end>
      <status>modified</status>
      <modifiedWord>）</modifiedWord>
      <trackRevisions>false</trackRevisions>
    </reviewItem>
    <reviewItem>
      <errorID>afdaab0d-f17a-4b61-b135-d544db8c4a09</errorID>
      <errorWord>文</errorWord>
      <group>L1_Word</group>
      <groupName>字词问题</groupName>
      <ability>L2_Typo</ability>
      <abilityName>字词错误</abilityName>
      <candidateList>
        <item>文件</item>
      </candidateList>
      <explain/>
      <paraID>665E1F27</paraID>
      <start>13</start>
      <end>15</end>
      <status>modified</status>
      <modifiedWord>文件</modifiedWord>
      <trackRevisions>false</trackRevisions>
    </reviewItem>
    <reviewItem>
      <errorID>1e6784a3-6f80-4dc3-972c-bd4a9ff4adc1</errorID>
      <errorWord>(</errorWord>
      <group>L1_Format</group>
      <groupName>格式问题</groupName>
      <ability>L2_HalfPunc</ability>
      <abilityName>全半角检查</abilityName>
      <candidateList>
        <item>（</item>
      </candidateList>
      <explain>文本全半角错误。</explain>
      <paraID>6CBB4C36</paraID>
      <start>7</start>
      <end>8</end>
      <status>modified</status>
      <modifiedWord>（</modifiedWord>
      <trackRevisions>false</trackRevisions>
    </reviewItem>
    <reviewItem>
      <errorID>459d0c4f-656a-44ec-bd10-9c66d9d6d3a3</errorID>
      <errorWord>)</errorWord>
      <group>L1_Format</group>
      <groupName>格式问题</groupName>
      <ability>L2_HalfPunc</ability>
      <abilityName>全半角检查</abilityName>
      <candidateList>
        <item>）</item>
      </candidateList>
      <explain>文本全半角错误。</explain>
      <paraID>6CBB4C36</paraID>
      <start>9</start>
      <end>10</end>
      <status>modified</status>
      <modifiedWord>）</modifiedWord>
      <trackRevisions>false</trackRevisions>
    </reviewItem>
    <reviewItem>
      <errorID>a1d9cf9b-20e8-4393-b184-a9fd79b58e5d</errorID>
      <errorWord>(</errorWord>
      <group>L1_Format</group>
      <groupName>格式问题</groupName>
      <ability>L2_HalfPunc</ability>
      <abilityName>全半角检查</abilityName>
      <candidateList>
        <item>（</item>
      </candidateList>
      <explain>文本全半角错误。</explain>
      <paraID>385A1898</paraID>
      <start>4</start>
      <end>5</end>
      <status>modified</status>
      <modifiedWord>（</modifiedWord>
      <trackRevisions>false</trackRevisions>
    </reviewItem>
    <reviewItem>
      <errorID>b13c8186-41ff-49ba-acee-81067d56107b</errorID>
      <errorWord>)</errorWord>
      <group>L1_Format</group>
      <groupName>格式问题</groupName>
      <ability>L2_HalfPunc</ability>
      <abilityName>全半角检查</abilityName>
      <candidateList>
        <item>）</item>
      </candidateList>
      <explain>文本全半角错误。</explain>
      <paraID>385A1898</paraID>
      <start>7</start>
      <end>8</end>
      <status>modified</status>
      <modifiedWord>）</modifiedWord>
      <trackRevisions>false</trackRevisions>
    </reviewItem>
    <reviewItem>
      <errorID>cd68cd6a-56b2-42ea-b2dc-f29134e00c09</errorID>
      <errorWord>(</errorWord>
      <group>L1_Format</group>
      <groupName>格式问题</groupName>
      <ability>L2_HalfPunc</ability>
      <abilityName>全半角检查</abilityName>
      <candidateList>
        <item>（</item>
      </candidateList>
      <explain>文本全半角错误。</explain>
      <paraID>7867D9B9</paraID>
      <start>6</start>
      <end>7</end>
      <status>modified</status>
      <modifiedWord>（</modifiedWord>
      <trackRevisions>false</trackRevisions>
    </reviewItem>
    <reviewItem>
      <errorID>9aede418-0d8e-4d75-87f9-34c5e98398d1</errorID>
      <errorWord>)</errorWord>
      <group>L1_Format</group>
      <groupName>格式问题</groupName>
      <ability>L2_HalfPunc</ability>
      <abilityName>全半角检查</abilityName>
      <candidateList>
        <item>）</item>
      </candidateList>
      <explain>文本全半角错误。</explain>
      <paraID>7867D9B9</paraID>
      <start>9</start>
      <end>10</end>
      <status>modified</status>
      <modifiedWord>）</modifiedWord>
      <trackRevisions>false</trackRevisions>
    </reviewItem>
    <reviewItem>
      <errorID>663e1823-2cbe-468a-a36f-5b640846d2c2</errorID>
      <errorWord>(</errorWord>
      <group>L1_Format</group>
      <groupName>格式问题</groupName>
      <ability>L2_HalfPunc</ability>
      <abilityName>全半角检查</abilityName>
      <candidateList>
        <item>（</item>
      </candidateList>
      <explain>文本全半角错误。</explain>
      <paraID>72B06DC7</paraID>
      <start>2</start>
      <end>3</end>
      <status>modified</status>
      <modifiedWord>（</modifiedWord>
      <trackRevisions>false</trackRevisions>
    </reviewItem>
    <reviewItem>
      <errorID>9dbbfcf1-2b16-4520-a2a8-6c8bb4b78458</errorID>
      <errorWord>)</errorWord>
      <group>L1_Format</group>
      <groupName>格式问题</groupName>
      <ability>L2_HalfPunc</ability>
      <abilityName>全半角检查</abilityName>
      <candidateList>
        <item>）</item>
      </candidateList>
      <explain>文本全半角错误。</explain>
      <paraID>72B06DC7</paraID>
      <start>5</start>
      <end>6</end>
      <status>modified</status>
      <modifiedWord>）</modifiedWord>
      <trackRevisions>false</trackRevisions>
    </reviewItem>
    <reviewItem>
      <errorID>307830d6-0a79-441e-8c75-e9d34fdc022b</errorID>
      <errorWord>(</errorWord>
      <group>L1_Format</group>
      <groupName>格式问题</groupName>
      <ability>L2_HalfPunc</ability>
      <abilityName>全半角检查</abilityName>
      <candidateList>
        <item>（</item>
      </candidateList>
      <explain>文本全半角错误。</explain>
      <paraID>4371E839</paraID>
      <start>8</start>
      <end>9</end>
      <status>modified</status>
      <modifiedWord>（</modifiedWord>
      <trackRevisions>false</trackRevisions>
    </reviewItem>
    <reviewItem>
      <errorID>a63969ce-32fb-4f57-90c6-3d4edff75c23</errorID>
      <errorWord>)</errorWord>
      <group>L1_Format</group>
      <groupName>格式问题</groupName>
      <ability>L2_HalfPunc</ability>
      <abilityName>全半角检查</abilityName>
      <candidateList>
        <item>）</item>
      </candidateList>
      <explain>文本全半角错误。</explain>
      <paraID>4371E839</paraID>
      <start>13</start>
      <end>14</end>
      <status>modified</status>
      <modifiedWord>）</modifiedWord>
      <trackRevisions>false</trackRevisions>
    </reviewItem>
    <reviewItem>
      <errorID>06fc3d15-2618-4835-adfb-2f302a0aa4e8</errorID>
      <errorWord>:</errorWord>
      <group>L1_Format</group>
      <groupName>格式问题</groupName>
      <ability>L2_HalfPunc</ability>
      <abilityName>全半角检查</abilityName>
      <candidateList>
        <item>：</item>
      </candidateList>
      <explain>文本全半角错误。</explain>
      <paraID> 600CC3A</paraID>
      <start>42</start>
      <end>43</end>
      <status>modified</status>
      <modifiedWord>：</modifiedWord>
      <trackRevisions>false</trackRevisions>
    </reviewItem>
    <reviewItem>
      <errorID>28ad36de-ceb3-4753-b2cf-4c928c822d73</errorID>
      <errorWord>(</errorWord>
      <group>L1_Format</group>
      <groupName>格式问题</groupName>
      <ability>L2_HalfPunc</ability>
      <abilityName>全半角检查</abilityName>
      <candidateList>
        <item>（</item>
      </candidateList>
      <explain>文本全半角错误。</explain>
      <paraID>3F0D19E4</paraID>
      <start>2</start>
      <end>3</end>
      <status>modified</status>
      <modifiedWord>（</modifiedWord>
      <trackRevisions>false</trackRevisions>
    </reviewItem>
    <reviewItem>
      <errorID>27e2294e-0390-48db-a6c9-583983747243</errorID>
      <errorWord>)</errorWord>
      <group>L1_Format</group>
      <groupName>格式问题</groupName>
      <ability>L2_HalfPunc</ability>
      <abilityName>全半角检查</abilityName>
      <candidateList>
        <item>）</item>
      </candidateList>
      <explain>文本全半角错误。</explain>
      <paraID>3F0D19E4</paraID>
      <start>5</start>
      <end>6</end>
      <status>modified</status>
      <modifiedWord>）</modifiedWord>
      <trackRevisions>false</trackRevisions>
    </reviewItem>
    <reviewItem>
      <errorID>9c8a6df6-1208-4cba-b5ec-723c1097c31d</errorID>
      <errorWord>(</errorWord>
      <group>L1_Format</group>
      <groupName>格式问题</groupName>
      <ability>L2_HalfPunc</ability>
      <abilityName>全半角检查</abilityName>
      <candidateList>
        <item>（</item>
      </candidateList>
      <explain>文本全半角错误。</explain>
      <paraID>6E5DF7A5</paraID>
      <start>3</start>
      <end>4</end>
      <status>modified</status>
      <modifiedWord>（</modifiedWord>
      <trackRevisions>false</trackRevisions>
    </reviewItem>
    <reviewItem>
      <errorID>bac7ec21-9f00-4e06-948f-8382cba32e50</errorID>
      <errorWord>)</errorWord>
      <group>L1_Format</group>
      <groupName>格式问题</groupName>
      <ability>L2_HalfPunc</ability>
      <abilityName>全半角检查</abilityName>
      <candidateList>
        <item>）</item>
      </candidateList>
      <explain>文本全半角错误。</explain>
      <paraID>6E5DF7A5</paraID>
      <start>6</start>
      <end>7</end>
      <status>modified</status>
      <modifiedWord>）</modifiedWord>
      <trackRevisions>false</trackRevisions>
    </reviewItem>
    <reviewItem>
      <errorID>69683e94-480a-414c-a77a-9aece84772cd</errorID>
      <errorWord>(</errorWord>
      <group>L1_Format</group>
      <groupName>格式问题</groupName>
      <ability>L2_HalfPunc</ability>
      <abilityName>全半角检查</abilityName>
      <candidateList>
        <item>（</item>
      </candidateList>
      <explain>文本全半角错误。</explain>
      <paraID> CDB7CEF</paraID>
      <start>3</start>
      <end>4</end>
      <status>modified</status>
      <modifiedWord>（</modifiedWord>
      <trackRevisions>false</trackRevisions>
    </reviewItem>
    <reviewItem>
      <errorID>cfead3aa-6a4b-4f14-af32-746864aada87</errorID>
      <errorWord>)</errorWord>
      <group>L1_Format</group>
      <groupName>格式问题</groupName>
      <ability>L2_HalfPunc</ability>
      <abilityName>全半角检查</abilityName>
      <candidateList>
        <item>）</item>
      </candidateList>
      <explain>文本全半角错误。</explain>
      <paraID> CDB7CEF</paraID>
      <start>6</start>
      <end>7</end>
      <status>modified</status>
      <modifiedWord>）</modifiedWord>
      <trackRevisions>false</trackRevisions>
    </reviewItem>
    <reviewItem>
      <errorID>43ee8b67-0c8e-4196-a35a-dbc0b311bfd8</errorID>
      <errorWord>(</errorWord>
      <group>L1_Format</group>
      <groupName>格式问题</groupName>
      <ability>L2_HalfPunc</ability>
      <abilityName>全半角检查</abilityName>
      <candidateList>
        <item>（</item>
      </candidateList>
      <explain>文本全半角错误。</explain>
      <paraID> 87AA1D3</paraID>
      <start>0</start>
      <end>1</end>
      <status>modified</status>
      <modifiedWord>（</modifiedWord>
      <trackRevisions>false</trackRevisions>
    </reviewItem>
    <reviewItem>
      <errorID>f74533e3-6f2e-4cb0-a99e-4b9cebe8d538</errorID>
      <errorWord>)</errorWord>
      <group>L1_Format</group>
      <groupName>格式问题</groupName>
      <ability>L2_HalfPunc</ability>
      <abilityName>全半角检查</abilityName>
      <candidateList>
        <item>）</item>
      </candidateList>
      <explain>文本全半角错误。</explain>
      <paraID> 87AA1D3</paraID>
      <start>4</start>
      <end>5</end>
      <status>modified</status>
      <modifiedWord>）</modifiedWord>
      <trackRevisions>false</trackRevisions>
    </reviewItem>
    <reviewItem>
      <errorID>2e99a701-f27b-440e-8520-4f3499e69026</errorID>
      <errorWord>(</errorWord>
      <group>L1_Format</group>
      <groupName>格式问题</groupName>
      <ability>L2_HalfPunc</ability>
      <abilityName>全半角检查</abilityName>
      <candidateList>
        <item>（</item>
      </candidateList>
      <explain>文本全半角错误。</explain>
      <paraID>7474F6EA</paraID>
      <start>4</start>
      <end>5</end>
      <status>modified</status>
      <modifiedWord>（</modifiedWord>
      <trackRevisions>false</trackRevisions>
    </reviewItem>
    <reviewItem>
      <errorID>7c739579-674d-4605-9274-3271f9d69aab</errorID>
      <errorWord>)</errorWord>
      <group>L1_Format</group>
      <groupName>格式问题</groupName>
      <ability>L2_HalfPunc</ability>
      <abilityName>全半角检查</abilityName>
      <candidateList>
        <item>）</item>
      </candidateList>
      <explain>文本全半角错误。</explain>
      <paraID>7474F6EA</paraID>
      <start>8</start>
      <end>9</end>
      <status>modified</status>
      <modifiedWord>）</modifiedWord>
      <trackRevisions>false</trackRevisions>
    </reviewItem>
    <reviewItem>
      <errorID>100abdf4-4662-4bff-be97-828dffd22a5b</errorID>
      <errorWord>(</errorWord>
      <group>L1_Format</group>
      <groupName>格式问题</groupName>
      <ability>L2_HalfPunc</ability>
      <abilityName>全半角检查</abilityName>
      <candidateList>
        <item>（</item>
      </candidateList>
      <explain>文本全半角错误。</explain>
      <paraID>656EEF12</paraID>
      <start>4</start>
      <end>5</end>
      <status>modified</status>
      <modifiedWord>（</modifiedWord>
      <trackRevisions>false</trackRevisions>
    </reviewItem>
    <reviewItem>
      <errorID>52fba7e8-314c-487a-bbd6-2cb45ec0704d</errorID>
      <errorWord>)</errorWord>
      <group>L1_Format</group>
      <groupName>格式问题</groupName>
      <ability>L2_HalfPunc</ability>
      <abilityName>全半角检查</abilityName>
      <candidateList>
        <item>）</item>
      </candidateList>
      <explain>文本全半角错误。</explain>
      <paraID>656EEF12</paraID>
      <start>8</start>
      <end>9</end>
      <status>modified</status>
      <modifiedWord>）</modifiedWord>
      <trackRevisions>false</trackRevisions>
    </reviewItem>
    <reviewItem>
      <errorID>895e66c9-b0e3-4e7f-978c-879cd3d5364c</errorID>
      <errorWord>(</errorWord>
      <group>L1_Format</group>
      <groupName>格式问题</groupName>
      <ability>L2_HalfPunc</ability>
      <abilityName>全半角检查</abilityName>
      <candidateList>
        <item>（</item>
      </candidateList>
      <explain>文本全半角错误。</explain>
      <paraID>373FB2E2</paraID>
      <start>4</start>
      <end>5</end>
      <status>modified</status>
      <modifiedWord>（</modifiedWord>
      <trackRevisions>false</trackRevisions>
    </reviewItem>
    <reviewItem>
      <errorID>b2d6a696-9ae9-46c0-84c5-34dba3cf4fda</errorID>
      <errorWord>)</errorWord>
      <group>L1_Format</group>
      <groupName>格式问题</groupName>
      <ability>L2_HalfPunc</ability>
      <abilityName>全半角检查</abilityName>
      <candidateList>
        <item>）</item>
      </candidateList>
      <explain>文本全半角错误。</explain>
      <paraID>373FB2E2</paraID>
      <start>8</start>
      <end>9</end>
      <status>modified</status>
      <modifiedWord>）</modifiedWord>
      <trackRevisions>false</trackRevisions>
    </reviewItem>
    <reviewItem>
      <errorID>6db5c724-0b8b-466e-8595-e21c218a9ba0</errorID>
      <errorWord>(</errorWord>
      <group>L1_Format</group>
      <groupName>格式问题</groupName>
      <ability>L2_HalfPunc</ability>
      <abilityName>全半角检查</abilityName>
      <candidateList>
        <item>（</item>
      </candidateList>
      <explain>文本全半角错误。</explain>
      <paraID>6121E08D</paraID>
      <start>4</start>
      <end>5</end>
      <status>modified</status>
      <modifiedWord>（</modifiedWord>
      <trackRevisions>false</trackRevisions>
    </reviewItem>
    <reviewItem>
      <errorID>ed190db4-264a-49be-900e-faf2ddb7ef0a</errorID>
      <errorWord>)</errorWord>
      <group>L1_Format</group>
      <groupName>格式问题</groupName>
      <ability>L2_HalfPunc</ability>
      <abilityName>全半角检查</abilityName>
      <candidateList>
        <item>）</item>
      </candidateList>
      <explain>文本全半角错误。</explain>
      <paraID>6121E08D</paraID>
      <start>7</start>
      <end>8</end>
      <status>modified</status>
      <modifiedWord>）</modifiedWord>
      <trackRevisions>false</trackRevisions>
    </reviewItem>
    <reviewItem>
      <errorID>f5ad377c-490b-496a-86cf-22cd6b2a93cf</errorID>
      <errorWord>(</errorWord>
      <group>L1_Format</group>
      <groupName>格式问题</groupName>
      <ability>L2_HalfPunc</ability>
      <abilityName>全半角检查</abilityName>
      <candidateList>
        <item>（</item>
      </candidateList>
      <explain>文本全半角错误。</explain>
      <paraID>201A0B65</paraID>
      <start>0</start>
      <end>1</end>
      <status>modified</status>
      <modifiedWord>（</modifiedWord>
      <trackRevisions>false</trackRevisions>
    </reviewItem>
    <reviewItem>
      <errorID>e77efd70-2177-43d9-bc62-1b9233593336</errorID>
      <errorWord>)</errorWord>
      <group>L1_Format</group>
      <groupName>格式问题</groupName>
      <ability>L2_HalfPunc</ability>
      <abilityName>全半角检查</abilityName>
      <candidateList>
        <item>）</item>
      </candidateList>
      <explain>文本全半角错误。</explain>
      <paraID>201A0B65</paraID>
      <start>4</start>
      <end>5</end>
      <status>modified</status>
      <modifiedWord>）</modifiedWord>
      <trackRevisions>false</trackRevisions>
    </reviewItem>
    <reviewItem>
      <errorID>24eb5e82-e81a-44f4-ac9a-ff8454d3668e</errorID>
      <errorWord>)</errorWord>
      <group>L1_Format</group>
      <groupName>格式问题</groupName>
      <ability>L2_HalfPunc</ability>
      <abilityName>全半角检查</abilityName>
      <candidateList>
        <item>）</item>
      </candidateList>
      <explain>文本全半角错误。</explain>
      <paraID> F69A6FE</paraID>
      <start>4</start>
      <end>5</end>
      <status>modified</status>
      <modifiedWord>）</modifiedWord>
      <trackRevisions>false</trackRevisions>
    </reviewItem>
    <reviewItem>
      <errorID>14400f10-35fb-49cb-951f-e060850d44a2</errorID>
      <errorWord>(</errorWord>
      <group>L1_Format</group>
      <groupName>格式问题</groupName>
      <ability>L2_HalfPunc</ability>
      <abilityName>全半角检查</abilityName>
      <candidateList>
        <item>（</item>
      </candidateList>
      <explain>文本全半角错误。</explain>
      <paraID>7A29C936</paraID>
      <start>0</start>
      <end>1</end>
      <status>modified</status>
      <modifiedWord>（</modifiedWord>
      <trackRevisions>false</trackRevisions>
    </reviewItem>
    <reviewItem>
      <errorID>874a37dc-e1b9-44b8-8186-71d903c4bbd4</errorID>
      <errorWord>)</errorWord>
      <group>L1_Format</group>
      <groupName>格式问题</groupName>
      <ability>L2_HalfPunc</ability>
      <abilityName>全半角检查</abilityName>
      <candidateList>
        <item>）</item>
      </candidateList>
      <explain>文本全半角错误。</explain>
      <paraID>7A29C936</paraID>
      <start>3</start>
      <end>4</end>
      <status>modified</status>
      <modifiedWord>）</modifiedWord>
      <trackRevisions>false</trackRevisions>
    </reviewItem>
    <reviewItem>
      <errorID>a4a01b37-109a-4583-855a-85cb07bc7531</errorID>
      <errorWord>(</errorWord>
      <group>L1_Format</group>
      <groupName>格式问题</groupName>
      <ability>L2_HalfPunc</ability>
      <abilityName>全半角检查</abilityName>
      <candidateList>
        <item>（</item>
      </candidateList>
      <explain>文本全半角错误。</explain>
      <paraID> 3F8F190</paraID>
      <start>0</start>
      <end>1</end>
      <status>modified</status>
      <modifiedWord>（</modifiedWord>
      <trackRevisions>false</trackRevisions>
    </reviewItem>
    <reviewItem>
      <errorID>1d6c7324-74dc-4260-861f-11f67a6a3bf7</errorID>
      <errorWord>)</errorWord>
      <group>L1_Format</group>
      <groupName>格式问题</groupName>
      <ability>L2_HalfPunc</ability>
      <abilityName>全半角检查</abilityName>
      <candidateList>
        <item>）</item>
      </candidateList>
      <explain>文本全半角错误。</explain>
      <paraID> 3F8F190</paraID>
      <start>4</start>
      <end>5</end>
      <status>modified</status>
      <modifiedWord>）</modifiedWord>
      <trackRevisions>false</trackRevisions>
    </reviewItem>
    <reviewItem>
      <errorID>c23d37da-52de-4d02-9561-bf32273f1985</errorID>
      <errorWord>(</errorWord>
      <group>L1_Format</group>
      <groupName>格式问题</groupName>
      <ability>L2_HalfPunc</ability>
      <abilityName>全半角检查</abilityName>
      <candidateList>
        <item>（</item>
      </candidateList>
      <explain>文本全半角错误。</explain>
      <paraID>4B2BC7DD</paraID>
      <start>7</start>
      <end>8</end>
      <status>modified</status>
      <modifiedWord>（</modifiedWord>
      <trackRevisions>false</trackRevisions>
    </reviewItem>
    <reviewItem>
      <errorID>c65ebda6-496b-4b6f-bbc2-6798ee29da49</errorID>
      <errorWord>)</errorWord>
      <group>L1_Format</group>
      <groupName>格式问题</groupName>
      <ability>L2_HalfPunc</ability>
      <abilityName>全半角检查</abilityName>
      <candidateList>
        <item>）</item>
      </candidateList>
      <explain>文本全半角错误。</explain>
      <paraID>4B2BC7DD</paraID>
      <start>10</start>
      <end>11</end>
      <status>modified</status>
      <modifiedWord>）</modifiedWord>
      <trackRevisions>false</trackRevisions>
    </reviewItem>
    <reviewItem>
      <errorID>a43ccc9c-b280-4e7f-b906-8f0aada12c9a</errorID>
      <errorWord>(</errorWord>
      <group>L1_Format</group>
      <groupName>格式问题</groupName>
      <ability>L2_HalfPunc</ability>
      <abilityName>全半角检查</abilityName>
      <candidateList>
        <item>（</item>
      </candidateList>
      <explain>文本全半角错误。</explain>
      <paraID>34E17196</paraID>
      <start>5</start>
      <end>6</end>
      <status>modified</status>
      <modifiedWord>（</modifiedWord>
      <trackRevisions>false</trackRevisions>
    </reviewItem>
    <reviewItem>
      <errorID>7064d99a-487b-42ad-9548-9bf620277ea1</errorID>
      <errorWord>)</errorWord>
      <group>L1_Format</group>
      <groupName>格式问题</groupName>
      <ability>L2_HalfPunc</ability>
      <abilityName>全半角检查</abilityName>
      <candidateList>
        <item>）</item>
      </candidateList>
      <explain>文本全半角错误。</explain>
      <paraID>34E17196</paraID>
      <start>9</start>
      <end>10</end>
      <status>modified</status>
      <modifiedWord>）</modifiedWord>
      <trackRevisions>false</trackRevisions>
    </reviewItem>
    <reviewItem>
      <errorID>bae00c34-25af-4dc4-ab3e-4a3761b2fd34</errorID>
      <errorWord>(</errorWord>
      <group>L1_Format</group>
      <groupName>格式问题</groupName>
      <ability>L2_HalfPunc</ability>
      <abilityName>全半角检查</abilityName>
      <candidateList>
        <item>（</item>
      </candidateList>
      <explain>文本全半角错误。</explain>
      <paraID>73CEC683</paraID>
      <start>9</start>
      <end>10</end>
      <status>modified</status>
      <modifiedWord>（</modifiedWord>
      <trackRevisions>false</trackRevisions>
    </reviewItem>
    <reviewItem>
      <errorID>01050508-29e4-4d98-bf1a-ed52e2003505</errorID>
      <errorWord>)</errorWord>
      <group>L1_Format</group>
      <groupName>格式问题</groupName>
      <ability>L2_HalfPunc</ability>
      <abilityName>全半角检查</abilityName>
      <candidateList>
        <item>）</item>
      </candidateList>
      <explain>文本全半角错误。</explain>
      <paraID>73CEC683</paraID>
      <start>13</start>
      <end>14</end>
      <status>modified</status>
      <modifiedWord>）</modifiedWord>
      <trackRevisions>false</trackRevisions>
    </reviewItem>
    <reviewItem>
      <errorID>d2e8639e-842b-416e-b2d8-54c4e5bc941e</errorID>
      <errorWord>(</errorWord>
      <group>L1_Format</group>
      <groupName>格式问题</groupName>
      <ability>L2_HalfPunc</ability>
      <abilityName>全半角检查</abilityName>
      <candidateList>
        <item>（</item>
      </candidateList>
      <explain>文本全半角错误。</explain>
      <paraID>22DC2F1E</paraID>
      <start>26</start>
      <end>27</end>
      <status>modified</status>
      <modifiedWord>（</modifiedWord>
      <trackRevisions>false</trackRevisions>
    </reviewItem>
    <reviewItem>
      <errorID>183a7988-4b7b-42af-b609-76865a388b47</errorID>
      <errorWord>(2017)29号</errorWord>
      <group>L1_Knowledge</group>
      <groupName>知识性问题</groupName>
      <ability>L2_Knowledge</ability>
      <abilityName>其他知识</abilityName>
      <candidateList>
        <item>〔2017〕29号</item>
      </candidateList>
      <explain>发文字号格式错误。</explain>
      <paraID>22DC2F1E</paraID>
      <start>29</start>
      <end>38</end>
      <status>modified</status>
      <modifiedWord>〔2017〕29号</modifiedWord>
      <trackRevisions>false</trackRevisions>
    </reviewItem>
    <reviewItem>
      <errorID>0bcaf69d-d8e0-4fd4-a014-f58f31c1ae34</errorID>
      <errorWord>)</errorWord>
      <group>L1_Format</group>
      <groupName>格式问题</groupName>
      <ability>L2_HalfPunc</ability>
      <abilityName>全半角检查</abilityName>
      <candidateList>
        <item>）</item>
      </candidateList>
      <explain>文本全半角错误。</explain>
      <paraID>22DC2F1E</paraID>
      <start>38</start>
      <end>39</end>
      <status>modified</status>
      <modifiedWord>）</modifiedWord>
      <trackRevisions>false</trackRevisions>
    </reviewItem>
    <reviewItem>
      <errorID>1779b10b-8775-4a04-a05f-f5edf5f8ba4c</errorID>
      <errorWord>(</errorWord>
      <group>L1_Format</group>
      <groupName>格式问题</groupName>
      <ability>L2_HalfPunc</ability>
      <abilityName>全半角检查</abilityName>
      <candidateList>
        <item>（</item>
      </candidateList>
      <explain>文本全半角错误。</explain>
      <paraID>53472189</paraID>
      <start>12</start>
      <end>13</end>
      <status>modified</status>
      <modifiedWord>（</modifiedWord>
      <trackRevisions>false</trackRevisions>
    </reviewItem>
    <reviewItem>
      <errorID>04a45a60-a5f7-4664-b15b-4ebc8f10f3cf</errorID>
      <errorWord>)</errorWord>
      <group>L1_Format</group>
      <groupName>格式问题</groupName>
      <ability>L2_HalfPunc</ability>
      <abilityName>全半角检查</abilityName>
      <candidateList>
        <item>）</item>
      </candidateList>
      <explain>文本全半角错误。</explain>
      <paraID>53472189</paraID>
      <start>24</start>
      <end>25</end>
      <status>modified</status>
      <modifiedWord>）</modifiedWord>
      <trackRevisions>false</trackRevisions>
    </reviewItem>
    <reviewItem>
      <errorID>b9cf89a2-e1dc-414e-9d41-19e7f34dfcc6</errorID>
      <errorWord>(</errorWord>
      <group>L1_Format</group>
      <groupName>格式问题</groupName>
      <ability>L2_HalfPunc</ability>
      <abilityName>全半角检查</abilityName>
      <candidateList>
        <item>（</item>
      </candidateList>
      <explain>文本全半角错误。</explain>
      <paraID>  1BE529</paraID>
      <start>16</start>
      <end>17</end>
      <status>modified</status>
      <modifiedWord>（</modifiedWord>
      <trackRevisions>false</trackRevisions>
    </reviewItem>
    <reviewItem>
      <errorID>23cb4446-a9dd-4b0f-bc4c-d0cf8285f9e0</errorID>
      <errorWord>(</errorWord>
      <group>L1_Format</group>
      <groupName>格式问题</groupName>
      <ability>L2_HalfPunc</ability>
      <abilityName>全半角检查</abilityName>
      <candidateList>
        <item>（</item>
      </candidateList>
      <explain>文本全半角错误。</explain>
      <paraID>  1BE529</paraID>
      <start>23</start>
      <end>24</end>
      <status>modified</status>
      <modifiedWord>（</modifiedWord>
      <trackRevisions>false</trackRevisions>
    </reviewItem>
    <reviewItem>
      <errorID>c7bcae2b-44dd-4c14-80b8-81371bb0b194</errorID>
      <errorWord>)</errorWord>
      <group>L1_Format</group>
      <groupName>格式问题</groupName>
      <ability>L2_HalfPunc</ability>
      <abilityName>全半角检查</abilityName>
      <candidateList>
        <item>）</item>
      </candidateList>
      <explain>文本全半角错误。</explain>
      <paraID>  1BE529</paraID>
      <start>29</start>
      <end>30</end>
      <status>modified</status>
      <modifiedWord>）</modifiedWord>
      <trackRevisions>false</trackRevisions>
    </reviewItem>
    <reviewItem>
      <errorID>60afcbab-ce75-4588-b9f8-32582548e7df</errorID>
      <errorWord>)</errorWord>
      <group>L1_Format</group>
      <groupName>格式问题</groupName>
      <ability>L2_HalfPunc</ability>
      <abilityName>全半角检查</abilityName>
      <candidateList>
        <item>）</item>
      </candidateList>
      <explain>文本全半角错误。</explain>
      <paraID>  1BE529</paraID>
      <start>33</start>
      <end>34</end>
      <status>modified</status>
      <modifiedWord>）</modifiedWord>
      <trackRevisions>false</trackRevisions>
    </reviewItem>
    <reviewItem>
      <errorID>4ceee8bd-2ae0-48af-9b2d-9386533f497a</errorID>
      <errorWord>(</errorWord>
      <group>L1_Format</group>
      <groupName>格式问题</groupName>
      <ability>L2_HalfPunc</ability>
      <abilityName>全半角检查</abilityName>
      <candidateList>
        <item>（</item>
      </candidateList>
      <explain>文本全半角错误。</explain>
      <paraID>1CE322EC</paraID>
      <start>16</start>
      <end>17</end>
      <status>modified</status>
      <modifiedWord>（</modifiedWord>
      <trackRevisions>false</trackRevisions>
    </reviewItem>
    <reviewItem>
      <errorID>e1f94978-98ce-4623-9d33-fd2a2d155881</errorID>
      <errorWord>)</errorWord>
      <group>L1_Format</group>
      <groupName>格式问题</groupName>
      <ability>L2_HalfPunc</ability>
      <abilityName>全半角检查</abilityName>
      <candidateList>
        <item>）</item>
      </candidateList>
      <explain>文本全半角错误。</explain>
      <paraID>1CE322EC</paraID>
      <start>27</start>
      <end>28</end>
      <status>modified</status>
      <modifiedWord>）</modifiedWord>
      <trackRevisions>false</trackRevisions>
    </reviewItem>
    <reviewItem>
      <errorID>9a834407-d559-4c76-bfb3-0c7f8304ee82</errorID>
      <errorWord>(</errorWord>
      <group>L1_Format</group>
      <groupName>格式问题</groupName>
      <ability>L2_HalfPunc</ability>
      <abilityName>全半角检查</abilityName>
      <candidateList>
        <item>（</item>
      </candidateList>
      <explain>文本全半角错误。</explain>
      <paraID>51D5D5B1</paraID>
      <start>28</start>
      <end>29</end>
      <status>modified</status>
      <modifiedWord>（</modifiedWord>
      <trackRevisions>false</trackRevisions>
    </reviewItem>
    <reviewItem>
      <errorID>935e83cf-10f4-4b98-939e-58d3f8139353</errorID>
      <errorWord>(2016)63号</errorWord>
      <group>L1_Knowledge</group>
      <groupName>知识性问题</groupName>
      <ability>L2_Knowledge</ability>
      <abilityName>其他知识</abilityName>
      <candidateList>
        <item>〔2016〕63号</item>
      </candidateList>
      <explain>发文字号格式错误。</explain>
      <paraID>51D5D5B1</paraID>
      <start>33</start>
      <end>42</end>
      <status>modified</status>
      <modifiedWord>〔2016〕63号</modifiedWord>
      <trackRevisions>false</trackRevisions>
    </reviewItem>
    <reviewItem>
      <errorID>7303bf72-d261-4798-b0d6-4bcbdda8d974</errorID>
      <errorWord>)</errorWord>
      <group>L1_Format</group>
      <groupName>格式问题</groupName>
      <ability>L2_HalfPunc</ability>
      <abilityName>全半角检查</abilityName>
      <candidateList>
        <item>）</item>
      </candidateList>
      <explain>文本全半角错误。</explain>
      <paraID>51D5D5B1</paraID>
      <start>42</start>
      <end>43</end>
      <status>modified</status>
      <modifiedWord>）</modifiedWord>
      <trackRevisions>false</trackRevisions>
    </reviewItem>
    <reviewItem>
      <errorID>a379183e-cd26-4e09-8e46-8375214b5022</errorID>
      <errorWord>(</errorWord>
      <group>L1_Format</group>
      <groupName>格式问题</groupName>
      <ability>L2_HalfPunc</ability>
      <abilityName>全半角检查</abilityName>
      <candidateList>
        <item>（</item>
      </candidateList>
      <explain>文本全半角错误。</explain>
      <paraID>7D7587C3</paraID>
      <start>16</start>
      <end>17</end>
      <status>modified</status>
      <modifiedWord>（</modifiedWord>
      <trackRevisions>false</trackRevisions>
    </reviewItem>
    <reviewItem>
      <errorID>28fc3016-bb8e-4c16-9831-18eba020ab6e</errorID>
      <errorWord>)</errorWord>
      <group>L1_Format</group>
      <groupName>格式问题</groupName>
      <ability>L2_HalfPunc</ability>
      <abilityName>全半角检查</abilityName>
      <candidateList>
        <item>）</item>
      </candidateList>
      <explain>文本全半角错误。</explain>
      <paraID>7D7587C3</paraID>
      <start>25</start>
      <end>26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e6c690-a05f-44d9-bd4a-fa8bbe14650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5637</Words>
  <Characters>6353</Characters>
  <Lines>25</Lines>
  <Paragraphs>26</Paragraphs>
  <TotalTime>0</TotalTime>
  <ScaleCrop>false</ScaleCrop>
  <LinksUpToDate>false</LinksUpToDate>
  <CharactersWithSpaces>6751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2021-09-28T09:05:00Z</dcterms:created>
  <dc:creator>Administrator</dc:creator>
  <cp:lastModifiedBy>think</cp:lastModifiedBy>
  <cp:lastPrinted>2025-04-22T06:30:00Z</cp:lastPrinted>
  <dcterms:modified xsi:type="dcterms:W3CDTF">2026-03-25T02:07:58Z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67C1B6BB41094C52B4DE70FCBA444322_13</vt:lpwstr>
  </property>
  <property fmtid="{D5CDD505-2E9C-101B-9397-08002B2CF9AE}" pid="4" name="KSOTemplateDocerSaveRecord">
    <vt:lpwstr>eyJoZGlkIjoiNzBmOTZkYzk5ZDI3MjUyNTg4Nzc4NDkxNzkzN2QzZGYiLCJ1c2VySWQiOiI0MzQxNTM5MjAifQ==</vt:lpwstr>
  </property>
</Properties>
</file>