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D4A482">
      <w:pPr>
        <w:keepNext/>
        <w:pageBreakBefore/>
        <w:widowControl/>
        <w:shd w:val="clear" w:color="FFFFFF" w:fill="FFFFFF"/>
        <w:spacing w:before="640" w:after="560" w:line="460" w:lineRule="exact"/>
        <w:rPr>
          <w:rFonts w:ascii="黑体" w:eastAsia="黑体"/>
          <w:kern w:val="0"/>
          <w:szCs w:val="21"/>
        </w:rPr>
      </w:pPr>
      <w:bookmarkStart w:id="237" w:name="_GoBack"/>
      <w:bookmarkEnd w:id="237"/>
      <w:bookmarkStart w:id="0" w:name="_Toc30164"/>
      <w:bookmarkStart w:id="1" w:name="_Toc16503"/>
      <w:r>
        <w:rPr>
          <w:rFonts w:hint="eastAsia" w:ascii="黑体" w:eastAsia="黑体"/>
          <w:kern w:val="0"/>
          <w:szCs w:val="21"/>
        </w:rPr>
        <w:t>ICS XX.XX</w:t>
      </w:r>
      <w:bookmarkEnd w:id="0"/>
      <w:bookmarkEnd w:id="1"/>
    </w:p>
    <w:p w14:paraId="5FB7D475">
      <w:pPr>
        <w:widowControl/>
        <w:tabs>
          <w:tab w:val="center" w:pos="4201"/>
          <w:tab w:val="right" w:leader="dot" w:pos="9298"/>
        </w:tabs>
        <w:autoSpaceDE w:val="0"/>
        <w:autoSpaceDN w:val="0"/>
        <w:rPr>
          <w:rFonts w:ascii="宋体"/>
          <w:kern w:val="0"/>
          <w:szCs w:val="20"/>
        </w:rPr>
      </w:pPr>
      <w:r>
        <w:rPr>
          <w:rFonts w:hint="eastAsia" w:ascii="宋体"/>
          <w:kern w:val="0"/>
          <w:szCs w:val="20"/>
        </w:rPr>
        <w:t>XXX</w:t>
      </w:r>
    </w:p>
    <w:p w14:paraId="2A5E866A">
      <w:pPr>
        <w:widowControl/>
        <w:tabs>
          <w:tab w:val="center" w:pos="4201"/>
          <w:tab w:val="right" w:leader="dot" w:pos="9298"/>
        </w:tabs>
        <w:autoSpaceDE w:val="0"/>
        <w:autoSpaceDN w:val="0"/>
        <w:jc w:val="distribute"/>
        <w:rPr>
          <w:rFonts w:hint="eastAsia" w:ascii="黑体" w:hAnsi="黑体" w:eastAsia="黑体"/>
          <w:kern w:val="0"/>
          <w:sz w:val="48"/>
          <w:szCs w:val="48"/>
        </w:rPr>
      </w:pPr>
      <w:r>
        <w:rPr>
          <w:rFonts w:hint="eastAsia" w:ascii="黑体" w:hAnsi="黑体" w:eastAsia="黑体"/>
          <w:kern w:val="0"/>
          <w:sz w:val="48"/>
          <w:szCs w:val="48"/>
        </w:rPr>
        <w:t>团体标准</w:t>
      </w:r>
    </w:p>
    <w:p w14:paraId="0757584B">
      <w:pPr>
        <w:widowControl/>
        <w:tabs>
          <w:tab w:val="center" w:pos="4201"/>
          <w:tab w:val="right" w:leader="dot" w:pos="9298"/>
        </w:tabs>
        <w:wordWrap w:val="0"/>
        <w:autoSpaceDE w:val="0"/>
        <w:autoSpaceDN w:val="0"/>
        <w:jc w:val="right"/>
        <w:rPr>
          <w:rFonts w:hint="eastAsia" w:ascii="宋体" w:hAnsi="宋体"/>
          <w:kern w:val="0"/>
          <w:sz w:val="28"/>
          <w:szCs w:val="28"/>
        </w:rPr>
      </w:pPr>
      <w:r>
        <w:rPr>
          <w:sz w:val="28"/>
          <w:szCs w:val="28"/>
        </w:rPr>
        <w:t>T/</w:t>
      </w:r>
      <w:r>
        <w:rPr>
          <w:rFonts w:hint="eastAsia"/>
          <w:sz w:val="28"/>
          <w:szCs w:val="28"/>
        </w:rPr>
        <w:t>CA</w:t>
      </w:r>
      <w:r>
        <w:rPr>
          <w:rFonts w:hint="eastAsia"/>
          <w:kern w:val="0"/>
          <w:sz w:val="28"/>
          <w:szCs w:val="28"/>
        </w:rPr>
        <w:t xml:space="preserve">GHPER </w:t>
      </w:r>
      <w:r>
        <w:rPr>
          <w:rFonts w:hint="eastAsia" w:hAnsi="宋体"/>
          <w:sz w:val="28"/>
          <w:szCs w:val="28"/>
        </w:rPr>
        <w:t>XXX—XXXX</w:t>
      </w:r>
    </w:p>
    <w:p w14:paraId="3CE2E92C">
      <w:pPr>
        <w:widowControl/>
        <w:tabs>
          <w:tab w:val="center" w:pos="4201"/>
          <w:tab w:val="right" w:leader="dot" w:pos="9298"/>
        </w:tabs>
        <w:autoSpaceDE w:val="0"/>
        <w:autoSpaceDN w:val="0"/>
        <w:jc w:val="right"/>
        <w:rPr>
          <w:kern w:val="0"/>
          <w:szCs w:val="21"/>
        </w:rPr>
      </w:pPr>
    </w:p>
    <w:tbl>
      <w:tblPr>
        <w:tblStyle w:val="42"/>
        <w:tblW w:w="0" w:type="auto"/>
        <w:tblInd w:w="0" w:type="dxa"/>
        <w:tblBorders>
          <w:top w:val="single" w:color="000000" w:sz="4"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571"/>
      </w:tblGrid>
      <w:tr w14:paraId="7E7B5678">
        <w:tblPrEx>
          <w:tblBorders>
            <w:top w:val="single" w:color="000000"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1" w:type="dxa"/>
          </w:tcPr>
          <w:p w14:paraId="6818121A">
            <w:pPr>
              <w:widowControl/>
              <w:tabs>
                <w:tab w:val="center" w:pos="4201"/>
                <w:tab w:val="right" w:leader="dot" w:pos="9298"/>
              </w:tabs>
              <w:autoSpaceDE w:val="0"/>
              <w:autoSpaceDN w:val="0"/>
              <w:rPr>
                <w:rFonts w:hint="eastAsia" w:ascii="黑体" w:hAnsi="黑体" w:eastAsia="黑体"/>
                <w:kern w:val="0"/>
                <w:sz w:val="48"/>
                <w:szCs w:val="48"/>
              </w:rPr>
            </w:pPr>
          </w:p>
        </w:tc>
      </w:tr>
    </w:tbl>
    <w:p w14:paraId="5CB1306E">
      <w:pPr>
        <w:widowControl/>
        <w:tabs>
          <w:tab w:val="center" w:pos="4201"/>
          <w:tab w:val="right" w:leader="dot" w:pos="9298"/>
        </w:tabs>
        <w:autoSpaceDE w:val="0"/>
        <w:autoSpaceDN w:val="0"/>
        <w:rPr>
          <w:rFonts w:hint="eastAsia" w:ascii="黑体" w:hAnsi="黑体" w:eastAsia="黑体"/>
          <w:kern w:val="0"/>
          <w:sz w:val="48"/>
          <w:szCs w:val="48"/>
        </w:rPr>
      </w:pPr>
    </w:p>
    <w:p w14:paraId="149BC91A">
      <w:pPr>
        <w:widowControl/>
        <w:tabs>
          <w:tab w:val="center" w:pos="4201"/>
          <w:tab w:val="right" w:leader="dot" w:pos="9298"/>
        </w:tabs>
        <w:autoSpaceDE w:val="0"/>
        <w:autoSpaceDN w:val="0"/>
        <w:jc w:val="distribute"/>
        <w:rPr>
          <w:rFonts w:hint="eastAsia" w:ascii="黑体" w:hAnsi="黑体" w:eastAsia="黑体"/>
          <w:kern w:val="0"/>
          <w:sz w:val="48"/>
          <w:szCs w:val="48"/>
        </w:rPr>
      </w:pPr>
    </w:p>
    <w:p w14:paraId="377E9574">
      <w:pPr>
        <w:widowControl/>
        <w:tabs>
          <w:tab w:val="center" w:pos="4201"/>
          <w:tab w:val="right" w:leader="dot" w:pos="9298"/>
        </w:tabs>
        <w:autoSpaceDE w:val="0"/>
        <w:autoSpaceDN w:val="0"/>
        <w:jc w:val="distribute"/>
        <w:rPr>
          <w:rFonts w:hint="eastAsia" w:ascii="黑体" w:hAnsi="黑体" w:eastAsia="黑体"/>
          <w:kern w:val="0"/>
          <w:sz w:val="48"/>
          <w:szCs w:val="48"/>
        </w:rPr>
      </w:pPr>
    </w:p>
    <w:p w14:paraId="0E386706">
      <w:pPr>
        <w:widowControl/>
        <w:tabs>
          <w:tab w:val="center" w:pos="4201"/>
          <w:tab w:val="right" w:leader="dot" w:pos="9298"/>
        </w:tabs>
        <w:autoSpaceDE w:val="0"/>
        <w:autoSpaceDN w:val="0"/>
        <w:jc w:val="center"/>
        <w:rPr>
          <w:rFonts w:hint="eastAsia" w:ascii="黑体" w:hAnsi="黑体" w:eastAsia="黑体"/>
          <w:kern w:val="0"/>
          <w:sz w:val="52"/>
          <w:szCs w:val="52"/>
        </w:rPr>
      </w:pPr>
      <w:r>
        <w:rPr>
          <w:rFonts w:hint="eastAsia" w:ascii="黑体" w:hAnsi="黑体" w:eastAsia="黑体"/>
          <w:kern w:val="0"/>
          <w:sz w:val="52"/>
          <w:szCs w:val="52"/>
        </w:rPr>
        <w:t>山水林田湖草沙一体化生态保护与修复</w:t>
      </w:r>
    </w:p>
    <w:p w14:paraId="24D50987">
      <w:pPr>
        <w:widowControl/>
        <w:tabs>
          <w:tab w:val="center" w:pos="4201"/>
          <w:tab w:val="right" w:leader="dot" w:pos="9298"/>
        </w:tabs>
        <w:autoSpaceDE w:val="0"/>
        <w:autoSpaceDN w:val="0"/>
        <w:jc w:val="center"/>
        <w:rPr>
          <w:rFonts w:hint="eastAsia" w:ascii="黑体" w:hAnsi="黑体" w:eastAsia="黑体"/>
          <w:kern w:val="0"/>
          <w:sz w:val="52"/>
          <w:szCs w:val="52"/>
        </w:rPr>
      </w:pPr>
      <w:r>
        <w:rPr>
          <w:rFonts w:hint="eastAsia" w:ascii="黑体" w:hAnsi="黑体" w:eastAsia="黑体"/>
          <w:kern w:val="0"/>
          <w:sz w:val="52"/>
          <w:szCs w:val="52"/>
        </w:rPr>
        <w:t>成效监测技术规范</w:t>
      </w:r>
    </w:p>
    <w:p w14:paraId="1BDB4A4D">
      <w:pPr>
        <w:spacing w:line="600" w:lineRule="auto"/>
        <w:jc w:val="center"/>
        <w:rPr>
          <w:rFonts w:eastAsia="黑体"/>
          <w:kern w:val="0"/>
          <w:sz w:val="28"/>
          <w:szCs w:val="28"/>
        </w:rPr>
      </w:pPr>
      <w:r>
        <w:rPr>
          <w:rFonts w:eastAsia="黑体"/>
          <w:kern w:val="0"/>
          <w:sz w:val="28"/>
          <w:szCs w:val="28"/>
        </w:rPr>
        <w:t xml:space="preserve">Technical specifications for monitoring the effectiveness of </w:t>
      </w:r>
    </w:p>
    <w:p w14:paraId="46BE1FAC">
      <w:pPr>
        <w:spacing w:line="600" w:lineRule="auto"/>
        <w:jc w:val="center"/>
        <w:rPr>
          <w:rFonts w:eastAsia="黑体"/>
          <w:color w:val="000000"/>
          <w:sz w:val="28"/>
          <w:szCs w:val="28"/>
        </w:rPr>
      </w:pPr>
      <w:r>
        <w:rPr>
          <w:rFonts w:hint="eastAsia" w:eastAsia="黑体"/>
          <w:kern w:val="0"/>
          <w:sz w:val="28"/>
          <w:szCs w:val="28"/>
        </w:rPr>
        <w:t>integrated</w:t>
      </w:r>
      <w:r>
        <w:rPr>
          <w:rFonts w:eastAsia="黑体"/>
          <w:kern w:val="0"/>
          <w:sz w:val="28"/>
          <w:szCs w:val="28"/>
        </w:rPr>
        <w:t xml:space="preserve"> ecological protection and restoration</w:t>
      </w:r>
      <w:r>
        <w:rPr>
          <w:rFonts w:hint="eastAsia" w:eastAsia="黑体"/>
          <w:kern w:val="0"/>
          <w:sz w:val="28"/>
          <w:szCs w:val="28"/>
        </w:rPr>
        <w:t xml:space="preserve"> </w:t>
      </w:r>
      <w:r>
        <w:rPr>
          <w:rFonts w:eastAsia="黑体"/>
          <w:kern w:val="0"/>
          <w:sz w:val="28"/>
          <w:szCs w:val="28"/>
        </w:rPr>
        <w:t>of mountain</w:t>
      </w:r>
      <w:r>
        <w:rPr>
          <w:rFonts w:hint="eastAsia" w:eastAsia="黑体"/>
          <w:kern w:val="0"/>
          <w:sz w:val="28"/>
          <w:szCs w:val="28"/>
        </w:rPr>
        <w:t>s</w:t>
      </w:r>
      <w:r>
        <w:rPr>
          <w:rFonts w:eastAsia="黑体"/>
          <w:kern w:val="0"/>
          <w:sz w:val="28"/>
          <w:szCs w:val="28"/>
        </w:rPr>
        <w:t xml:space="preserve">, </w:t>
      </w:r>
      <w:r>
        <w:rPr>
          <w:rFonts w:hint="eastAsia" w:eastAsia="黑体"/>
          <w:kern w:val="0"/>
          <w:sz w:val="28"/>
          <w:szCs w:val="28"/>
        </w:rPr>
        <w:t>rivers</w:t>
      </w:r>
      <w:r>
        <w:rPr>
          <w:rFonts w:eastAsia="黑体"/>
          <w:kern w:val="0"/>
          <w:sz w:val="28"/>
          <w:szCs w:val="28"/>
        </w:rPr>
        <w:t>, forest</w:t>
      </w:r>
      <w:r>
        <w:rPr>
          <w:rFonts w:hint="eastAsia" w:eastAsia="黑体"/>
          <w:kern w:val="0"/>
          <w:sz w:val="28"/>
          <w:szCs w:val="28"/>
        </w:rPr>
        <w:t>s</w:t>
      </w:r>
      <w:r>
        <w:rPr>
          <w:rFonts w:eastAsia="黑体"/>
          <w:kern w:val="0"/>
          <w:sz w:val="28"/>
          <w:szCs w:val="28"/>
        </w:rPr>
        <w:t>, farmland</w:t>
      </w:r>
      <w:r>
        <w:rPr>
          <w:rFonts w:hint="eastAsia" w:eastAsia="黑体"/>
          <w:kern w:val="0"/>
          <w:sz w:val="28"/>
          <w:szCs w:val="28"/>
        </w:rPr>
        <w:t>s</w:t>
      </w:r>
      <w:r>
        <w:rPr>
          <w:rFonts w:eastAsia="黑体"/>
          <w:kern w:val="0"/>
          <w:sz w:val="28"/>
          <w:szCs w:val="28"/>
        </w:rPr>
        <w:t>,</w:t>
      </w:r>
      <w:r>
        <w:rPr>
          <w:rFonts w:hint="eastAsia" w:eastAsia="黑体"/>
          <w:kern w:val="0"/>
          <w:sz w:val="28"/>
          <w:szCs w:val="28"/>
        </w:rPr>
        <w:t xml:space="preserve"> lakes,</w:t>
      </w:r>
      <w:r>
        <w:rPr>
          <w:rFonts w:eastAsia="黑体"/>
          <w:kern w:val="0"/>
          <w:sz w:val="28"/>
          <w:szCs w:val="28"/>
        </w:rPr>
        <w:t xml:space="preserve"> grassland</w:t>
      </w:r>
      <w:r>
        <w:rPr>
          <w:rFonts w:hint="eastAsia" w:eastAsia="黑体"/>
          <w:kern w:val="0"/>
          <w:sz w:val="28"/>
          <w:szCs w:val="28"/>
        </w:rPr>
        <w:t>s</w:t>
      </w:r>
      <w:r>
        <w:rPr>
          <w:rFonts w:eastAsia="黑体"/>
          <w:kern w:val="0"/>
          <w:sz w:val="28"/>
          <w:szCs w:val="28"/>
        </w:rPr>
        <w:t xml:space="preserve"> and deserts</w:t>
      </w:r>
    </w:p>
    <w:p w14:paraId="06D1F011">
      <w:pPr>
        <w:widowControl/>
        <w:tabs>
          <w:tab w:val="center" w:pos="4201"/>
          <w:tab w:val="right" w:leader="dot" w:pos="9298"/>
        </w:tabs>
        <w:autoSpaceDE w:val="0"/>
        <w:autoSpaceDN w:val="0"/>
        <w:jc w:val="center"/>
        <w:rPr>
          <w:rFonts w:hint="eastAsia" w:ascii="宋体" w:hAnsi="宋体"/>
          <w:kern w:val="0"/>
          <w:szCs w:val="21"/>
        </w:rPr>
      </w:pPr>
      <w:r>
        <w:rPr>
          <w:rFonts w:hint="eastAsia" w:ascii="宋体" w:hAnsi="宋体"/>
          <w:kern w:val="0"/>
          <w:szCs w:val="21"/>
        </w:rPr>
        <w:t>（</w:t>
      </w:r>
      <w:r>
        <w:rPr>
          <w:rFonts w:hint="eastAsia" w:hAnsi="宋体"/>
          <w:szCs w:val="21"/>
        </w:rPr>
        <w:t>征求意见稿</w:t>
      </w:r>
      <w:r>
        <w:rPr>
          <w:rFonts w:hint="eastAsia" w:ascii="宋体" w:hAnsi="宋体"/>
          <w:kern w:val="0"/>
          <w:szCs w:val="21"/>
        </w:rPr>
        <w:t>）</w:t>
      </w:r>
    </w:p>
    <w:p w14:paraId="3EF362D7">
      <w:pPr>
        <w:widowControl/>
        <w:tabs>
          <w:tab w:val="center" w:pos="4201"/>
          <w:tab w:val="right" w:leader="dot" w:pos="9298"/>
        </w:tabs>
        <w:autoSpaceDE w:val="0"/>
        <w:autoSpaceDN w:val="0"/>
        <w:jc w:val="center"/>
        <w:rPr>
          <w:kern w:val="0"/>
          <w:sz w:val="28"/>
          <w:szCs w:val="28"/>
        </w:rPr>
      </w:pPr>
    </w:p>
    <w:p w14:paraId="1A23A175">
      <w:pPr>
        <w:widowControl/>
        <w:tabs>
          <w:tab w:val="center" w:pos="4201"/>
          <w:tab w:val="right" w:leader="dot" w:pos="9298"/>
        </w:tabs>
        <w:autoSpaceDE w:val="0"/>
        <w:autoSpaceDN w:val="0"/>
        <w:jc w:val="center"/>
        <w:rPr>
          <w:rFonts w:eastAsia="黑体"/>
          <w:kern w:val="0"/>
          <w:sz w:val="28"/>
          <w:szCs w:val="28"/>
        </w:rPr>
      </w:pPr>
    </w:p>
    <w:p w14:paraId="63F5C6B1">
      <w:pPr>
        <w:widowControl/>
        <w:tabs>
          <w:tab w:val="center" w:pos="4201"/>
          <w:tab w:val="right" w:leader="dot" w:pos="9298"/>
        </w:tabs>
        <w:autoSpaceDE w:val="0"/>
        <w:autoSpaceDN w:val="0"/>
        <w:jc w:val="center"/>
        <w:rPr>
          <w:rFonts w:eastAsia="黑体"/>
          <w:kern w:val="0"/>
          <w:sz w:val="28"/>
          <w:szCs w:val="28"/>
        </w:rPr>
      </w:pPr>
    </w:p>
    <w:p w14:paraId="66D44F30">
      <w:pPr>
        <w:widowControl/>
        <w:tabs>
          <w:tab w:val="center" w:pos="4201"/>
          <w:tab w:val="right" w:leader="dot" w:pos="9298"/>
        </w:tabs>
        <w:autoSpaceDE w:val="0"/>
        <w:autoSpaceDN w:val="0"/>
        <w:rPr>
          <w:rFonts w:eastAsia="黑体"/>
          <w:kern w:val="0"/>
          <w:sz w:val="28"/>
          <w:szCs w:val="28"/>
        </w:rPr>
      </w:pPr>
    </w:p>
    <w:tbl>
      <w:tblPr>
        <w:tblStyle w:val="42"/>
        <w:tblW w:w="0" w:type="auto"/>
        <w:tblInd w:w="0" w:type="dxa"/>
        <w:tblBorders>
          <w:top w:val="none" w:color="auto" w:sz="0" w:space="0"/>
          <w:left w:val="none" w:color="auto" w:sz="0" w:space="0"/>
          <w:bottom w:val="single" w:color="000000"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571"/>
      </w:tblGrid>
      <w:tr w14:paraId="58EC459C">
        <w:tblPrEx>
          <w:tblBorders>
            <w:top w:val="none" w:color="auto" w:sz="0"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1" w:type="dxa"/>
          </w:tcPr>
          <w:p w14:paraId="79EECAF0">
            <w:pPr>
              <w:widowControl/>
              <w:tabs>
                <w:tab w:val="center" w:pos="4201"/>
                <w:tab w:val="right" w:leader="dot" w:pos="9298"/>
              </w:tabs>
              <w:autoSpaceDE w:val="0"/>
              <w:autoSpaceDN w:val="0"/>
              <w:rPr>
                <w:rFonts w:hint="eastAsia" w:ascii="黑体" w:hAnsi="黑体" w:eastAsia="黑体"/>
                <w:kern w:val="0"/>
                <w:sz w:val="28"/>
                <w:szCs w:val="28"/>
              </w:rPr>
            </w:pPr>
            <w:r>
              <w:rPr>
                <w:rFonts w:hint="eastAsia" w:ascii="黑体" w:hAnsi="黑体" w:eastAsia="黑体"/>
                <w:kern w:val="0"/>
                <w:sz w:val="28"/>
                <w:szCs w:val="28"/>
              </w:rPr>
              <w:t>XXXX-XX-XX发布（黑体四号）                           XXXX-XX-XX实施</w:t>
            </w:r>
          </w:p>
        </w:tc>
      </w:tr>
    </w:tbl>
    <w:p w14:paraId="7B374537">
      <w:pPr>
        <w:widowControl/>
        <w:tabs>
          <w:tab w:val="center" w:pos="4201"/>
          <w:tab w:val="right" w:leader="dot" w:pos="9298"/>
        </w:tabs>
        <w:autoSpaceDE w:val="0"/>
        <w:autoSpaceDN w:val="0"/>
        <w:ind w:firstLine="560" w:firstLineChars="200"/>
        <w:jc w:val="center"/>
        <w:rPr>
          <w:rFonts w:eastAsia="黑体"/>
          <w:kern w:val="0"/>
          <w:sz w:val="28"/>
          <w:szCs w:val="28"/>
        </w:rPr>
      </w:pPr>
    </w:p>
    <w:p w14:paraId="12673D21">
      <w:pPr>
        <w:widowControl/>
        <w:tabs>
          <w:tab w:val="center" w:pos="4201"/>
          <w:tab w:val="right" w:leader="dot" w:pos="9298"/>
        </w:tabs>
        <w:autoSpaceDE w:val="0"/>
        <w:autoSpaceDN w:val="0"/>
        <w:jc w:val="center"/>
        <w:rPr>
          <w:rFonts w:eastAsia="黑体"/>
          <w:kern w:val="0"/>
          <w:sz w:val="28"/>
          <w:szCs w:val="28"/>
        </w:rPr>
      </w:pPr>
      <w:r>
        <w:rPr>
          <w:rFonts w:hint="eastAsia" w:eastAsia="黑体"/>
          <w:kern w:val="0"/>
          <w:sz w:val="28"/>
          <w:szCs w:val="28"/>
        </w:rPr>
        <w:t>中国地质灾害防治与生态修复协会  发布</w:t>
      </w:r>
    </w:p>
    <w:p w14:paraId="1DA0CF11">
      <w:pPr>
        <w:widowControl/>
        <w:tabs>
          <w:tab w:val="center" w:pos="4201"/>
          <w:tab w:val="right" w:leader="dot" w:pos="9298"/>
        </w:tabs>
        <w:autoSpaceDE w:val="0"/>
        <w:autoSpaceDN w:val="0"/>
        <w:ind w:firstLine="560" w:firstLineChars="200"/>
        <w:rPr>
          <w:rFonts w:eastAsia="黑体"/>
          <w:kern w:val="0"/>
          <w:sz w:val="28"/>
          <w:szCs w:val="28"/>
        </w:rPr>
        <w:sectPr>
          <w:headerReference r:id="rId3" w:type="even"/>
          <w:footerReference r:id="rId4" w:type="even"/>
          <w:pgSz w:w="11906" w:h="16838"/>
          <w:pgMar w:top="567" w:right="850" w:bottom="1134" w:left="1417" w:header="0" w:footer="0" w:gutter="0"/>
          <w:pgNumType w:fmt="upperRoman" w:start="1"/>
          <w:cols w:space="720" w:num="1"/>
          <w:docGrid w:type="lines" w:linePitch="312" w:charSpace="0"/>
        </w:sectPr>
      </w:pPr>
    </w:p>
    <w:p w14:paraId="3D347BDE">
      <w:pPr>
        <w:keepNext/>
        <w:pageBreakBefore/>
        <w:widowControl/>
        <w:shd w:val="clear" w:color="FFFFFF" w:fill="FFFFFF"/>
        <w:spacing w:before="640" w:after="560" w:line="460" w:lineRule="exact"/>
        <w:jc w:val="center"/>
        <w:rPr>
          <w:rFonts w:ascii="黑体" w:eastAsia="黑体"/>
          <w:kern w:val="0"/>
          <w:sz w:val="32"/>
          <w:szCs w:val="20"/>
        </w:rPr>
        <w:sectPr>
          <w:headerReference r:id="rId5" w:type="default"/>
          <w:footerReference r:id="rId6" w:type="default"/>
          <w:pgSz w:w="11906" w:h="16838"/>
          <w:pgMar w:top="567" w:right="1134" w:bottom="1134" w:left="1417" w:header="1418" w:footer="1134" w:gutter="0"/>
          <w:pgNumType w:fmt="upperRoman" w:start="1"/>
          <w:cols w:space="720" w:num="1"/>
          <w:formProt w:val="0"/>
          <w:docGrid w:type="lines" w:linePitch="312" w:charSpace="0"/>
        </w:sectPr>
      </w:pPr>
      <w:bookmarkStart w:id="2" w:name="_Toc3006"/>
    </w:p>
    <w:p w14:paraId="2180D26F">
      <w:pPr>
        <w:keepNext/>
        <w:pageBreakBefore/>
        <w:widowControl/>
        <w:shd w:val="clear" w:color="FFFFFF" w:fill="FFFFFF"/>
        <w:spacing w:before="640" w:after="560" w:line="460" w:lineRule="exact"/>
        <w:jc w:val="center"/>
        <w:rPr>
          <w:rFonts w:ascii="黑体" w:eastAsia="黑体"/>
          <w:kern w:val="0"/>
          <w:sz w:val="32"/>
          <w:szCs w:val="20"/>
        </w:rPr>
      </w:pPr>
      <w:r>
        <w:rPr>
          <w:rFonts w:hint="eastAsia" w:ascii="黑体" w:eastAsia="黑体"/>
          <w:kern w:val="0"/>
          <w:sz w:val="32"/>
          <w:szCs w:val="20"/>
        </w:rPr>
        <w:t>目  次</w:t>
      </w:r>
      <w:bookmarkEnd w:id="2"/>
    </w:p>
    <w:sdt>
      <w:sdtPr>
        <w:rPr>
          <w:rFonts w:ascii="宋体" w:hAnsi="宋体"/>
        </w:rPr>
        <w:id w:val="147471496"/>
        <w15:color w:val="DBDBDB"/>
        <w:docPartObj>
          <w:docPartGallery w:val="Table of Contents"/>
          <w:docPartUnique/>
        </w:docPartObj>
      </w:sdtPr>
      <w:sdtEndPr>
        <w:rPr>
          <w:rFonts w:ascii="宋体" w:hAnsi="Times New Roman"/>
          <w:szCs w:val="21"/>
        </w:rPr>
      </w:sdtEndPr>
      <w:sdtContent>
        <w:p w14:paraId="6615BD8B">
          <w:pPr>
            <w:jc w:val="center"/>
          </w:pPr>
        </w:p>
        <w:p w14:paraId="6B1579CD">
          <w:pPr>
            <w:pStyle w:val="27"/>
            <w:spacing w:before="78" w:after="78"/>
          </w:pPr>
          <w:r>
            <w:fldChar w:fldCharType="begin"/>
          </w:r>
          <w:r>
            <w:instrText xml:space="preserve">TOC \o "1-3" \h \u </w:instrText>
          </w:r>
          <w:r>
            <w:fldChar w:fldCharType="separate"/>
          </w:r>
          <w:r>
            <w:fldChar w:fldCharType="begin"/>
          </w:r>
          <w:r>
            <w:instrText xml:space="preserve"> HYPERLINK \l "_Toc5992" </w:instrText>
          </w:r>
          <w:r>
            <w:fldChar w:fldCharType="separate"/>
          </w:r>
          <w:r>
            <w:rPr>
              <w:rFonts w:hint="eastAsia"/>
            </w:rPr>
            <w:t>前  言</w:t>
          </w:r>
          <w:r>
            <w:tab/>
          </w:r>
          <w:r>
            <w:fldChar w:fldCharType="begin"/>
          </w:r>
          <w:r>
            <w:instrText xml:space="preserve"> PAGEREF _Toc5992 \h </w:instrText>
          </w:r>
          <w:r>
            <w:fldChar w:fldCharType="separate"/>
          </w:r>
          <w:r>
            <w:t>I</w:t>
          </w:r>
          <w:r>
            <w:fldChar w:fldCharType="end"/>
          </w:r>
          <w:r>
            <w:fldChar w:fldCharType="end"/>
          </w:r>
        </w:p>
        <w:p w14:paraId="31EE946D">
          <w:pPr>
            <w:pStyle w:val="27"/>
            <w:spacing w:before="78" w:after="78"/>
          </w:pPr>
          <w:r>
            <w:fldChar w:fldCharType="begin"/>
          </w:r>
          <w:r>
            <w:instrText xml:space="preserve"> HYPERLINK \l "_Toc615" </w:instrText>
          </w:r>
          <w:r>
            <w:fldChar w:fldCharType="separate"/>
          </w:r>
          <w:r>
            <w:rPr>
              <w:rFonts w:hint="eastAsia"/>
            </w:rPr>
            <w:t>1 范围</w:t>
          </w:r>
          <w:r>
            <w:tab/>
          </w:r>
          <w:r>
            <w:fldChar w:fldCharType="begin"/>
          </w:r>
          <w:r>
            <w:instrText xml:space="preserve"> PAGEREF _Toc615 \h </w:instrText>
          </w:r>
          <w:r>
            <w:fldChar w:fldCharType="separate"/>
          </w:r>
          <w:r>
            <w:t>1</w:t>
          </w:r>
          <w:r>
            <w:fldChar w:fldCharType="end"/>
          </w:r>
          <w:r>
            <w:fldChar w:fldCharType="end"/>
          </w:r>
        </w:p>
        <w:p w14:paraId="28C0E341">
          <w:pPr>
            <w:pStyle w:val="27"/>
            <w:spacing w:before="78" w:after="78"/>
          </w:pPr>
          <w:r>
            <w:fldChar w:fldCharType="begin"/>
          </w:r>
          <w:r>
            <w:instrText xml:space="preserve"> HYPERLINK \l "_Toc21791" </w:instrText>
          </w:r>
          <w:r>
            <w:fldChar w:fldCharType="separate"/>
          </w:r>
          <w:r>
            <w:rPr>
              <w:rFonts w:hint="eastAsia"/>
            </w:rPr>
            <w:t>2 规范性引用文件</w:t>
          </w:r>
          <w:r>
            <w:tab/>
          </w:r>
          <w:r>
            <w:fldChar w:fldCharType="begin"/>
          </w:r>
          <w:r>
            <w:instrText xml:space="preserve"> PAGEREF _Toc21791 \h </w:instrText>
          </w:r>
          <w:r>
            <w:fldChar w:fldCharType="separate"/>
          </w:r>
          <w:r>
            <w:t>1</w:t>
          </w:r>
          <w:r>
            <w:fldChar w:fldCharType="end"/>
          </w:r>
          <w:r>
            <w:fldChar w:fldCharType="end"/>
          </w:r>
        </w:p>
        <w:p w14:paraId="0ADAFD4C">
          <w:pPr>
            <w:pStyle w:val="27"/>
            <w:spacing w:before="78" w:after="78"/>
          </w:pPr>
          <w:r>
            <w:fldChar w:fldCharType="begin"/>
          </w:r>
          <w:r>
            <w:instrText xml:space="preserve"> HYPERLINK \l "_Toc28489" </w:instrText>
          </w:r>
          <w:r>
            <w:fldChar w:fldCharType="separate"/>
          </w:r>
          <w:r>
            <w:rPr>
              <w:rFonts w:hint="eastAsia"/>
            </w:rPr>
            <w:t>3 术语和定义</w:t>
          </w:r>
          <w:r>
            <w:tab/>
          </w:r>
          <w:r>
            <w:fldChar w:fldCharType="begin"/>
          </w:r>
          <w:r>
            <w:instrText xml:space="preserve"> PAGEREF _Toc28489 \h </w:instrText>
          </w:r>
          <w:r>
            <w:fldChar w:fldCharType="separate"/>
          </w:r>
          <w:r>
            <w:t>1</w:t>
          </w:r>
          <w:r>
            <w:fldChar w:fldCharType="end"/>
          </w:r>
          <w:r>
            <w:fldChar w:fldCharType="end"/>
          </w:r>
        </w:p>
        <w:p w14:paraId="0E34076E">
          <w:pPr>
            <w:pStyle w:val="27"/>
            <w:spacing w:before="78" w:after="78"/>
          </w:pPr>
          <w:r>
            <w:fldChar w:fldCharType="begin"/>
          </w:r>
          <w:r>
            <w:instrText xml:space="preserve"> HYPERLINK \l "_Toc16774" </w:instrText>
          </w:r>
          <w:r>
            <w:fldChar w:fldCharType="separate"/>
          </w:r>
          <w:r>
            <w:rPr>
              <w:rFonts w:hint="eastAsia"/>
            </w:rPr>
            <w:t>4 监测原则</w:t>
          </w:r>
          <w:r>
            <w:tab/>
          </w:r>
          <w:r>
            <w:fldChar w:fldCharType="begin"/>
          </w:r>
          <w:r>
            <w:instrText xml:space="preserve"> PAGEREF _Toc16774 \h </w:instrText>
          </w:r>
          <w:r>
            <w:fldChar w:fldCharType="separate"/>
          </w:r>
          <w:r>
            <w:t>2</w:t>
          </w:r>
          <w:r>
            <w:fldChar w:fldCharType="end"/>
          </w:r>
          <w:r>
            <w:fldChar w:fldCharType="end"/>
          </w:r>
        </w:p>
        <w:p w14:paraId="7D0DD0FD">
          <w:pPr>
            <w:pStyle w:val="27"/>
            <w:spacing w:before="78" w:after="78"/>
          </w:pPr>
          <w:r>
            <w:fldChar w:fldCharType="begin"/>
          </w:r>
          <w:r>
            <w:instrText xml:space="preserve"> HYPERLINK \l "_Toc8595" </w:instrText>
          </w:r>
          <w:r>
            <w:fldChar w:fldCharType="separate"/>
          </w:r>
          <w:r>
            <w:rPr>
              <w:rFonts w:hint="eastAsia"/>
            </w:rPr>
            <w:t>4.1 规范性原则</w:t>
          </w:r>
          <w:r>
            <w:tab/>
          </w:r>
          <w:r>
            <w:fldChar w:fldCharType="begin"/>
          </w:r>
          <w:r>
            <w:instrText xml:space="preserve"> PAGEREF _Toc8595 \h </w:instrText>
          </w:r>
          <w:r>
            <w:fldChar w:fldCharType="separate"/>
          </w:r>
          <w:r>
            <w:t>2</w:t>
          </w:r>
          <w:r>
            <w:fldChar w:fldCharType="end"/>
          </w:r>
          <w:r>
            <w:fldChar w:fldCharType="end"/>
          </w:r>
        </w:p>
        <w:p w14:paraId="1617656F">
          <w:pPr>
            <w:pStyle w:val="27"/>
            <w:spacing w:before="78" w:after="78"/>
          </w:pPr>
          <w:r>
            <w:fldChar w:fldCharType="begin"/>
          </w:r>
          <w:r>
            <w:instrText xml:space="preserve"> HYPERLINK \l "_Toc4689" </w:instrText>
          </w:r>
          <w:r>
            <w:fldChar w:fldCharType="separate"/>
          </w:r>
          <w:r>
            <w:rPr>
              <w:rFonts w:hint="eastAsia"/>
            </w:rPr>
            <w:t>4.2 科学性原则</w:t>
          </w:r>
          <w:r>
            <w:tab/>
          </w:r>
          <w:r>
            <w:fldChar w:fldCharType="begin"/>
          </w:r>
          <w:r>
            <w:instrText xml:space="preserve"> PAGEREF _Toc4689 \h </w:instrText>
          </w:r>
          <w:r>
            <w:fldChar w:fldCharType="separate"/>
          </w:r>
          <w:r>
            <w:t>2</w:t>
          </w:r>
          <w:r>
            <w:fldChar w:fldCharType="end"/>
          </w:r>
          <w:r>
            <w:fldChar w:fldCharType="end"/>
          </w:r>
        </w:p>
        <w:p w14:paraId="1A9B1FFA">
          <w:pPr>
            <w:pStyle w:val="27"/>
            <w:spacing w:before="78" w:after="78"/>
          </w:pPr>
          <w:r>
            <w:fldChar w:fldCharType="begin"/>
          </w:r>
          <w:r>
            <w:instrText xml:space="preserve"> HYPERLINK \l "_Toc3541" </w:instrText>
          </w:r>
          <w:r>
            <w:fldChar w:fldCharType="separate"/>
          </w:r>
          <w:r>
            <w:rPr>
              <w:rFonts w:hint="eastAsia"/>
            </w:rPr>
            <w:t>4.3 整体性原则</w:t>
          </w:r>
          <w:r>
            <w:tab/>
          </w:r>
          <w:r>
            <w:fldChar w:fldCharType="begin"/>
          </w:r>
          <w:r>
            <w:instrText xml:space="preserve"> PAGEREF _Toc3541 \h </w:instrText>
          </w:r>
          <w:r>
            <w:fldChar w:fldCharType="separate"/>
          </w:r>
          <w:r>
            <w:t>2</w:t>
          </w:r>
          <w:r>
            <w:fldChar w:fldCharType="end"/>
          </w:r>
          <w:r>
            <w:fldChar w:fldCharType="end"/>
          </w:r>
        </w:p>
        <w:p w14:paraId="4C268CB1">
          <w:pPr>
            <w:pStyle w:val="27"/>
            <w:spacing w:before="78" w:after="78"/>
          </w:pPr>
          <w:r>
            <w:fldChar w:fldCharType="begin"/>
          </w:r>
          <w:r>
            <w:instrText xml:space="preserve"> HYPERLINK \l "_Toc28858" </w:instrText>
          </w:r>
          <w:r>
            <w:fldChar w:fldCharType="separate"/>
          </w:r>
          <w:r>
            <w:rPr>
              <w:rFonts w:hint="eastAsia"/>
            </w:rPr>
            <w:t>4.4 可操作性原则</w:t>
          </w:r>
          <w:r>
            <w:tab/>
          </w:r>
          <w:r>
            <w:fldChar w:fldCharType="begin"/>
          </w:r>
          <w:r>
            <w:instrText xml:space="preserve"> PAGEREF _Toc28858 \h </w:instrText>
          </w:r>
          <w:r>
            <w:fldChar w:fldCharType="separate"/>
          </w:r>
          <w:r>
            <w:t>2</w:t>
          </w:r>
          <w:r>
            <w:fldChar w:fldCharType="end"/>
          </w:r>
          <w:r>
            <w:fldChar w:fldCharType="end"/>
          </w:r>
        </w:p>
        <w:p w14:paraId="7DF03817">
          <w:pPr>
            <w:pStyle w:val="27"/>
            <w:spacing w:before="78" w:after="78"/>
          </w:pPr>
          <w:r>
            <w:fldChar w:fldCharType="begin"/>
          </w:r>
          <w:r>
            <w:instrText xml:space="preserve"> HYPERLINK \l "_Toc19371" </w:instrText>
          </w:r>
          <w:r>
            <w:fldChar w:fldCharType="separate"/>
          </w:r>
          <w:r>
            <w:rPr>
              <w:rFonts w:hint="eastAsia"/>
            </w:rPr>
            <w:t>5 监测流程</w:t>
          </w:r>
          <w:r>
            <w:tab/>
          </w:r>
          <w:r>
            <w:fldChar w:fldCharType="begin"/>
          </w:r>
          <w:r>
            <w:instrText xml:space="preserve"> PAGEREF _Toc19371 \h </w:instrText>
          </w:r>
          <w:r>
            <w:fldChar w:fldCharType="separate"/>
          </w:r>
          <w:r>
            <w:t>3</w:t>
          </w:r>
          <w:r>
            <w:fldChar w:fldCharType="end"/>
          </w:r>
          <w:r>
            <w:fldChar w:fldCharType="end"/>
          </w:r>
        </w:p>
        <w:p w14:paraId="03A4C9BD">
          <w:pPr>
            <w:pStyle w:val="27"/>
            <w:spacing w:before="78" w:after="78"/>
          </w:pPr>
          <w:r>
            <w:fldChar w:fldCharType="begin"/>
          </w:r>
          <w:r>
            <w:instrText xml:space="preserve"> HYPERLINK \l "_Toc25643" </w:instrText>
          </w:r>
          <w:r>
            <w:fldChar w:fldCharType="separate"/>
          </w:r>
          <w:r>
            <w:rPr>
              <w:rFonts w:hint="eastAsia"/>
            </w:rPr>
            <w:t>6 监测范围与周期</w:t>
          </w:r>
          <w:r>
            <w:tab/>
          </w:r>
          <w:r>
            <w:fldChar w:fldCharType="begin"/>
          </w:r>
          <w:r>
            <w:instrText xml:space="preserve"> PAGEREF _Toc25643 \h </w:instrText>
          </w:r>
          <w:r>
            <w:fldChar w:fldCharType="separate"/>
          </w:r>
          <w:r>
            <w:t>3</w:t>
          </w:r>
          <w:r>
            <w:fldChar w:fldCharType="end"/>
          </w:r>
          <w:r>
            <w:fldChar w:fldCharType="end"/>
          </w:r>
        </w:p>
        <w:p w14:paraId="63DC030B">
          <w:pPr>
            <w:pStyle w:val="27"/>
            <w:spacing w:before="78" w:after="78"/>
          </w:pPr>
          <w:r>
            <w:fldChar w:fldCharType="begin"/>
          </w:r>
          <w:r>
            <w:instrText xml:space="preserve"> HYPERLINK \l "_Toc16932" </w:instrText>
          </w:r>
          <w:r>
            <w:fldChar w:fldCharType="separate"/>
          </w:r>
          <w:r>
            <w:rPr>
              <w:rFonts w:hint="eastAsia"/>
            </w:rPr>
            <w:t>6.1 监测范围</w:t>
          </w:r>
          <w:r>
            <w:tab/>
          </w:r>
          <w:r>
            <w:fldChar w:fldCharType="begin"/>
          </w:r>
          <w:r>
            <w:instrText xml:space="preserve"> PAGEREF _Toc16932 \h </w:instrText>
          </w:r>
          <w:r>
            <w:fldChar w:fldCharType="separate"/>
          </w:r>
          <w:r>
            <w:t>3</w:t>
          </w:r>
          <w:r>
            <w:fldChar w:fldCharType="end"/>
          </w:r>
          <w:r>
            <w:fldChar w:fldCharType="end"/>
          </w:r>
        </w:p>
        <w:p w14:paraId="0A6D9D5C">
          <w:pPr>
            <w:pStyle w:val="27"/>
            <w:spacing w:before="78" w:after="78"/>
          </w:pPr>
          <w:r>
            <w:fldChar w:fldCharType="begin"/>
          </w:r>
          <w:r>
            <w:instrText xml:space="preserve"> HYPERLINK \l "_Toc1917" </w:instrText>
          </w:r>
          <w:r>
            <w:fldChar w:fldCharType="separate"/>
          </w:r>
          <w:r>
            <w:rPr>
              <w:rFonts w:hint="eastAsia"/>
            </w:rPr>
            <w:t>6.2 监测周期</w:t>
          </w:r>
          <w:r>
            <w:tab/>
          </w:r>
          <w:r>
            <w:fldChar w:fldCharType="begin"/>
          </w:r>
          <w:r>
            <w:instrText xml:space="preserve"> PAGEREF _Toc1917 \h </w:instrText>
          </w:r>
          <w:r>
            <w:fldChar w:fldCharType="separate"/>
          </w:r>
          <w:r>
            <w:t>3</w:t>
          </w:r>
          <w:r>
            <w:fldChar w:fldCharType="end"/>
          </w:r>
          <w:r>
            <w:fldChar w:fldCharType="end"/>
          </w:r>
        </w:p>
        <w:p w14:paraId="2A3A762A">
          <w:pPr>
            <w:pStyle w:val="27"/>
            <w:spacing w:before="78" w:after="78"/>
          </w:pPr>
          <w:r>
            <w:fldChar w:fldCharType="begin"/>
          </w:r>
          <w:r>
            <w:instrText xml:space="preserve"> HYPERLINK \l "_Toc22680" </w:instrText>
          </w:r>
          <w:r>
            <w:fldChar w:fldCharType="separate"/>
          </w:r>
          <w:r>
            <w:rPr>
              <w:rFonts w:hint="eastAsia"/>
            </w:rPr>
            <w:t>7 监测指标</w:t>
          </w:r>
          <w:r>
            <w:tab/>
          </w:r>
          <w:r>
            <w:fldChar w:fldCharType="begin"/>
          </w:r>
          <w:r>
            <w:instrText xml:space="preserve"> PAGEREF _Toc22680 \h </w:instrText>
          </w:r>
          <w:r>
            <w:fldChar w:fldCharType="separate"/>
          </w:r>
          <w:r>
            <w:t>4</w:t>
          </w:r>
          <w:r>
            <w:fldChar w:fldCharType="end"/>
          </w:r>
          <w:r>
            <w:fldChar w:fldCharType="end"/>
          </w:r>
        </w:p>
        <w:p w14:paraId="1FD3F563">
          <w:pPr>
            <w:pStyle w:val="27"/>
            <w:spacing w:before="78" w:after="78"/>
          </w:pPr>
          <w:r>
            <w:fldChar w:fldCharType="begin"/>
          </w:r>
          <w:r>
            <w:instrText xml:space="preserve"> HYPERLINK \l "_Toc1281" </w:instrText>
          </w:r>
          <w:r>
            <w:fldChar w:fldCharType="separate"/>
          </w:r>
          <w:r>
            <w:rPr>
              <w:rFonts w:hint="eastAsia"/>
            </w:rPr>
            <w:t>7.1 生态成效监测指标体系</w:t>
          </w:r>
          <w:r>
            <w:tab/>
          </w:r>
          <w:r>
            <w:fldChar w:fldCharType="begin"/>
          </w:r>
          <w:r>
            <w:instrText xml:space="preserve"> PAGEREF _Toc1281 \h </w:instrText>
          </w:r>
          <w:r>
            <w:fldChar w:fldCharType="separate"/>
          </w:r>
          <w:r>
            <w:t>4</w:t>
          </w:r>
          <w:r>
            <w:fldChar w:fldCharType="end"/>
          </w:r>
          <w:r>
            <w:fldChar w:fldCharType="end"/>
          </w:r>
        </w:p>
        <w:p w14:paraId="21799F6C">
          <w:pPr>
            <w:pStyle w:val="27"/>
            <w:spacing w:before="78" w:after="78"/>
          </w:pPr>
          <w:r>
            <w:fldChar w:fldCharType="begin"/>
          </w:r>
          <w:r>
            <w:instrText xml:space="preserve"> HYPERLINK \l "_Toc22280" </w:instrText>
          </w:r>
          <w:r>
            <w:fldChar w:fldCharType="separate"/>
          </w:r>
          <w:r>
            <w:rPr>
              <w:rFonts w:hint="eastAsia"/>
            </w:rPr>
            <w:t>7.2 社会成效监测指标体系</w:t>
          </w:r>
          <w:r>
            <w:tab/>
          </w:r>
          <w:r>
            <w:fldChar w:fldCharType="begin"/>
          </w:r>
          <w:r>
            <w:instrText xml:space="preserve"> PAGEREF _Toc22280 \h </w:instrText>
          </w:r>
          <w:r>
            <w:fldChar w:fldCharType="separate"/>
          </w:r>
          <w:r>
            <w:t>5</w:t>
          </w:r>
          <w:r>
            <w:fldChar w:fldCharType="end"/>
          </w:r>
          <w:r>
            <w:fldChar w:fldCharType="end"/>
          </w:r>
        </w:p>
        <w:p w14:paraId="51E5BE83">
          <w:pPr>
            <w:pStyle w:val="27"/>
            <w:spacing w:before="78" w:after="78"/>
          </w:pPr>
          <w:r>
            <w:fldChar w:fldCharType="begin"/>
          </w:r>
          <w:r>
            <w:instrText xml:space="preserve"> HYPERLINK \l "_Toc30692" </w:instrText>
          </w:r>
          <w:r>
            <w:fldChar w:fldCharType="separate"/>
          </w:r>
          <w:r>
            <w:rPr>
              <w:rFonts w:hint="eastAsia"/>
            </w:rPr>
            <w:t>7.3 经济成效监测指标体系</w:t>
          </w:r>
          <w:r>
            <w:tab/>
          </w:r>
          <w:r>
            <w:fldChar w:fldCharType="begin"/>
          </w:r>
          <w:r>
            <w:instrText xml:space="preserve"> PAGEREF _Toc30692 \h </w:instrText>
          </w:r>
          <w:r>
            <w:fldChar w:fldCharType="separate"/>
          </w:r>
          <w:r>
            <w:t>6</w:t>
          </w:r>
          <w:r>
            <w:fldChar w:fldCharType="end"/>
          </w:r>
          <w:r>
            <w:fldChar w:fldCharType="end"/>
          </w:r>
        </w:p>
        <w:p w14:paraId="75CA7DFB">
          <w:pPr>
            <w:pStyle w:val="27"/>
            <w:spacing w:before="78" w:after="78"/>
          </w:pPr>
          <w:r>
            <w:fldChar w:fldCharType="begin"/>
          </w:r>
          <w:r>
            <w:instrText xml:space="preserve"> HYPERLINK \l "_Toc14954" </w:instrText>
          </w:r>
          <w:r>
            <w:fldChar w:fldCharType="separate"/>
          </w:r>
          <w:r>
            <w:rPr>
              <w:rFonts w:hint="eastAsia"/>
            </w:rPr>
            <w:t>8 监测方法</w:t>
          </w:r>
          <w:r>
            <w:tab/>
          </w:r>
          <w:r>
            <w:fldChar w:fldCharType="begin"/>
          </w:r>
          <w:r>
            <w:instrText xml:space="preserve"> PAGEREF _Toc14954 \h </w:instrText>
          </w:r>
          <w:r>
            <w:fldChar w:fldCharType="separate"/>
          </w:r>
          <w:r>
            <w:t>6</w:t>
          </w:r>
          <w:r>
            <w:fldChar w:fldCharType="end"/>
          </w:r>
          <w:r>
            <w:fldChar w:fldCharType="end"/>
          </w:r>
        </w:p>
        <w:p w14:paraId="744FF094">
          <w:pPr>
            <w:pStyle w:val="27"/>
            <w:spacing w:before="78" w:after="78"/>
          </w:pPr>
          <w:r>
            <w:fldChar w:fldCharType="begin"/>
          </w:r>
          <w:r>
            <w:instrText xml:space="preserve"> HYPERLINK \l "_Toc1462" </w:instrText>
          </w:r>
          <w:r>
            <w:fldChar w:fldCharType="separate"/>
          </w:r>
          <w:r>
            <w:rPr>
              <w:rFonts w:hint="eastAsia"/>
            </w:rPr>
            <w:t>8.1 遥感监测技术方法</w:t>
          </w:r>
          <w:r>
            <w:tab/>
          </w:r>
          <w:r>
            <w:fldChar w:fldCharType="begin"/>
          </w:r>
          <w:r>
            <w:instrText xml:space="preserve"> PAGEREF _Toc1462 \h </w:instrText>
          </w:r>
          <w:r>
            <w:fldChar w:fldCharType="separate"/>
          </w:r>
          <w:r>
            <w:t>6</w:t>
          </w:r>
          <w:r>
            <w:fldChar w:fldCharType="end"/>
          </w:r>
          <w:r>
            <w:fldChar w:fldCharType="end"/>
          </w:r>
        </w:p>
        <w:p w14:paraId="39CD5B45">
          <w:pPr>
            <w:pStyle w:val="27"/>
            <w:spacing w:before="78" w:after="78"/>
          </w:pPr>
          <w:r>
            <w:fldChar w:fldCharType="begin"/>
          </w:r>
          <w:r>
            <w:instrText xml:space="preserve"> HYPERLINK \l "_Toc9380" </w:instrText>
          </w:r>
          <w:r>
            <w:fldChar w:fldCharType="separate"/>
          </w:r>
          <w:r>
            <w:rPr>
              <w:rFonts w:hint="eastAsia"/>
            </w:rPr>
            <w:t>8.2 地面观测与实地调查技术方法</w:t>
          </w:r>
          <w:r>
            <w:tab/>
          </w:r>
          <w:r>
            <w:fldChar w:fldCharType="begin"/>
          </w:r>
          <w:r>
            <w:instrText xml:space="preserve"> PAGEREF _Toc9380 \h </w:instrText>
          </w:r>
          <w:r>
            <w:fldChar w:fldCharType="separate"/>
          </w:r>
          <w:r>
            <w:t>7</w:t>
          </w:r>
          <w:r>
            <w:fldChar w:fldCharType="end"/>
          </w:r>
          <w:r>
            <w:fldChar w:fldCharType="end"/>
          </w:r>
        </w:p>
        <w:p w14:paraId="16334980">
          <w:pPr>
            <w:pStyle w:val="27"/>
            <w:spacing w:before="78" w:after="78"/>
          </w:pPr>
          <w:r>
            <w:fldChar w:fldCharType="begin"/>
          </w:r>
          <w:r>
            <w:instrText xml:space="preserve"> HYPERLINK \l "_Toc22807" </w:instrText>
          </w:r>
          <w:r>
            <w:fldChar w:fldCharType="separate"/>
          </w:r>
          <w:r>
            <w:rPr>
              <w:rFonts w:hint="eastAsia"/>
            </w:rPr>
            <w:t>8.3 资料收集与调查统计方法</w:t>
          </w:r>
          <w:r>
            <w:tab/>
          </w:r>
          <w:r>
            <w:fldChar w:fldCharType="begin"/>
          </w:r>
          <w:r>
            <w:instrText xml:space="preserve"> PAGEREF _Toc22807 \h </w:instrText>
          </w:r>
          <w:r>
            <w:fldChar w:fldCharType="separate"/>
          </w:r>
          <w:r>
            <w:t>7</w:t>
          </w:r>
          <w:r>
            <w:fldChar w:fldCharType="end"/>
          </w:r>
          <w:r>
            <w:fldChar w:fldCharType="end"/>
          </w:r>
        </w:p>
        <w:p w14:paraId="48976866">
          <w:pPr>
            <w:pStyle w:val="27"/>
            <w:spacing w:before="78" w:after="78"/>
          </w:pPr>
          <w:r>
            <w:fldChar w:fldCharType="begin"/>
          </w:r>
          <w:r>
            <w:instrText xml:space="preserve"> HYPERLINK \l "_Toc3320" </w:instrText>
          </w:r>
          <w:r>
            <w:fldChar w:fldCharType="separate"/>
          </w:r>
          <w:r>
            <w:rPr>
              <w:rFonts w:hint="eastAsia"/>
            </w:rPr>
            <w:t>9 质量控制</w:t>
          </w:r>
          <w:r>
            <w:tab/>
          </w:r>
          <w:r>
            <w:fldChar w:fldCharType="begin"/>
          </w:r>
          <w:r>
            <w:instrText xml:space="preserve"> PAGEREF _Toc3320 \h </w:instrText>
          </w:r>
          <w:r>
            <w:fldChar w:fldCharType="separate"/>
          </w:r>
          <w:r>
            <w:t>7</w:t>
          </w:r>
          <w:r>
            <w:fldChar w:fldCharType="end"/>
          </w:r>
          <w:r>
            <w:fldChar w:fldCharType="end"/>
          </w:r>
        </w:p>
        <w:p w14:paraId="738CF408">
          <w:pPr>
            <w:pStyle w:val="27"/>
            <w:spacing w:before="78" w:after="78"/>
          </w:pPr>
          <w:r>
            <w:fldChar w:fldCharType="begin"/>
          </w:r>
          <w:r>
            <w:instrText xml:space="preserve"> HYPERLINK \l "_Toc11989" </w:instrText>
          </w:r>
          <w:r>
            <w:fldChar w:fldCharType="separate"/>
          </w:r>
          <w:r>
            <w:rPr>
              <w:rFonts w:hint="eastAsia"/>
            </w:rPr>
            <w:t>10 监测成果</w:t>
          </w:r>
          <w:r>
            <w:tab/>
          </w:r>
          <w:r>
            <w:fldChar w:fldCharType="begin"/>
          </w:r>
          <w:r>
            <w:instrText xml:space="preserve"> PAGEREF _Toc11989 \h </w:instrText>
          </w:r>
          <w:r>
            <w:fldChar w:fldCharType="separate"/>
          </w:r>
          <w:r>
            <w:t>7</w:t>
          </w:r>
          <w:r>
            <w:fldChar w:fldCharType="end"/>
          </w:r>
          <w:r>
            <w:fldChar w:fldCharType="end"/>
          </w:r>
        </w:p>
        <w:p w14:paraId="017AD517">
          <w:pPr>
            <w:pStyle w:val="27"/>
            <w:spacing w:before="78" w:after="78"/>
          </w:pPr>
          <w:r>
            <w:fldChar w:fldCharType="begin"/>
          </w:r>
          <w:r>
            <w:instrText xml:space="preserve"> HYPERLINK \l "_Toc15662" </w:instrText>
          </w:r>
          <w:r>
            <w:fldChar w:fldCharType="separate"/>
          </w:r>
          <w:r>
            <w:rPr>
              <w:rFonts w:hint="eastAsia"/>
            </w:rPr>
            <w:t>10.1 地理信息数据</w:t>
          </w:r>
          <w:r>
            <w:tab/>
          </w:r>
          <w:r>
            <w:fldChar w:fldCharType="begin"/>
          </w:r>
          <w:r>
            <w:instrText xml:space="preserve"> PAGEREF _Toc15662 \h </w:instrText>
          </w:r>
          <w:r>
            <w:fldChar w:fldCharType="separate"/>
          </w:r>
          <w:r>
            <w:t>7</w:t>
          </w:r>
          <w:r>
            <w:fldChar w:fldCharType="end"/>
          </w:r>
          <w:r>
            <w:fldChar w:fldCharType="end"/>
          </w:r>
        </w:p>
        <w:p w14:paraId="604D8255">
          <w:pPr>
            <w:pStyle w:val="27"/>
            <w:spacing w:before="78" w:after="78"/>
          </w:pPr>
          <w:r>
            <w:fldChar w:fldCharType="begin"/>
          </w:r>
          <w:r>
            <w:instrText xml:space="preserve"> HYPERLINK \l "_Toc28933" </w:instrText>
          </w:r>
          <w:r>
            <w:fldChar w:fldCharType="separate"/>
          </w:r>
          <w:r>
            <w:rPr>
              <w:rFonts w:hint="eastAsia"/>
            </w:rPr>
            <w:t>10.2 监测数据</w:t>
          </w:r>
          <w:r>
            <w:tab/>
          </w:r>
          <w:r>
            <w:fldChar w:fldCharType="begin"/>
          </w:r>
          <w:r>
            <w:instrText xml:space="preserve"> PAGEREF _Toc28933 \h </w:instrText>
          </w:r>
          <w:r>
            <w:fldChar w:fldCharType="separate"/>
          </w:r>
          <w:r>
            <w:t>8</w:t>
          </w:r>
          <w:r>
            <w:fldChar w:fldCharType="end"/>
          </w:r>
          <w:r>
            <w:fldChar w:fldCharType="end"/>
          </w:r>
        </w:p>
        <w:p w14:paraId="188DF2D0">
          <w:pPr>
            <w:pStyle w:val="27"/>
            <w:spacing w:before="78" w:after="78"/>
          </w:pPr>
          <w:r>
            <w:fldChar w:fldCharType="begin"/>
          </w:r>
          <w:r>
            <w:instrText xml:space="preserve"> HYPERLINK \l "_Toc18631" </w:instrText>
          </w:r>
          <w:r>
            <w:fldChar w:fldCharType="separate"/>
          </w:r>
          <w:r>
            <w:rPr>
              <w:rFonts w:hint="eastAsia"/>
            </w:rPr>
            <w:t>10.3 多媒体成果</w:t>
          </w:r>
          <w:r>
            <w:tab/>
          </w:r>
          <w:r>
            <w:fldChar w:fldCharType="begin"/>
          </w:r>
          <w:r>
            <w:instrText xml:space="preserve"> PAGEREF _Toc18631 \h </w:instrText>
          </w:r>
          <w:r>
            <w:fldChar w:fldCharType="separate"/>
          </w:r>
          <w:r>
            <w:t>8</w:t>
          </w:r>
          <w:r>
            <w:fldChar w:fldCharType="end"/>
          </w:r>
          <w:r>
            <w:fldChar w:fldCharType="end"/>
          </w:r>
        </w:p>
        <w:p w14:paraId="18A8E524">
          <w:pPr>
            <w:pStyle w:val="27"/>
            <w:spacing w:before="78" w:after="78"/>
          </w:pPr>
          <w:r>
            <w:fldChar w:fldCharType="begin"/>
          </w:r>
          <w:r>
            <w:instrText xml:space="preserve"> HYPERLINK \l "_Toc30685" </w:instrText>
          </w:r>
          <w:r>
            <w:fldChar w:fldCharType="separate"/>
          </w:r>
          <w:r>
            <w:rPr>
              <w:rFonts w:hint="eastAsia"/>
            </w:rPr>
            <w:t>10.4 监测报告</w:t>
          </w:r>
          <w:r>
            <w:tab/>
          </w:r>
          <w:r>
            <w:fldChar w:fldCharType="begin"/>
          </w:r>
          <w:r>
            <w:instrText xml:space="preserve"> PAGEREF _Toc30685 \h </w:instrText>
          </w:r>
          <w:r>
            <w:fldChar w:fldCharType="separate"/>
          </w:r>
          <w:r>
            <w:t>8</w:t>
          </w:r>
          <w:r>
            <w:fldChar w:fldCharType="end"/>
          </w:r>
          <w:r>
            <w:fldChar w:fldCharType="end"/>
          </w:r>
        </w:p>
        <w:p w14:paraId="226B45CF">
          <w:pPr>
            <w:pStyle w:val="27"/>
            <w:spacing w:before="78" w:after="78"/>
          </w:pPr>
          <w:r>
            <w:fldChar w:fldCharType="begin"/>
          </w:r>
          <w:r>
            <w:instrText xml:space="preserve"> HYPERLINK \l "_Toc22260" </w:instrText>
          </w:r>
          <w:r>
            <w:fldChar w:fldCharType="separate"/>
          </w:r>
          <w:r>
            <w:rPr>
              <w:rFonts w:hint="eastAsia"/>
            </w:rPr>
            <w:t>10.5 成果汇交条款</w:t>
          </w:r>
          <w:r>
            <w:tab/>
          </w:r>
          <w:r>
            <w:fldChar w:fldCharType="begin"/>
          </w:r>
          <w:r>
            <w:instrText xml:space="preserve"> PAGEREF _Toc22260 \h </w:instrText>
          </w:r>
          <w:r>
            <w:fldChar w:fldCharType="separate"/>
          </w:r>
          <w:r>
            <w:t>8</w:t>
          </w:r>
          <w:r>
            <w:fldChar w:fldCharType="end"/>
          </w:r>
          <w:r>
            <w:fldChar w:fldCharType="end"/>
          </w:r>
        </w:p>
        <w:p w14:paraId="0861E4BA">
          <w:pPr>
            <w:pStyle w:val="27"/>
            <w:spacing w:before="78" w:after="78"/>
          </w:pPr>
          <w:r>
            <w:fldChar w:fldCharType="begin"/>
          </w:r>
          <w:r>
            <w:instrText xml:space="preserve"> HYPERLINK \l "_Toc1622" </w:instrText>
          </w:r>
          <w:r>
            <w:fldChar w:fldCharType="separate"/>
          </w:r>
          <w:r>
            <w:rPr>
              <w:rFonts w:hint="eastAsia"/>
            </w:rPr>
            <w:t xml:space="preserve">附　录　A </w:t>
          </w:r>
          <w:r>
            <w:t xml:space="preserve"> </w:t>
          </w:r>
          <w:r>
            <w:rPr>
              <w:rFonts w:hint="eastAsia"/>
            </w:rPr>
            <w:t>（资料性）</w:t>
          </w:r>
          <w:r>
            <w:t xml:space="preserve"> </w:t>
          </w:r>
          <w:r>
            <w:rPr>
              <w:rFonts w:hint="eastAsia"/>
            </w:rPr>
            <w:t>监测指标计算方法及数据来源</w:t>
          </w:r>
          <w:r>
            <w:tab/>
          </w:r>
          <w:r>
            <w:fldChar w:fldCharType="begin"/>
          </w:r>
          <w:r>
            <w:instrText xml:space="preserve"> PAGEREF _Toc1622 \h </w:instrText>
          </w:r>
          <w:r>
            <w:fldChar w:fldCharType="separate"/>
          </w:r>
          <w:r>
            <w:t>9</w:t>
          </w:r>
          <w:r>
            <w:fldChar w:fldCharType="end"/>
          </w:r>
          <w:r>
            <w:fldChar w:fldCharType="end"/>
          </w:r>
        </w:p>
        <w:p w14:paraId="2E9074D6">
          <w:pPr>
            <w:pStyle w:val="27"/>
            <w:spacing w:before="78" w:after="78"/>
          </w:pPr>
          <w:r>
            <w:fldChar w:fldCharType="begin"/>
          </w:r>
          <w:r>
            <w:instrText xml:space="preserve"> HYPERLINK \l "_Toc7470" </w:instrText>
          </w:r>
          <w:r>
            <w:fldChar w:fldCharType="separate"/>
          </w:r>
          <w:r>
            <w:rPr>
              <w:rFonts w:hint="eastAsia"/>
            </w:rPr>
            <w:t>A.1 生态成效监测指标体系</w:t>
          </w:r>
          <w:r>
            <w:tab/>
          </w:r>
          <w:r>
            <w:fldChar w:fldCharType="begin"/>
          </w:r>
          <w:r>
            <w:instrText xml:space="preserve"> PAGEREF _Toc7470 \h </w:instrText>
          </w:r>
          <w:r>
            <w:fldChar w:fldCharType="separate"/>
          </w:r>
          <w:r>
            <w:t>9</w:t>
          </w:r>
          <w:r>
            <w:fldChar w:fldCharType="end"/>
          </w:r>
          <w:r>
            <w:fldChar w:fldCharType="end"/>
          </w:r>
        </w:p>
        <w:p w14:paraId="76DEF13B">
          <w:pPr>
            <w:pStyle w:val="27"/>
            <w:spacing w:before="78" w:after="78"/>
          </w:pPr>
          <w:r>
            <w:fldChar w:fldCharType="begin"/>
          </w:r>
          <w:r>
            <w:instrText xml:space="preserve"> HYPERLINK \l "_Toc2269" </w:instrText>
          </w:r>
          <w:r>
            <w:fldChar w:fldCharType="separate"/>
          </w:r>
          <w:r>
            <w:rPr>
              <w:rFonts w:hint="eastAsia"/>
            </w:rPr>
            <w:t>A.2 社会成效监测指标体系</w:t>
          </w:r>
          <w:r>
            <w:tab/>
          </w:r>
          <w:r>
            <w:fldChar w:fldCharType="begin"/>
          </w:r>
          <w:r>
            <w:instrText xml:space="preserve"> PAGEREF _Toc2269 \h </w:instrText>
          </w:r>
          <w:r>
            <w:fldChar w:fldCharType="separate"/>
          </w:r>
          <w:r>
            <w:t>14</w:t>
          </w:r>
          <w:r>
            <w:fldChar w:fldCharType="end"/>
          </w:r>
          <w:r>
            <w:fldChar w:fldCharType="end"/>
          </w:r>
        </w:p>
        <w:p w14:paraId="61D96D2D">
          <w:pPr>
            <w:pStyle w:val="27"/>
            <w:spacing w:before="78" w:after="78"/>
          </w:pPr>
          <w:r>
            <w:fldChar w:fldCharType="begin"/>
          </w:r>
          <w:r>
            <w:instrText xml:space="preserve"> HYPERLINK \l "_Toc6045" </w:instrText>
          </w:r>
          <w:r>
            <w:fldChar w:fldCharType="separate"/>
          </w:r>
          <w:r>
            <w:rPr>
              <w:rFonts w:hint="eastAsia"/>
            </w:rPr>
            <w:t>A.3 经济成效监测指标体系</w:t>
          </w:r>
          <w:r>
            <w:tab/>
          </w:r>
          <w:r>
            <w:fldChar w:fldCharType="begin"/>
          </w:r>
          <w:r>
            <w:instrText xml:space="preserve"> PAGEREF _Toc6045 \h </w:instrText>
          </w:r>
          <w:r>
            <w:fldChar w:fldCharType="separate"/>
          </w:r>
          <w:r>
            <w:t>15</w:t>
          </w:r>
          <w:r>
            <w:fldChar w:fldCharType="end"/>
          </w:r>
          <w:r>
            <w:fldChar w:fldCharType="end"/>
          </w:r>
        </w:p>
        <w:p w14:paraId="6D3E4437">
          <w:pPr>
            <w:pStyle w:val="27"/>
            <w:spacing w:before="78" w:after="78"/>
          </w:pPr>
          <w:r>
            <w:fldChar w:fldCharType="begin"/>
          </w:r>
          <w:r>
            <w:instrText xml:space="preserve"> HYPERLINK \l "_Toc3745" </w:instrText>
          </w:r>
          <w:r>
            <w:fldChar w:fldCharType="separate"/>
          </w:r>
          <w:r>
            <w:rPr>
              <w:rFonts w:hint="eastAsia"/>
            </w:rPr>
            <w:t xml:space="preserve">附　录　B </w:t>
          </w:r>
          <w:r>
            <w:t xml:space="preserve"> </w:t>
          </w:r>
          <w:r>
            <w:rPr>
              <w:rFonts w:hint="eastAsia"/>
            </w:rPr>
            <w:t>（资料性）</w:t>
          </w:r>
          <w:r>
            <w:t xml:space="preserve"> </w:t>
          </w:r>
          <w:r>
            <w:rPr>
              <w:rFonts w:hint="eastAsia"/>
            </w:rPr>
            <w:t>山水林田湖草沙一体化生态保护与修复成效监测记录表</w:t>
          </w:r>
          <w:r>
            <w:tab/>
          </w:r>
          <w:r>
            <w:fldChar w:fldCharType="begin"/>
          </w:r>
          <w:r>
            <w:instrText xml:space="preserve"> PAGEREF _Toc3745 \h </w:instrText>
          </w:r>
          <w:r>
            <w:fldChar w:fldCharType="separate"/>
          </w:r>
          <w:r>
            <w:t>17</w:t>
          </w:r>
          <w:r>
            <w:fldChar w:fldCharType="end"/>
          </w:r>
          <w:r>
            <w:fldChar w:fldCharType="end"/>
          </w:r>
        </w:p>
        <w:p w14:paraId="08CBEF44">
          <w:pPr>
            <w:pStyle w:val="27"/>
            <w:spacing w:before="78" w:after="78"/>
          </w:pPr>
          <w:r>
            <w:fldChar w:fldCharType="begin"/>
          </w:r>
          <w:r>
            <w:instrText xml:space="preserve"> HYPERLINK \l "_Toc13751" </w:instrText>
          </w:r>
          <w:r>
            <w:fldChar w:fldCharType="separate"/>
          </w:r>
          <w:r>
            <w:rPr>
              <w:rFonts w:hint="eastAsia"/>
            </w:rPr>
            <w:t xml:space="preserve">附　录　C </w:t>
          </w:r>
          <w:r>
            <w:t xml:space="preserve"> </w:t>
          </w:r>
          <w:r>
            <w:rPr>
              <w:rFonts w:hint="eastAsia"/>
            </w:rPr>
            <w:t>（资料性）</w:t>
          </w:r>
          <w:r>
            <w:t xml:space="preserve"> </w:t>
          </w:r>
          <w:r>
            <w:rPr>
              <w:rFonts w:hint="eastAsia"/>
            </w:rPr>
            <w:t>山水林田湖草沙一体化生态保护与修复成效监测报告编写提纲</w:t>
          </w:r>
          <w:r>
            <w:tab/>
          </w:r>
          <w:r>
            <w:fldChar w:fldCharType="begin"/>
          </w:r>
          <w:r>
            <w:instrText xml:space="preserve"> PAGEREF _Toc13751 \h </w:instrText>
          </w:r>
          <w:r>
            <w:fldChar w:fldCharType="separate"/>
          </w:r>
          <w:r>
            <w:t>22</w:t>
          </w:r>
          <w:r>
            <w:fldChar w:fldCharType="end"/>
          </w:r>
          <w:r>
            <w:fldChar w:fldCharType="end"/>
          </w:r>
        </w:p>
        <w:p w14:paraId="12A6ABCB">
          <w:pPr>
            <w:pStyle w:val="27"/>
            <w:spacing w:before="78" w:after="78"/>
          </w:pPr>
          <w:r>
            <w:fldChar w:fldCharType="begin"/>
          </w:r>
          <w:r>
            <w:instrText xml:space="preserve"> HYPERLINK \l "_Toc31297" </w:instrText>
          </w:r>
          <w:r>
            <w:fldChar w:fldCharType="separate"/>
          </w:r>
          <w:r>
            <w:rPr>
              <w:rFonts w:hint="eastAsia"/>
            </w:rPr>
            <w:t>参</w:t>
          </w:r>
          <w:r>
            <w:t> </w:t>
          </w:r>
          <w:r>
            <w:rPr>
              <w:rFonts w:hint="eastAsia"/>
            </w:rPr>
            <w:t>考</w:t>
          </w:r>
          <w:r>
            <w:t> </w:t>
          </w:r>
          <w:r>
            <w:rPr>
              <w:rFonts w:hint="eastAsia"/>
            </w:rPr>
            <w:t>文</w:t>
          </w:r>
          <w:r>
            <w:t> </w:t>
          </w:r>
          <w:r>
            <w:rPr>
              <w:rFonts w:hint="eastAsia"/>
            </w:rPr>
            <w:t>献</w:t>
          </w:r>
          <w:r>
            <w:tab/>
          </w:r>
          <w:r>
            <w:fldChar w:fldCharType="begin"/>
          </w:r>
          <w:r>
            <w:instrText xml:space="preserve"> PAGEREF _Toc31297 \h </w:instrText>
          </w:r>
          <w:r>
            <w:fldChar w:fldCharType="separate"/>
          </w:r>
          <w:r>
            <w:t>23</w:t>
          </w:r>
          <w:r>
            <w:fldChar w:fldCharType="end"/>
          </w:r>
          <w:r>
            <w:fldChar w:fldCharType="end"/>
          </w:r>
        </w:p>
        <w:p w14:paraId="1F19450B">
          <w:pPr>
            <w:pStyle w:val="27"/>
            <w:spacing w:before="78" w:after="78"/>
          </w:pPr>
          <w:r>
            <w:fldChar w:fldCharType="end"/>
          </w:r>
        </w:p>
      </w:sdtContent>
    </w:sdt>
    <w:p w14:paraId="277A769D"/>
    <w:p w14:paraId="202520AE">
      <w:pPr>
        <w:tabs>
          <w:tab w:val="right" w:leader="dot" w:pos="9241"/>
        </w:tabs>
        <w:spacing w:before="78" w:beforeLines="25" w:after="78" w:afterLines="25"/>
        <w:jc w:val="left"/>
        <w:rPr>
          <w:rFonts w:ascii="宋体"/>
          <w:szCs w:val="21"/>
        </w:rPr>
        <w:sectPr>
          <w:footerReference r:id="rId7" w:type="default"/>
          <w:pgSz w:w="11906" w:h="16838"/>
          <w:pgMar w:top="567" w:right="1134" w:bottom="1134" w:left="1417" w:header="1418" w:footer="1134" w:gutter="0"/>
          <w:pgNumType w:fmt="upperRoman" w:start="1"/>
          <w:cols w:space="720" w:num="1"/>
          <w:formProt w:val="0"/>
          <w:docGrid w:type="lines" w:linePitch="312" w:charSpace="0"/>
        </w:sectPr>
      </w:pPr>
      <w:bookmarkStart w:id="3" w:name="_Toc6445"/>
      <w:bookmarkStart w:id="4" w:name="_Toc26856"/>
      <w:bookmarkStart w:id="5" w:name="_Toc450293150"/>
    </w:p>
    <w:p w14:paraId="4B637D2A">
      <w:pPr>
        <w:tabs>
          <w:tab w:val="right" w:leader="dot" w:pos="9241"/>
        </w:tabs>
        <w:spacing w:before="78" w:beforeLines="25" w:after="78" w:afterLines="25"/>
        <w:jc w:val="center"/>
        <w:rPr>
          <w:rFonts w:ascii="黑体" w:eastAsia="黑体"/>
          <w:kern w:val="0"/>
          <w:sz w:val="32"/>
          <w:szCs w:val="20"/>
        </w:rPr>
      </w:pPr>
    </w:p>
    <w:p w14:paraId="42C598D0">
      <w:pPr>
        <w:tabs>
          <w:tab w:val="right" w:leader="dot" w:pos="9241"/>
        </w:tabs>
        <w:spacing w:before="78" w:beforeLines="25" w:after="78" w:afterLines="25"/>
        <w:jc w:val="center"/>
        <w:outlineLvl w:val="2"/>
        <w:rPr>
          <w:rFonts w:ascii="黑体" w:eastAsia="黑体"/>
          <w:kern w:val="0"/>
          <w:sz w:val="32"/>
          <w:szCs w:val="20"/>
        </w:rPr>
      </w:pPr>
      <w:bookmarkStart w:id="6" w:name="_Toc5992"/>
      <w:r>
        <w:rPr>
          <w:rFonts w:hint="eastAsia" w:ascii="黑体" w:eastAsia="黑体"/>
          <w:kern w:val="0"/>
          <w:sz w:val="32"/>
          <w:szCs w:val="20"/>
        </w:rPr>
        <w:t>前</w:t>
      </w:r>
      <w:bookmarkStart w:id="7" w:name="BKQY"/>
      <w:r>
        <w:rPr>
          <w:rFonts w:hint="eastAsia" w:ascii="黑体" w:eastAsia="黑体"/>
          <w:kern w:val="0"/>
          <w:sz w:val="32"/>
          <w:szCs w:val="20"/>
        </w:rPr>
        <w:t>  言</w:t>
      </w:r>
      <w:bookmarkEnd w:id="3"/>
      <w:bookmarkEnd w:id="4"/>
      <w:bookmarkEnd w:id="5"/>
      <w:bookmarkEnd w:id="6"/>
      <w:bookmarkEnd w:id="7"/>
    </w:p>
    <w:p w14:paraId="31843443">
      <w:pPr>
        <w:pStyle w:val="73"/>
      </w:pPr>
      <w:r>
        <w:rPr>
          <w:rFonts w:hint="eastAsia"/>
        </w:rPr>
        <w:t>本文件按照GB/T 1.1-2020《标准化工作导则 第1部分：标准化文件的结构和起草规则》的相关规定进行编制。</w:t>
      </w:r>
    </w:p>
    <w:p w14:paraId="37D5B9DE">
      <w:pPr>
        <w:pStyle w:val="73"/>
      </w:pPr>
      <w:r>
        <w:rPr>
          <w:rFonts w:hint="eastAsia"/>
        </w:rPr>
        <w:t>请注意，本文件的某些内容可能涉及专利。本文件的发布机构不承担识别专利的责任。</w:t>
      </w:r>
    </w:p>
    <w:p w14:paraId="1D485716">
      <w:pPr>
        <w:pStyle w:val="73"/>
      </w:pPr>
      <w:r>
        <w:rPr>
          <w:rFonts w:hint="eastAsia"/>
        </w:rPr>
        <w:t>本文件由中国地质灾害防治与生态修复协会提出并归口。</w:t>
      </w:r>
    </w:p>
    <w:p w14:paraId="7B41ADDF">
      <w:pPr>
        <w:pStyle w:val="73"/>
      </w:pPr>
      <w:r>
        <w:rPr>
          <w:rFonts w:hint="eastAsia"/>
        </w:rPr>
        <w:t>本文件起草单位：自然资源部咨询研究中心、中国地质工程集团有限公司、陕西地矿第二工程勘察院有限公司、中国地质调查局军民融合地质调查中心、自然资源部国土整治中心。</w:t>
      </w:r>
    </w:p>
    <w:p w14:paraId="21B83DC6">
      <w:pPr>
        <w:pStyle w:val="73"/>
      </w:pPr>
      <w:r>
        <w:rPr>
          <w:rFonts w:hint="eastAsia"/>
        </w:rPr>
        <w:t>本文件主要起草人：谭丽萍、郭春颖、冯聪、李正、姜杉钰、张元冬、曹清华、宋建新、刘毅、李莹、周天智、姚志禄、李萌、杜明、左秦朝、徐飞飞、谭柳琴、许策、杨佩城、张凤仪、张昕、魏圆云。</w:t>
      </w:r>
    </w:p>
    <w:p w14:paraId="34268EDA">
      <w:pPr>
        <w:pStyle w:val="73"/>
      </w:pPr>
      <w:r>
        <w:rPr>
          <w:rFonts w:hint="eastAsia"/>
        </w:rPr>
        <w:t>本文件由中国地质灾害防治与生态修复协会负责解释。</w:t>
      </w:r>
    </w:p>
    <w:p w14:paraId="46430455">
      <w:pPr>
        <w:widowControl/>
        <w:tabs>
          <w:tab w:val="center" w:pos="4201"/>
          <w:tab w:val="right" w:leader="dot" w:pos="9298"/>
        </w:tabs>
        <w:autoSpaceDE w:val="0"/>
        <w:autoSpaceDN w:val="0"/>
        <w:ind w:firstLine="420" w:firstLineChars="200"/>
        <w:rPr>
          <w:rFonts w:ascii="宋体"/>
          <w:kern w:val="0"/>
          <w:szCs w:val="20"/>
        </w:rPr>
      </w:pPr>
    </w:p>
    <w:p w14:paraId="140A0121">
      <w:pPr>
        <w:widowControl/>
        <w:tabs>
          <w:tab w:val="center" w:pos="4201"/>
          <w:tab w:val="right" w:leader="dot" w:pos="9298"/>
        </w:tabs>
        <w:autoSpaceDE w:val="0"/>
        <w:autoSpaceDN w:val="0"/>
        <w:ind w:firstLine="420" w:firstLineChars="200"/>
        <w:rPr>
          <w:rFonts w:ascii="宋体"/>
          <w:kern w:val="0"/>
          <w:szCs w:val="20"/>
        </w:rPr>
      </w:pPr>
    </w:p>
    <w:p w14:paraId="5EDA1711">
      <w:pPr>
        <w:widowControl/>
        <w:tabs>
          <w:tab w:val="center" w:pos="4201"/>
          <w:tab w:val="right" w:leader="dot" w:pos="9298"/>
        </w:tabs>
        <w:autoSpaceDE w:val="0"/>
        <w:autoSpaceDN w:val="0"/>
        <w:ind w:firstLine="420" w:firstLineChars="200"/>
        <w:rPr>
          <w:rFonts w:ascii="宋体"/>
          <w:kern w:val="0"/>
          <w:szCs w:val="20"/>
        </w:rPr>
        <w:sectPr>
          <w:footerReference r:id="rId8" w:type="default"/>
          <w:pgSz w:w="11906" w:h="16838"/>
          <w:pgMar w:top="567" w:right="1134" w:bottom="1134" w:left="1417" w:header="1418" w:footer="1134" w:gutter="0"/>
          <w:pgNumType w:fmt="upperRoman"/>
          <w:cols w:space="720" w:num="1"/>
          <w:formProt w:val="0"/>
          <w:docGrid w:type="lines" w:linePitch="312" w:charSpace="0"/>
        </w:sectPr>
      </w:pPr>
    </w:p>
    <w:p w14:paraId="6FB3DD56">
      <w:pPr>
        <w:keepNext/>
        <w:pageBreakBefore/>
        <w:widowControl/>
        <w:shd w:val="clear" w:color="FFFFFF" w:fill="FFFFFF"/>
        <w:spacing w:before="640" w:after="560" w:line="460" w:lineRule="exact"/>
        <w:jc w:val="center"/>
        <w:rPr>
          <w:rFonts w:ascii="黑体" w:eastAsia="黑体"/>
          <w:kern w:val="0"/>
          <w:sz w:val="32"/>
          <w:szCs w:val="20"/>
        </w:rPr>
        <w:sectPr>
          <w:footerReference r:id="rId9" w:type="default"/>
          <w:pgSz w:w="11906" w:h="16838"/>
          <w:pgMar w:top="1440" w:right="1800" w:bottom="1440" w:left="1800" w:header="851" w:footer="992" w:gutter="0"/>
          <w:pgNumType w:fmt="upperRoman"/>
          <w:cols w:space="425" w:num="1"/>
          <w:docGrid w:type="lines" w:linePitch="312" w:charSpace="0"/>
        </w:sectPr>
      </w:pPr>
      <w:bookmarkStart w:id="8" w:name="_Toc11753"/>
      <w:bookmarkStart w:id="9" w:name="_Toc7651"/>
    </w:p>
    <w:p w14:paraId="623F173D">
      <w:pPr>
        <w:keepNext/>
        <w:pageBreakBefore/>
        <w:widowControl/>
        <w:shd w:val="clear" w:color="FFFFFF" w:fill="FFFFFF"/>
        <w:spacing w:before="640" w:after="560" w:line="460" w:lineRule="exact"/>
        <w:jc w:val="center"/>
        <w:rPr>
          <w:rFonts w:ascii="黑体" w:eastAsia="黑体"/>
          <w:kern w:val="0"/>
          <w:sz w:val="32"/>
          <w:szCs w:val="20"/>
        </w:rPr>
      </w:pPr>
      <w:r>
        <w:rPr>
          <w:rFonts w:hint="eastAsia" w:ascii="黑体" w:eastAsia="黑体"/>
          <w:kern w:val="0"/>
          <w:sz w:val="32"/>
          <w:szCs w:val="20"/>
        </w:rPr>
        <w:t>山水林田湖草沙一体化生态保护与修复成效监测技术规范</w:t>
      </w:r>
      <w:bookmarkEnd w:id="8"/>
      <w:bookmarkEnd w:id="9"/>
    </w:p>
    <w:p w14:paraId="296B67B0">
      <w:pPr>
        <w:numPr>
          <w:ilvl w:val="0"/>
          <w:numId w:val="1"/>
        </w:numPr>
        <w:spacing w:before="312" w:beforeLines="100" w:after="312" w:afterLines="100"/>
        <w:outlineLvl w:val="1"/>
        <w:rPr>
          <w:rFonts w:ascii="黑体" w:eastAsia="黑体"/>
          <w:kern w:val="0"/>
          <w:szCs w:val="20"/>
        </w:rPr>
      </w:pPr>
      <w:bookmarkStart w:id="10" w:name="_Toc11887"/>
      <w:bookmarkStart w:id="11" w:name="_Toc18098"/>
      <w:bookmarkStart w:id="12" w:name="_Toc450293152"/>
      <w:bookmarkStart w:id="13" w:name="_Toc615"/>
      <w:r>
        <w:rPr>
          <w:rFonts w:hint="eastAsia" w:ascii="黑体" w:eastAsia="黑体"/>
          <w:kern w:val="0"/>
          <w:szCs w:val="20"/>
        </w:rPr>
        <w:t>范围</w:t>
      </w:r>
      <w:bookmarkEnd w:id="10"/>
      <w:bookmarkEnd w:id="11"/>
      <w:bookmarkEnd w:id="12"/>
      <w:bookmarkEnd w:id="13"/>
    </w:p>
    <w:p w14:paraId="18758D54">
      <w:pPr>
        <w:ind w:firstLine="420" w:firstLineChars="200"/>
        <w:rPr>
          <w:rFonts w:ascii="宋体"/>
          <w:kern w:val="0"/>
          <w:szCs w:val="20"/>
        </w:rPr>
      </w:pPr>
      <w:bookmarkStart w:id="14" w:name="OLE_LINK40"/>
      <w:bookmarkStart w:id="15" w:name="OLE_LINK39"/>
      <w:bookmarkStart w:id="16" w:name="OLE_LINK2"/>
      <w:bookmarkStart w:id="17" w:name="_Toc450293153"/>
      <w:r>
        <w:rPr>
          <w:rFonts w:hint="eastAsia" w:ascii="宋体"/>
          <w:kern w:val="0"/>
          <w:szCs w:val="20"/>
        </w:rPr>
        <w:t>本文件规定了山水林田湖草沙一体化生态保护与修复工程成效监测的基本原则、监测范围与周期、监测流程、监测指标、监测方法、质量控制、监测成果的有关要求。</w:t>
      </w:r>
    </w:p>
    <w:p w14:paraId="70BB8071">
      <w:pPr>
        <w:ind w:firstLine="420" w:firstLineChars="200"/>
        <w:rPr>
          <w:rFonts w:ascii="宋体"/>
          <w:kern w:val="0"/>
          <w:szCs w:val="20"/>
        </w:rPr>
      </w:pPr>
      <w:r>
        <w:rPr>
          <w:rFonts w:hint="eastAsia" w:ascii="宋体"/>
          <w:kern w:val="0"/>
          <w:szCs w:val="20"/>
        </w:rPr>
        <w:t>本文件适用于山水林田湖草沙一体化生态保护与修复工程成效的监测评估工作。其他相关国土空间生态保护修复工程成效监测评估可参考使用。</w:t>
      </w:r>
    </w:p>
    <w:bookmarkEnd w:id="14"/>
    <w:bookmarkEnd w:id="15"/>
    <w:bookmarkEnd w:id="16"/>
    <w:p w14:paraId="643B6057">
      <w:pPr>
        <w:numPr>
          <w:ilvl w:val="0"/>
          <w:numId w:val="1"/>
        </w:numPr>
        <w:spacing w:before="312" w:beforeLines="100" w:after="312" w:afterLines="100"/>
        <w:outlineLvl w:val="1"/>
        <w:rPr>
          <w:rFonts w:ascii="黑体" w:eastAsia="黑体"/>
          <w:kern w:val="0"/>
          <w:szCs w:val="20"/>
        </w:rPr>
      </w:pPr>
      <w:bookmarkStart w:id="18" w:name="_Toc8858"/>
      <w:bookmarkStart w:id="19" w:name="_Toc21791"/>
      <w:bookmarkStart w:id="20" w:name="_Toc6190"/>
      <w:r>
        <w:rPr>
          <w:rFonts w:hint="eastAsia" w:ascii="黑体" w:eastAsia="黑体"/>
          <w:kern w:val="0"/>
          <w:szCs w:val="20"/>
        </w:rPr>
        <w:t>规范性引用文件</w:t>
      </w:r>
      <w:bookmarkEnd w:id="17"/>
      <w:bookmarkEnd w:id="18"/>
      <w:bookmarkEnd w:id="19"/>
      <w:bookmarkEnd w:id="20"/>
    </w:p>
    <w:p w14:paraId="54EBDC05">
      <w:pPr>
        <w:pStyle w:val="73"/>
      </w:pPr>
      <w:bookmarkStart w:id="21" w:name="_Toc123923797"/>
      <w:bookmarkStart w:id="22" w:name="_Toc450293154"/>
      <w:r>
        <w:rPr>
          <w:rFonts w:hint="eastAsia"/>
        </w:rPr>
        <w:t>下列文件中的内容通过文中的规范性引用而构成本文件必不可少的条款。</w:t>
      </w:r>
    </w:p>
    <w:p w14:paraId="776493AA">
      <w:pPr>
        <w:pStyle w:val="73"/>
      </w:pPr>
      <w:r>
        <w:rPr>
          <w:rFonts w:hint="eastAsia"/>
        </w:rPr>
        <w:t>GB 3095 环境空气质量标准</w:t>
      </w:r>
    </w:p>
    <w:p w14:paraId="6881D784">
      <w:pPr>
        <w:pStyle w:val="73"/>
      </w:pPr>
      <w:r>
        <w:rPr>
          <w:rFonts w:hint="eastAsia"/>
        </w:rPr>
        <w:t>GB 3838 地表水环境质量标准</w:t>
      </w:r>
    </w:p>
    <w:p w14:paraId="5835DF68">
      <w:pPr>
        <w:pStyle w:val="73"/>
      </w:pPr>
      <w:r>
        <w:rPr>
          <w:rFonts w:hint="eastAsia"/>
        </w:rPr>
        <w:t>GB 15618 土壤环境质量 农用地土壤污染风险管控标准(试行)</w:t>
      </w:r>
    </w:p>
    <w:p w14:paraId="25C88DAC">
      <w:pPr>
        <w:pStyle w:val="73"/>
      </w:pPr>
      <w:r>
        <w:rPr>
          <w:rFonts w:hint="eastAsia"/>
        </w:rPr>
        <w:t>GB 50021 岩土工程勘察规范</w:t>
      </w:r>
    </w:p>
    <w:p w14:paraId="19EFC0C0">
      <w:pPr>
        <w:pStyle w:val="73"/>
      </w:pPr>
      <w:r>
        <w:rPr>
          <w:rFonts w:hint="eastAsia"/>
        </w:rPr>
        <w:t>GB/T 14848 地下水质量标准</w:t>
      </w:r>
    </w:p>
    <w:p w14:paraId="1DC2413F">
      <w:pPr>
        <w:pStyle w:val="73"/>
      </w:pPr>
      <w:r>
        <w:rPr>
          <w:rFonts w:hint="eastAsia"/>
        </w:rPr>
        <w:t>GB/T 20481气象干旱等级</w:t>
      </w:r>
    </w:p>
    <w:p w14:paraId="404DC9E8">
      <w:pPr>
        <w:pStyle w:val="73"/>
      </w:pPr>
      <w:r>
        <w:rPr>
          <w:rFonts w:hint="eastAsia"/>
        </w:rPr>
        <w:t>GB/T 24255 沙化土地监测技术规程</w:t>
      </w:r>
    </w:p>
    <w:p w14:paraId="03478FB8">
      <w:pPr>
        <w:pStyle w:val="73"/>
      </w:pPr>
      <w:r>
        <w:rPr>
          <w:rFonts w:hint="eastAsia"/>
        </w:rPr>
        <w:t>GB/T 30363 森林植被状况监测技术规范</w:t>
      </w:r>
    </w:p>
    <w:p w14:paraId="6B612F6D">
      <w:pPr>
        <w:pStyle w:val="73"/>
      </w:pPr>
      <w:r>
        <w:rPr>
          <w:rFonts w:hint="eastAsia"/>
        </w:rPr>
        <w:t>GB/T 33027 森林生态系统长期定位观测方法</w:t>
      </w:r>
    </w:p>
    <w:p w14:paraId="0A65618A">
      <w:pPr>
        <w:pStyle w:val="73"/>
      </w:pPr>
      <w:r>
        <w:rPr>
          <w:rFonts w:hint="eastAsia"/>
        </w:rPr>
        <w:t>GB/T 34815 植被生态质量气象评价指数</w:t>
      </w:r>
    </w:p>
    <w:p w14:paraId="6E5B95C4">
      <w:pPr>
        <w:pStyle w:val="73"/>
      </w:pPr>
      <w:r>
        <w:rPr>
          <w:rFonts w:hint="eastAsia"/>
        </w:rPr>
        <w:t>GB/T 43678 生态系统评估 生态系统服务评估方法</w:t>
      </w:r>
    </w:p>
    <w:p w14:paraId="4A8D679B">
      <w:pPr>
        <w:pStyle w:val="73"/>
      </w:pPr>
      <w:r>
        <w:rPr>
          <w:rFonts w:hint="eastAsia"/>
        </w:rPr>
        <w:t>GB/T 43681 生态系统评估 区域生态系统调查方法</w:t>
      </w:r>
    </w:p>
    <w:p w14:paraId="2DCC7243">
      <w:pPr>
        <w:pStyle w:val="73"/>
      </w:pPr>
      <w:r>
        <w:rPr>
          <w:rFonts w:hint="eastAsia"/>
        </w:rPr>
        <w:t>DB32/T 4867 国土空间生态保护修复工程生态成效监测评估技术导则</w:t>
      </w:r>
    </w:p>
    <w:p w14:paraId="17483CB9">
      <w:pPr>
        <w:pStyle w:val="73"/>
      </w:pPr>
      <w:r>
        <w:rPr>
          <w:rFonts w:hint="eastAsia"/>
        </w:rPr>
        <w:t>DZ/T 0287 矿山地质环境监测技术规程</w:t>
      </w:r>
    </w:p>
    <w:p w14:paraId="494E4A84">
      <w:pPr>
        <w:pStyle w:val="73"/>
      </w:pPr>
      <w:r>
        <w:rPr>
          <w:rFonts w:hint="eastAsia"/>
        </w:rPr>
        <w:t>HJ 1166 全国生态状况调查评估技术规范——生态系统遥感解译与野外核查</w:t>
      </w:r>
    </w:p>
    <w:p w14:paraId="5B8D8477">
      <w:pPr>
        <w:pStyle w:val="73"/>
      </w:pPr>
      <w:r>
        <w:rPr>
          <w:rFonts w:hint="eastAsia"/>
        </w:rPr>
        <w:t>HJ 1168 全国生态状况调查评估技术规范——草地生态系统野外观测</w:t>
      </w:r>
    </w:p>
    <w:p w14:paraId="5F1FB341">
      <w:pPr>
        <w:pStyle w:val="73"/>
      </w:pPr>
      <w:r>
        <w:rPr>
          <w:rFonts w:hint="eastAsia"/>
        </w:rPr>
        <w:t>HJ 1172 全国生态状况调查评估技术规范—生态系统质量评估</w:t>
      </w:r>
    </w:p>
    <w:p w14:paraId="5E2C9F46">
      <w:pPr>
        <w:pStyle w:val="73"/>
      </w:pPr>
      <w:r>
        <w:rPr>
          <w:rFonts w:hint="eastAsia"/>
        </w:rPr>
        <w:t>HJ 1173 全国生态状况调查评估技术规范—生态系统服务功能评估</w:t>
      </w:r>
    </w:p>
    <w:p w14:paraId="70E73863">
      <w:pPr>
        <w:pStyle w:val="73"/>
      </w:pPr>
      <w:r>
        <w:rPr>
          <w:rFonts w:hint="eastAsia"/>
        </w:rPr>
        <w:t>HJ 1272 生态保护修复成效评估技术指南(试行)</w:t>
      </w:r>
    </w:p>
    <w:p w14:paraId="716B26BF">
      <w:pPr>
        <w:pStyle w:val="73"/>
      </w:pPr>
      <w:r>
        <w:rPr>
          <w:rFonts w:hint="eastAsia"/>
        </w:rPr>
        <w:t>HJ 1311 自然保护地生态环境调查与观测技术规范</w:t>
      </w:r>
    </w:p>
    <w:p w14:paraId="36BA6619">
      <w:pPr>
        <w:pStyle w:val="73"/>
      </w:pPr>
      <w:r>
        <w:rPr>
          <w:rFonts w:hint="eastAsia"/>
        </w:rPr>
        <w:t>HJ 1340 生物多样性(陆域生态系统)遥感调查技术指南</w:t>
      </w:r>
    </w:p>
    <w:p w14:paraId="27EB9889">
      <w:pPr>
        <w:pStyle w:val="73"/>
      </w:pPr>
      <w:r>
        <w:rPr>
          <w:rFonts w:hint="eastAsia"/>
        </w:rPr>
        <w:t>HY/T 0320 滨海土壤盐渍化监测与评价技术规程</w:t>
      </w:r>
    </w:p>
    <w:p w14:paraId="1447963D">
      <w:pPr>
        <w:pStyle w:val="73"/>
      </w:pPr>
      <w:r>
        <w:rPr>
          <w:rFonts w:hint="eastAsia"/>
        </w:rPr>
        <w:t>LY/T 2994 石漠化治理监测与评价规范</w:t>
      </w:r>
    </w:p>
    <w:p w14:paraId="195B6D2B">
      <w:pPr>
        <w:pStyle w:val="73"/>
      </w:pPr>
      <w:r>
        <w:rPr>
          <w:rFonts w:hint="eastAsia"/>
        </w:rPr>
        <w:t>SL773 生产建设项目土壤流失量测算导则</w:t>
      </w:r>
    </w:p>
    <w:p w14:paraId="6377B747">
      <w:pPr>
        <w:pStyle w:val="73"/>
      </w:pPr>
      <w:r>
        <w:rPr>
          <w:rFonts w:hint="eastAsia"/>
        </w:rPr>
        <w:t>TD/T 1069 国土空间生态保护修复工程验收规范</w:t>
      </w:r>
    </w:p>
    <w:p w14:paraId="02BF0287">
      <w:pPr>
        <w:pStyle w:val="73"/>
      </w:pPr>
      <w:r>
        <w:rPr>
          <w:rFonts w:hint="eastAsia"/>
        </w:rPr>
        <w:t>TD/T 1102 国土空间生态保护修复工程成效评估规范</w:t>
      </w:r>
    </w:p>
    <w:p w14:paraId="74D09F73">
      <w:pPr>
        <w:pStyle w:val="73"/>
      </w:pPr>
      <w:r>
        <w:rPr>
          <w:rFonts w:hint="eastAsia"/>
        </w:rPr>
        <w:t>T/CGDF 00001生物多样性调查与监测标准</w:t>
      </w:r>
    </w:p>
    <w:bookmarkEnd w:id="21"/>
    <w:p w14:paraId="0281F7A5">
      <w:pPr>
        <w:numPr>
          <w:ilvl w:val="0"/>
          <w:numId w:val="1"/>
        </w:numPr>
        <w:spacing w:before="312" w:beforeLines="100" w:after="312" w:afterLines="100"/>
        <w:outlineLvl w:val="1"/>
        <w:rPr>
          <w:rFonts w:ascii="黑体" w:eastAsia="黑体"/>
        </w:rPr>
      </w:pPr>
      <w:bookmarkStart w:id="23" w:name="_Toc28489"/>
      <w:bookmarkStart w:id="24" w:name="_Toc12531"/>
      <w:bookmarkStart w:id="25" w:name="_Toc29079"/>
      <w:r>
        <w:rPr>
          <w:rFonts w:hint="eastAsia" w:ascii="黑体" w:eastAsia="黑体"/>
        </w:rPr>
        <w:t>术语和定义</w:t>
      </w:r>
      <w:bookmarkEnd w:id="23"/>
    </w:p>
    <w:bookmarkEnd w:id="22"/>
    <w:bookmarkEnd w:id="24"/>
    <w:bookmarkEnd w:id="25"/>
    <w:p w14:paraId="4F061888">
      <w:pPr>
        <w:numPr>
          <w:ilvl w:val="1"/>
          <w:numId w:val="1"/>
        </w:numPr>
        <w:spacing w:before="156" w:beforeLines="50" w:after="156" w:afterLines="50"/>
        <w:rPr>
          <w:rFonts w:ascii="黑体" w:eastAsia="黑体"/>
          <w:kern w:val="0"/>
          <w:szCs w:val="21"/>
        </w:rPr>
      </w:pPr>
      <w:bookmarkStart w:id="26" w:name="_Toc11302"/>
      <w:bookmarkStart w:id="27" w:name="_Toc415138248"/>
      <w:bookmarkStart w:id="28" w:name="_Toc416339992"/>
      <w:bookmarkStart w:id="29" w:name="_Toc450293155"/>
    </w:p>
    <w:p w14:paraId="37E7FDF7">
      <w:pPr>
        <w:widowControl/>
        <w:numPr>
          <w:ilvl w:val="1"/>
          <w:numId w:val="0"/>
        </w:numPr>
        <w:spacing w:before="156" w:beforeLines="50" w:after="156" w:afterLines="50"/>
        <w:ind w:firstLine="420" w:firstLineChars="200"/>
        <w:jc w:val="left"/>
        <w:rPr>
          <w:rFonts w:ascii="黑体" w:eastAsia="黑体"/>
          <w:kern w:val="0"/>
          <w:szCs w:val="21"/>
        </w:rPr>
      </w:pPr>
      <w:r>
        <w:rPr>
          <w:rFonts w:hint="eastAsia" w:ascii="黑体" w:eastAsia="黑体"/>
          <w:kern w:val="0"/>
          <w:szCs w:val="21"/>
        </w:rPr>
        <w:t>一体化生态保护与修复成效 the effectiveness of integrated ecological protection and restoration</w:t>
      </w:r>
      <w:bookmarkEnd w:id="26"/>
    </w:p>
    <w:p w14:paraId="5A06AE11">
      <w:pPr>
        <w:widowControl/>
        <w:tabs>
          <w:tab w:val="center" w:pos="4201"/>
          <w:tab w:val="right" w:leader="dot" w:pos="9298"/>
        </w:tabs>
        <w:ind w:firstLine="420" w:firstLineChars="200"/>
        <w:rPr>
          <w:rFonts w:ascii="宋体"/>
          <w:kern w:val="0"/>
          <w:szCs w:val="20"/>
        </w:rPr>
      </w:pPr>
      <w:r>
        <w:rPr>
          <w:rFonts w:hint="eastAsia" w:ascii="宋体"/>
          <w:kern w:val="0"/>
          <w:szCs w:val="20"/>
        </w:rPr>
        <w:t>在一定国土空间范围内，通过统筹山水林田湖草沙各要素，对受损、退化、服务功能下降的若干生态系统进行整体保护、系统修复、综合治理，生态系统在自我恢复能力、系统稳定性、自然生态系统质量、生态产品供应能力等方面的改善程度，以及带来的社会、经济综合效益。</w:t>
      </w:r>
    </w:p>
    <w:p w14:paraId="4D50AB00">
      <w:pPr>
        <w:widowControl/>
        <w:tabs>
          <w:tab w:val="center" w:pos="4201"/>
          <w:tab w:val="right" w:leader="dot" w:pos="9298"/>
        </w:tabs>
        <w:ind w:firstLine="420" w:firstLineChars="200"/>
        <w:rPr>
          <w:rFonts w:ascii="宋体"/>
          <w:kern w:val="0"/>
          <w:szCs w:val="20"/>
        </w:rPr>
      </w:pPr>
      <w:r>
        <w:rPr>
          <w:rFonts w:hint="eastAsia" w:ascii="宋体"/>
          <w:kern w:val="0"/>
          <w:szCs w:val="20"/>
        </w:rPr>
        <w:t>［来源：DB32/T 4867-2024，有修改］</w:t>
      </w:r>
    </w:p>
    <w:p w14:paraId="2ABCFD43">
      <w:pPr>
        <w:pStyle w:val="78"/>
        <w:numPr>
          <w:ilvl w:val="1"/>
          <w:numId w:val="1"/>
        </w:numPr>
        <w:spacing w:before="156" w:after="156"/>
        <w:outlineLvl w:val="9"/>
      </w:pPr>
    </w:p>
    <w:p w14:paraId="2F4CBA26">
      <w:pPr>
        <w:widowControl/>
        <w:tabs>
          <w:tab w:val="center" w:pos="4201"/>
          <w:tab w:val="right" w:leader="dot" w:pos="9298"/>
        </w:tabs>
        <w:ind w:firstLine="420" w:firstLineChars="200"/>
        <w:rPr>
          <w:rFonts w:ascii="黑体" w:eastAsia="黑体"/>
          <w:kern w:val="0"/>
          <w:szCs w:val="21"/>
        </w:rPr>
      </w:pPr>
      <w:r>
        <w:rPr>
          <w:rFonts w:hint="eastAsia" w:ascii="黑体" w:eastAsia="黑体"/>
          <w:kern w:val="0"/>
          <w:szCs w:val="21"/>
        </w:rPr>
        <w:t>工程范围 scope of project</w:t>
      </w:r>
    </w:p>
    <w:p w14:paraId="2D8E103C">
      <w:pPr>
        <w:widowControl/>
        <w:tabs>
          <w:tab w:val="center" w:pos="4201"/>
          <w:tab w:val="right" w:leader="dot" w:pos="9298"/>
        </w:tabs>
        <w:ind w:firstLine="420" w:firstLineChars="200"/>
        <w:rPr>
          <w:rFonts w:ascii="宋体"/>
          <w:kern w:val="0"/>
          <w:szCs w:val="20"/>
        </w:rPr>
      </w:pPr>
      <w:r>
        <w:rPr>
          <w:rFonts w:hint="eastAsia" w:ascii="宋体"/>
          <w:kern w:val="0"/>
          <w:szCs w:val="20"/>
        </w:rPr>
        <w:t>在调查基础上，根据自然地理单元划定的，具有相对完整生态功能、由相互作用的多类生态系统或多个自然生态要素组成的连续封闭的空间范围，包括生态保护修复工程的实施区域及其主要影响区域。</w:t>
      </w:r>
    </w:p>
    <w:p w14:paraId="3E118BC3">
      <w:pPr>
        <w:widowControl/>
        <w:tabs>
          <w:tab w:val="center" w:pos="4201"/>
          <w:tab w:val="right" w:leader="dot" w:pos="9298"/>
        </w:tabs>
        <w:ind w:firstLine="420" w:firstLineChars="200"/>
        <w:rPr>
          <w:rFonts w:ascii="宋体"/>
          <w:kern w:val="0"/>
          <w:szCs w:val="20"/>
        </w:rPr>
      </w:pPr>
      <w:r>
        <w:rPr>
          <w:rFonts w:hint="eastAsia" w:ascii="宋体"/>
          <w:kern w:val="0"/>
          <w:szCs w:val="20"/>
        </w:rPr>
        <w:t>［来源：T-D-T 1069-2022，有修改］</w:t>
      </w:r>
    </w:p>
    <w:p w14:paraId="422B99FF">
      <w:pPr>
        <w:pStyle w:val="78"/>
        <w:numPr>
          <w:ilvl w:val="1"/>
          <w:numId w:val="1"/>
        </w:numPr>
        <w:spacing w:before="156" w:after="156"/>
        <w:outlineLvl w:val="9"/>
      </w:pPr>
    </w:p>
    <w:p w14:paraId="1DBFA388">
      <w:pPr>
        <w:widowControl/>
        <w:tabs>
          <w:tab w:val="center" w:pos="4201"/>
          <w:tab w:val="right" w:leader="dot" w:pos="9298"/>
        </w:tabs>
        <w:ind w:firstLine="420" w:firstLineChars="200"/>
      </w:pPr>
      <w:r>
        <w:rPr>
          <w:rFonts w:ascii="黑体" w:hAnsi="宋体" w:eastAsia="黑体" w:cs="黑体"/>
          <w:color w:val="000000"/>
          <w:kern w:val="0"/>
          <w:szCs w:val="21"/>
          <w:lang w:bidi="ar"/>
        </w:rPr>
        <w:t>实施区域 implementation area</w:t>
      </w:r>
    </w:p>
    <w:p w14:paraId="5BF14E5A">
      <w:pPr>
        <w:widowControl/>
        <w:tabs>
          <w:tab w:val="center" w:pos="4201"/>
          <w:tab w:val="right" w:leader="dot" w:pos="9298"/>
        </w:tabs>
        <w:ind w:firstLine="420" w:firstLineChars="200"/>
        <w:rPr>
          <w:rFonts w:ascii="宋体"/>
          <w:kern w:val="0"/>
          <w:szCs w:val="20"/>
        </w:rPr>
      </w:pPr>
      <w:r>
        <w:rPr>
          <w:rFonts w:hint="eastAsia" w:ascii="宋体"/>
          <w:kern w:val="0"/>
          <w:szCs w:val="20"/>
        </w:rPr>
        <w:t>上述定义“工程范围”内所有子项目所在区域的集合。</w:t>
      </w:r>
    </w:p>
    <w:p w14:paraId="5357CA81">
      <w:pPr>
        <w:widowControl/>
        <w:tabs>
          <w:tab w:val="center" w:pos="4201"/>
          <w:tab w:val="right" w:leader="dot" w:pos="9298"/>
        </w:tabs>
        <w:ind w:firstLine="420" w:firstLineChars="200"/>
        <w:rPr>
          <w:rFonts w:ascii="宋体"/>
          <w:kern w:val="0"/>
          <w:szCs w:val="20"/>
        </w:rPr>
      </w:pPr>
      <w:r>
        <w:rPr>
          <w:rFonts w:hint="eastAsia" w:ascii="宋体"/>
          <w:kern w:val="0"/>
          <w:szCs w:val="20"/>
        </w:rPr>
        <w:t>［来源：T-D-T 1069-2022，有修改］</w:t>
      </w:r>
    </w:p>
    <w:bookmarkEnd w:id="27"/>
    <w:bookmarkEnd w:id="28"/>
    <w:bookmarkEnd w:id="29"/>
    <w:p w14:paraId="6A00A1B5">
      <w:pPr>
        <w:pStyle w:val="78"/>
        <w:numPr>
          <w:ilvl w:val="1"/>
          <w:numId w:val="1"/>
        </w:numPr>
        <w:spacing w:before="156" w:after="156"/>
        <w:outlineLvl w:val="9"/>
      </w:pPr>
      <w:bookmarkStart w:id="30" w:name="_Toc7819"/>
      <w:bookmarkStart w:id="31" w:name="_Toc18531"/>
    </w:p>
    <w:p w14:paraId="35489DB5">
      <w:pPr>
        <w:widowControl/>
        <w:numPr>
          <w:ilvl w:val="1"/>
          <w:numId w:val="0"/>
        </w:numPr>
        <w:spacing w:before="156" w:beforeLines="50" w:after="156" w:afterLines="50"/>
        <w:ind w:firstLine="420" w:firstLineChars="200"/>
        <w:jc w:val="left"/>
        <w:rPr>
          <w:rFonts w:ascii="黑体" w:eastAsia="黑体"/>
          <w:kern w:val="0"/>
          <w:szCs w:val="21"/>
        </w:rPr>
      </w:pPr>
      <w:r>
        <w:rPr>
          <w:rFonts w:hint="eastAsia" w:ascii="黑体" w:eastAsia="黑体"/>
          <w:kern w:val="0"/>
          <w:szCs w:val="21"/>
        </w:rPr>
        <w:t>成效监测 effectiveness monitoring</w:t>
      </w:r>
    </w:p>
    <w:p w14:paraId="3DD6F362">
      <w:pPr>
        <w:widowControl/>
        <w:tabs>
          <w:tab w:val="center" w:pos="4201"/>
          <w:tab w:val="right" w:leader="dot" w:pos="9298"/>
        </w:tabs>
        <w:ind w:firstLine="420" w:firstLineChars="200"/>
        <w:rPr>
          <w:rFonts w:ascii="宋体"/>
          <w:kern w:val="0"/>
          <w:szCs w:val="20"/>
        </w:rPr>
      </w:pPr>
      <w:r>
        <w:rPr>
          <w:rFonts w:hint="eastAsia" w:ascii="宋体"/>
          <w:kern w:val="0"/>
          <w:szCs w:val="20"/>
        </w:rPr>
        <w:t>按照一定周期，以修复成效评估为目标，通过资料收集、遥感解译、实地调查监测等方式，监测获取可表征目标范围内生态保护与修复成效的量化数据的过程。</w:t>
      </w:r>
    </w:p>
    <w:p w14:paraId="7A43CD24">
      <w:pPr>
        <w:widowControl/>
        <w:tabs>
          <w:tab w:val="center" w:pos="4201"/>
          <w:tab w:val="right" w:leader="dot" w:pos="9298"/>
        </w:tabs>
        <w:ind w:firstLine="420" w:firstLineChars="200"/>
        <w:rPr>
          <w:rFonts w:ascii="宋体"/>
          <w:kern w:val="0"/>
          <w:szCs w:val="20"/>
        </w:rPr>
      </w:pPr>
      <w:r>
        <w:rPr>
          <w:rFonts w:hint="eastAsia" w:ascii="宋体"/>
          <w:kern w:val="0"/>
          <w:szCs w:val="20"/>
        </w:rPr>
        <w:t>［来源：DB32/T 4867-2024，有修改］</w:t>
      </w:r>
    </w:p>
    <w:p w14:paraId="1621D66A">
      <w:pPr>
        <w:widowControl/>
        <w:tabs>
          <w:tab w:val="center" w:pos="4201"/>
          <w:tab w:val="right" w:leader="dot" w:pos="9298"/>
        </w:tabs>
        <w:ind w:firstLine="420" w:firstLineChars="200"/>
        <w:rPr>
          <w:rFonts w:ascii="宋体"/>
          <w:kern w:val="0"/>
          <w:szCs w:val="20"/>
        </w:rPr>
      </w:pPr>
    </w:p>
    <w:bookmarkEnd w:id="30"/>
    <w:bookmarkEnd w:id="31"/>
    <w:p w14:paraId="2B2B6F8F">
      <w:pPr>
        <w:numPr>
          <w:ilvl w:val="0"/>
          <w:numId w:val="1"/>
        </w:numPr>
        <w:spacing w:before="312" w:beforeLines="100" w:after="312" w:afterLines="100"/>
        <w:outlineLvl w:val="1"/>
        <w:rPr>
          <w:rFonts w:ascii="黑体" w:eastAsia="黑体"/>
          <w:kern w:val="21"/>
          <w:szCs w:val="20"/>
        </w:rPr>
      </w:pPr>
      <w:bookmarkStart w:id="32" w:name="_Toc14380"/>
      <w:bookmarkStart w:id="33" w:name="_Toc16774"/>
      <w:bookmarkStart w:id="34" w:name="_Toc3530"/>
      <w:r>
        <w:rPr>
          <w:rFonts w:hint="eastAsia" w:ascii="黑体" w:eastAsia="黑体"/>
          <w:kern w:val="0"/>
          <w:szCs w:val="21"/>
        </w:rPr>
        <w:t>监测原则</w:t>
      </w:r>
      <w:bookmarkEnd w:id="32"/>
      <w:bookmarkEnd w:id="33"/>
      <w:bookmarkEnd w:id="34"/>
      <w:bookmarkStart w:id="35" w:name="_Toc15958"/>
      <w:bookmarkStart w:id="36" w:name="_Toc19296"/>
      <w:bookmarkStart w:id="37" w:name="_Toc450293158"/>
    </w:p>
    <w:p w14:paraId="3C638CA1">
      <w:pPr>
        <w:numPr>
          <w:ilvl w:val="1"/>
          <w:numId w:val="1"/>
        </w:numPr>
        <w:spacing w:before="156" w:beforeLines="50" w:after="156" w:afterLines="50"/>
        <w:outlineLvl w:val="1"/>
        <w:rPr>
          <w:rFonts w:ascii="黑体" w:eastAsia="黑体"/>
          <w:kern w:val="21"/>
          <w:szCs w:val="20"/>
        </w:rPr>
      </w:pPr>
      <w:bookmarkStart w:id="38" w:name="_Toc8595"/>
      <w:r>
        <w:rPr>
          <w:rFonts w:hint="eastAsia" w:ascii="黑体" w:eastAsia="黑体"/>
          <w:kern w:val="21"/>
          <w:szCs w:val="20"/>
        </w:rPr>
        <w:t>规范性原则</w:t>
      </w:r>
      <w:bookmarkEnd w:id="35"/>
      <w:bookmarkEnd w:id="36"/>
      <w:bookmarkEnd w:id="37"/>
      <w:bookmarkEnd w:id="38"/>
    </w:p>
    <w:p w14:paraId="5216C17F">
      <w:pPr>
        <w:pStyle w:val="73"/>
      </w:pPr>
      <w:r>
        <w:rPr>
          <w:rFonts w:hint="eastAsia"/>
        </w:rPr>
        <w:t>山水林田湖草沙一体化生态保护与修复工程监测中，应遵循规范化要求，确保监测指标的概念和意义明确、监测指标间相对独立，监测技术方法准确，执行已正式发布的标准或成熟的方法。</w:t>
      </w:r>
    </w:p>
    <w:p w14:paraId="4E0A0A24">
      <w:pPr>
        <w:numPr>
          <w:ilvl w:val="1"/>
          <w:numId w:val="1"/>
        </w:numPr>
        <w:spacing w:before="156" w:beforeLines="50" w:after="156" w:afterLines="50"/>
        <w:outlineLvl w:val="1"/>
        <w:rPr>
          <w:rFonts w:ascii="黑体" w:eastAsia="黑体"/>
          <w:kern w:val="21"/>
          <w:szCs w:val="20"/>
        </w:rPr>
      </w:pPr>
      <w:bookmarkStart w:id="39" w:name="_Toc20130"/>
      <w:bookmarkStart w:id="40" w:name="_Toc21303"/>
      <w:bookmarkStart w:id="41" w:name="_Toc7647"/>
      <w:bookmarkStart w:id="42" w:name="_Toc4689"/>
      <w:bookmarkStart w:id="43" w:name="_Toc20105"/>
      <w:bookmarkStart w:id="44" w:name="_Toc5986"/>
      <w:r>
        <w:rPr>
          <w:rFonts w:hint="eastAsia" w:ascii="黑体" w:eastAsia="黑体"/>
          <w:kern w:val="21"/>
          <w:szCs w:val="20"/>
        </w:rPr>
        <w:t>科学性原则</w:t>
      </w:r>
      <w:bookmarkEnd w:id="39"/>
      <w:bookmarkEnd w:id="40"/>
      <w:bookmarkEnd w:id="41"/>
      <w:bookmarkEnd w:id="42"/>
      <w:bookmarkEnd w:id="43"/>
      <w:bookmarkEnd w:id="44"/>
    </w:p>
    <w:p w14:paraId="7233DB38">
      <w:pPr>
        <w:pStyle w:val="73"/>
      </w:pPr>
      <w:r>
        <w:rPr>
          <w:rFonts w:hint="eastAsia"/>
        </w:rPr>
        <w:t>遵循自然规律，科学规范地开展监测前期准备、数据（样品）采集、数据（样品）分析整理等，确保监测数据的科学性、客观性、真实性与合理性。</w:t>
      </w:r>
    </w:p>
    <w:p w14:paraId="4A6DF2DF">
      <w:pPr>
        <w:numPr>
          <w:ilvl w:val="1"/>
          <w:numId w:val="1"/>
        </w:numPr>
        <w:spacing w:before="156" w:beforeLines="50" w:after="156" w:afterLines="50"/>
        <w:outlineLvl w:val="1"/>
        <w:rPr>
          <w:rFonts w:ascii="黑体" w:eastAsia="黑体"/>
          <w:kern w:val="21"/>
          <w:szCs w:val="20"/>
        </w:rPr>
      </w:pPr>
      <w:bookmarkStart w:id="45" w:name="_Toc3541"/>
      <w:r>
        <w:rPr>
          <w:rFonts w:hint="eastAsia" w:ascii="黑体" w:eastAsia="黑体"/>
          <w:kern w:val="21"/>
          <w:szCs w:val="20"/>
        </w:rPr>
        <w:t>整体性原则</w:t>
      </w:r>
      <w:bookmarkEnd w:id="45"/>
    </w:p>
    <w:p w14:paraId="770B34D8">
      <w:pPr>
        <w:pStyle w:val="73"/>
      </w:pPr>
      <w:r>
        <w:rPr>
          <w:rFonts w:hint="eastAsia"/>
        </w:rPr>
        <w:t>基于自然环境的整体性，统筹山水林田湖草沙各生态要素，兼顾工程实施区域和影响区域，</w:t>
      </w:r>
      <w:r>
        <w:t>对生态要素之间相互作用、协同演化过程的</w:t>
      </w:r>
      <w:r>
        <w:rPr>
          <w:rFonts w:hint="eastAsia"/>
        </w:rPr>
        <w:t>全方位、全地域、全要素的监测，确保监测数据全面系统。</w:t>
      </w:r>
    </w:p>
    <w:p w14:paraId="03F72886">
      <w:pPr>
        <w:numPr>
          <w:ilvl w:val="1"/>
          <w:numId w:val="1"/>
        </w:numPr>
        <w:spacing w:before="156" w:beforeLines="50" w:after="156" w:afterLines="50"/>
        <w:outlineLvl w:val="1"/>
        <w:rPr>
          <w:rFonts w:ascii="黑体" w:eastAsia="黑体"/>
          <w:kern w:val="21"/>
          <w:szCs w:val="20"/>
        </w:rPr>
      </w:pPr>
      <w:bookmarkStart w:id="46" w:name="_Toc15360"/>
      <w:bookmarkStart w:id="47" w:name="_Toc31148"/>
      <w:bookmarkStart w:id="48" w:name="_Toc28858"/>
      <w:r>
        <w:rPr>
          <w:rFonts w:hint="eastAsia" w:ascii="黑体" w:eastAsia="黑体"/>
          <w:kern w:val="21"/>
          <w:szCs w:val="20"/>
        </w:rPr>
        <w:t>可操作性原则</w:t>
      </w:r>
      <w:bookmarkEnd w:id="46"/>
      <w:bookmarkEnd w:id="47"/>
      <w:bookmarkEnd w:id="48"/>
    </w:p>
    <w:p w14:paraId="3BDA5F71">
      <w:pPr>
        <w:pStyle w:val="73"/>
      </w:pPr>
      <w:r>
        <w:rPr>
          <w:rFonts w:hint="eastAsia"/>
        </w:rPr>
        <w:t>根据重要性，对山水林田湖草沙一体化生态保护与修复成效监测指标进行差异化设置，确保采用的技术方法易于理解和实施，并已在实践中进行试点示范，操作性强。</w:t>
      </w:r>
    </w:p>
    <w:p w14:paraId="438C45D2">
      <w:pPr>
        <w:numPr>
          <w:ilvl w:val="0"/>
          <w:numId w:val="1"/>
        </w:numPr>
        <w:spacing w:before="312" w:beforeLines="100" w:after="312" w:afterLines="100"/>
        <w:outlineLvl w:val="1"/>
        <w:rPr>
          <w:rFonts w:ascii="黑体" w:eastAsia="黑体"/>
          <w:kern w:val="0"/>
          <w:szCs w:val="20"/>
        </w:rPr>
      </w:pPr>
      <w:bookmarkStart w:id="49" w:name="_Toc1395"/>
      <w:bookmarkStart w:id="50" w:name="_Toc19371"/>
      <w:bookmarkStart w:id="51" w:name="_Toc20157"/>
      <w:r>
        <w:rPr>
          <w:rFonts w:hint="eastAsia" w:ascii="黑体" w:eastAsia="黑体"/>
          <w:kern w:val="0"/>
          <w:szCs w:val="20"/>
        </w:rPr>
        <w:t>监测流程</w:t>
      </w:r>
      <w:bookmarkEnd w:id="49"/>
      <w:bookmarkEnd w:id="50"/>
      <w:bookmarkEnd w:id="51"/>
    </w:p>
    <w:p w14:paraId="775F65F9">
      <w:pPr>
        <w:adjustRightInd w:val="0"/>
        <w:snapToGrid w:val="0"/>
        <w:ind w:firstLine="420" w:firstLineChars="200"/>
        <w:rPr>
          <w:rFonts w:ascii="宋体"/>
          <w:kern w:val="0"/>
          <w:szCs w:val="20"/>
        </w:rPr>
      </w:pPr>
      <w:r>
        <w:rPr>
          <w:rFonts w:hint="eastAsia" w:ascii="宋体"/>
          <w:kern w:val="0"/>
          <w:szCs w:val="20"/>
        </w:rPr>
        <w:t>山水林田湖草沙一体化生态保护与修复成效监测，各环节要求如下：（1）前期准备阶段，主要内容为综合分析工程或区域范围内环境概况，明确监测目标、内容和任务。（2）选择监测指标阶段，分别从生态成效、社会成效、经济成效三方面选择具体的监测指标，构建监测指标体系。（3）确定监测技术方法阶段，针对不同的监测指标，通过地面监测、遥感监测、数据资料收集等方法获取监测数据。（4）开展监测并获得监测成果阶段，利用以上监测方法，获得地理信息数据、监测数据、多媒体成果等，提交符合要求的监测数据成果，并撰写监测报告。</w:t>
      </w:r>
    </w:p>
    <w:p w14:paraId="21D7F5BF">
      <w:pPr>
        <w:adjustRightInd w:val="0"/>
        <w:snapToGrid w:val="0"/>
        <w:ind w:firstLine="420" w:firstLineChars="200"/>
        <w:rPr>
          <w:rFonts w:ascii="宋体"/>
          <w:kern w:val="0"/>
          <w:szCs w:val="20"/>
        </w:rPr>
      </w:pPr>
      <w:r>
        <w:rPr>
          <w:rFonts w:hint="eastAsia" w:ascii="宋体"/>
          <w:kern w:val="0"/>
          <w:szCs w:val="20"/>
        </w:rPr>
        <w:t>对应流程图如下：</w:t>
      </w:r>
      <w:r>
        <w:rPr>
          <w:rFonts w:hint="eastAsia" w:ascii="宋体"/>
          <w:kern w:val="0"/>
          <w:szCs w:val="20"/>
        </w:rPr>
        <w:drawing>
          <wp:anchor distT="0" distB="0" distL="114300" distR="114300" simplePos="0" relativeHeight="251659264" behindDoc="0" locked="0" layoutInCell="1" allowOverlap="1">
            <wp:simplePos x="0" y="0"/>
            <wp:positionH relativeFrom="column">
              <wp:posOffset>0</wp:posOffset>
            </wp:positionH>
            <wp:positionV relativeFrom="paragraph">
              <wp:posOffset>306705</wp:posOffset>
            </wp:positionV>
            <wp:extent cx="5265420" cy="3430270"/>
            <wp:effectExtent l="0" t="0" r="11430" b="17780"/>
            <wp:wrapSquare wrapText="bothSides"/>
            <wp:docPr id="1" name="图片 1" descr="标准流程--监测-0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标准流程--监测-0225"/>
                    <pic:cNvPicPr>
                      <a:picLocks noChangeAspect="1"/>
                    </pic:cNvPicPr>
                  </pic:nvPicPr>
                  <pic:blipFill>
                    <a:blip r:embed="rId12"/>
                    <a:stretch>
                      <a:fillRect/>
                    </a:stretch>
                  </pic:blipFill>
                  <pic:spPr>
                    <a:xfrm>
                      <a:off x="0" y="0"/>
                      <a:ext cx="5265420" cy="3430270"/>
                    </a:xfrm>
                    <a:prstGeom prst="rect">
                      <a:avLst/>
                    </a:prstGeom>
                  </pic:spPr>
                </pic:pic>
              </a:graphicData>
            </a:graphic>
          </wp:anchor>
        </w:drawing>
      </w:r>
    </w:p>
    <w:p w14:paraId="74FB76A0">
      <w:pPr>
        <w:widowControl/>
        <w:tabs>
          <w:tab w:val="center" w:pos="4201"/>
          <w:tab w:val="right" w:leader="dot" w:pos="9298"/>
        </w:tabs>
        <w:autoSpaceDE w:val="0"/>
        <w:autoSpaceDN w:val="0"/>
        <w:jc w:val="center"/>
        <w:rPr>
          <w:rFonts w:ascii="黑体" w:eastAsia="黑体"/>
          <w:kern w:val="0"/>
          <w:szCs w:val="20"/>
        </w:rPr>
      </w:pPr>
      <w:r>
        <w:rPr>
          <w:rFonts w:hint="eastAsia" w:ascii="黑体" w:eastAsia="黑体"/>
          <w:kern w:val="0"/>
          <w:szCs w:val="20"/>
        </w:rPr>
        <w:t>图1 山水林田湖草沙一体化生态保护与修复成效监测技术流程</w:t>
      </w:r>
    </w:p>
    <w:p w14:paraId="6E02DAF3">
      <w:pPr>
        <w:numPr>
          <w:ilvl w:val="0"/>
          <w:numId w:val="1"/>
        </w:numPr>
        <w:spacing w:before="312" w:beforeLines="100" w:after="312" w:afterLines="100"/>
        <w:outlineLvl w:val="1"/>
        <w:rPr>
          <w:rFonts w:ascii="黑体" w:eastAsia="黑体"/>
          <w:kern w:val="0"/>
          <w:szCs w:val="20"/>
        </w:rPr>
      </w:pPr>
      <w:bookmarkStart w:id="52" w:name="_Toc25643"/>
      <w:bookmarkStart w:id="53" w:name="_Toc6655"/>
      <w:bookmarkStart w:id="54" w:name="_Toc19821"/>
      <w:r>
        <w:rPr>
          <w:rFonts w:hint="eastAsia" w:ascii="黑体" w:eastAsia="黑体"/>
          <w:kern w:val="0"/>
          <w:szCs w:val="20"/>
        </w:rPr>
        <w:t>监测范围与周期</w:t>
      </w:r>
      <w:bookmarkEnd w:id="52"/>
    </w:p>
    <w:p w14:paraId="7E967BCF">
      <w:pPr>
        <w:numPr>
          <w:ilvl w:val="1"/>
          <w:numId w:val="1"/>
        </w:numPr>
        <w:spacing w:before="156" w:beforeLines="50" w:after="156" w:afterLines="50"/>
        <w:outlineLvl w:val="2"/>
        <w:rPr>
          <w:rFonts w:ascii="黑体" w:eastAsia="黑体"/>
          <w:kern w:val="21"/>
          <w:szCs w:val="20"/>
        </w:rPr>
      </w:pPr>
      <w:bookmarkStart w:id="55" w:name="_Toc16932"/>
      <w:r>
        <w:rPr>
          <w:rFonts w:hint="eastAsia" w:ascii="黑体" w:eastAsia="黑体"/>
          <w:kern w:val="21"/>
          <w:szCs w:val="20"/>
        </w:rPr>
        <w:t>监测范围</w:t>
      </w:r>
      <w:bookmarkEnd w:id="55"/>
    </w:p>
    <w:p w14:paraId="6E18A4D0">
      <w:pPr>
        <w:widowControl/>
        <w:tabs>
          <w:tab w:val="center" w:pos="4201"/>
          <w:tab w:val="right" w:leader="dot" w:pos="9298"/>
        </w:tabs>
        <w:autoSpaceDE w:val="0"/>
        <w:autoSpaceDN w:val="0"/>
        <w:ind w:firstLine="420" w:firstLineChars="200"/>
        <w:rPr>
          <w:rFonts w:ascii="宋体"/>
          <w:kern w:val="0"/>
          <w:szCs w:val="21"/>
        </w:rPr>
      </w:pPr>
      <w:r>
        <w:rPr>
          <w:rFonts w:hint="eastAsia" w:ascii="宋体"/>
          <w:kern w:val="0"/>
          <w:szCs w:val="21"/>
        </w:rPr>
        <w:t>根据山水林田湖草沙一体化治理的整体性和系统性思维，以及监测评估的便利性与可操作性，参考山水林田湖草沙一体化生态保护与修复工程规划的修复范围，在调查分析的基础上，选取具有相对完整生态功能、由相互作用的多类生态系统或多个自然生态要素组成的空间范围，包括工程的实施区域及其主要辐射范围为监测范围。考虑以江河湖流域、山体山脉等相对完整、封闭的区域或流域自然地理单元监测范围。实施中具体根据监测评估的任务要求来确定。参考TD/T 1069、TD/T 1102的相关要求。</w:t>
      </w:r>
    </w:p>
    <w:p w14:paraId="4277C011">
      <w:pPr>
        <w:numPr>
          <w:ilvl w:val="1"/>
          <w:numId w:val="1"/>
        </w:numPr>
        <w:spacing w:before="156" w:beforeLines="50" w:after="156" w:afterLines="50"/>
        <w:outlineLvl w:val="2"/>
        <w:rPr>
          <w:rFonts w:ascii="黑体" w:eastAsia="黑体"/>
          <w:kern w:val="21"/>
          <w:szCs w:val="20"/>
        </w:rPr>
      </w:pPr>
      <w:bookmarkStart w:id="56" w:name="_Toc1917"/>
      <w:r>
        <w:rPr>
          <w:rFonts w:hint="eastAsia" w:ascii="黑体" w:eastAsia="黑体"/>
          <w:kern w:val="21"/>
          <w:szCs w:val="20"/>
        </w:rPr>
        <w:t>监测周期</w:t>
      </w:r>
      <w:bookmarkEnd w:id="56"/>
    </w:p>
    <w:p w14:paraId="07101370">
      <w:pPr>
        <w:numPr>
          <w:ilvl w:val="2"/>
          <w:numId w:val="1"/>
        </w:numPr>
        <w:spacing w:before="156" w:beforeLines="50" w:after="156" w:afterLines="50"/>
        <w:outlineLvl w:val="3"/>
        <w:rPr>
          <w:rFonts w:ascii="黑体" w:eastAsia="黑体"/>
          <w:kern w:val="0"/>
          <w:szCs w:val="21"/>
        </w:rPr>
      </w:pPr>
      <w:r>
        <w:rPr>
          <w:rFonts w:hint="eastAsia" w:ascii="黑体" w:eastAsia="黑体"/>
          <w:kern w:val="0"/>
          <w:szCs w:val="21"/>
        </w:rPr>
        <w:t>基期</w:t>
      </w:r>
    </w:p>
    <w:p w14:paraId="0EC65933">
      <w:pPr>
        <w:widowControl/>
        <w:tabs>
          <w:tab w:val="center" w:pos="4201"/>
          <w:tab w:val="right" w:leader="dot" w:pos="9298"/>
        </w:tabs>
        <w:autoSpaceDE w:val="0"/>
        <w:autoSpaceDN w:val="0"/>
        <w:ind w:firstLine="420" w:firstLineChars="200"/>
        <w:rPr>
          <w:rFonts w:ascii="宋体"/>
          <w:kern w:val="0"/>
          <w:szCs w:val="20"/>
        </w:rPr>
      </w:pPr>
      <w:r>
        <w:rPr>
          <w:rFonts w:hint="eastAsia" w:ascii="宋体"/>
          <w:kern w:val="0"/>
          <w:szCs w:val="20"/>
        </w:rPr>
        <w:t>工程项目获批后至实施前，开展1次本底监测，作为本底值。</w:t>
      </w:r>
    </w:p>
    <w:p w14:paraId="6A58C521">
      <w:pPr>
        <w:numPr>
          <w:ilvl w:val="2"/>
          <w:numId w:val="1"/>
        </w:numPr>
        <w:spacing w:before="156" w:beforeLines="50" w:after="156" w:afterLines="50"/>
        <w:outlineLvl w:val="3"/>
        <w:rPr>
          <w:rFonts w:ascii="黑体" w:eastAsia="黑体"/>
          <w:kern w:val="0"/>
          <w:szCs w:val="21"/>
        </w:rPr>
      </w:pPr>
      <w:r>
        <w:rPr>
          <w:rFonts w:hint="eastAsia" w:ascii="黑体" w:eastAsia="黑体"/>
          <w:kern w:val="0"/>
          <w:szCs w:val="21"/>
        </w:rPr>
        <w:t>验收期</w:t>
      </w:r>
    </w:p>
    <w:p w14:paraId="6A8F6764">
      <w:pPr>
        <w:widowControl/>
        <w:tabs>
          <w:tab w:val="center" w:pos="4201"/>
          <w:tab w:val="right" w:leader="dot" w:pos="9298"/>
        </w:tabs>
        <w:autoSpaceDE w:val="0"/>
        <w:autoSpaceDN w:val="0"/>
        <w:ind w:firstLine="420" w:firstLineChars="200"/>
        <w:rPr>
          <w:rFonts w:ascii="宋体"/>
          <w:kern w:val="0"/>
          <w:szCs w:val="20"/>
        </w:rPr>
      </w:pPr>
      <w:r>
        <w:rPr>
          <w:rFonts w:hint="eastAsia" w:ascii="宋体"/>
          <w:kern w:val="0"/>
          <w:szCs w:val="20"/>
        </w:rPr>
        <w:t>工程项目竣工提交验收前开展1次全面监测。</w:t>
      </w:r>
    </w:p>
    <w:p w14:paraId="1A7E5075">
      <w:pPr>
        <w:numPr>
          <w:ilvl w:val="2"/>
          <w:numId w:val="1"/>
        </w:numPr>
        <w:spacing w:before="156" w:beforeLines="50" w:after="156" w:afterLines="50"/>
        <w:outlineLvl w:val="3"/>
        <w:rPr>
          <w:rFonts w:ascii="黑体" w:eastAsia="黑体"/>
          <w:kern w:val="0"/>
          <w:szCs w:val="21"/>
        </w:rPr>
      </w:pPr>
      <w:r>
        <w:rPr>
          <w:rFonts w:hint="eastAsia" w:ascii="黑体" w:eastAsia="黑体"/>
          <w:kern w:val="0"/>
          <w:szCs w:val="21"/>
        </w:rPr>
        <w:t>管护期</w:t>
      </w:r>
    </w:p>
    <w:p w14:paraId="7AE145E8">
      <w:pPr>
        <w:widowControl/>
        <w:tabs>
          <w:tab w:val="center" w:pos="4201"/>
          <w:tab w:val="right" w:leader="dot" w:pos="9298"/>
        </w:tabs>
        <w:autoSpaceDE w:val="0"/>
        <w:autoSpaceDN w:val="0"/>
        <w:ind w:firstLine="420" w:firstLineChars="200"/>
        <w:rPr>
          <w:rFonts w:ascii="宋体"/>
          <w:kern w:val="0"/>
          <w:szCs w:val="20"/>
        </w:rPr>
      </w:pPr>
      <w:r>
        <w:rPr>
          <w:rFonts w:hint="eastAsia" w:ascii="宋体" w:hAnsi="宋体" w:cs="宋体"/>
          <w:color w:val="000000"/>
          <w:kern w:val="0"/>
          <w:szCs w:val="21"/>
        </w:rPr>
        <w:t>工</w:t>
      </w:r>
      <w:r>
        <w:rPr>
          <w:rFonts w:hint="eastAsia" w:ascii="宋体"/>
          <w:kern w:val="0"/>
          <w:szCs w:val="20"/>
        </w:rPr>
        <w:t>程验收后，由施工方管护后移交委托方，移交前开展一次监测，评估管护成效，监测频次一般为1次/2年或1次/3年。</w:t>
      </w:r>
    </w:p>
    <w:p w14:paraId="2F43D855">
      <w:pPr>
        <w:numPr>
          <w:ilvl w:val="2"/>
          <w:numId w:val="1"/>
        </w:numPr>
        <w:spacing w:before="156" w:beforeLines="50" w:after="156" w:afterLines="50"/>
        <w:outlineLvl w:val="3"/>
        <w:rPr>
          <w:rFonts w:ascii="黑体" w:eastAsia="黑体"/>
          <w:kern w:val="0"/>
          <w:szCs w:val="21"/>
        </w:rPr>
      </w:pPr>
      <w:r>
        <w:rPr>
          <w:rFonts w:hint="eastAsia" w:ascii="黑体" w:eastAsia="黑体"/>
          <w:kern w:val="0"/>
          <w:szCs w:val="21"/>
        </w:rPr>
        <w:t>常态化期</w:t>
      </w:r>
    </w:p>
    <w:p w14:paraId="58CF02E1">
      <w:pPr>
        <w:pStyle w:val="73"/>
      </w:pPr>
      <w:r>
        <w:rPr>
          <w:rFonts w:hint="eastAsia"/>
        </w:rPr>
        <w:t>工程项目管护期结束后的常态化期内，监测频次一般为1次/5年。</w:t>
      </w:r>
    </w:p>
    <w:p w14:paraId="18AE4EF4">
      <w:pPr>
        <w:pStyle w:val="73"/>
      </w:pPr>
      <w:r>
        <w:rPr>
          <w:rFonts w:hint="eastAsia"/>
        </w:rPr>
        <w:t>各频次的监测工作应在同一季节进行，在降雨季节，可在降雨后一周开展监测工作。宜选择植被生长旺盛期（北方6~8月、南方5~9月）开展监测，确保监测数据的可比性。管护期和常态化期可结合区域生态敏感性调整监测频次。</w:t>
      </w:r>
    </w:p>
    <w:p w14:paraId="7217989D">
      <w:pPr>
        <w:pStyle w:val="73"/>
        <w:rPr>
          <w:rFonts w:hint="eastAsia" w:hAnsi="宋体" w:cs="宋体"/>
          <w:color w:val="000000"/>
          <w:szCs w:val="21"/>
        </w:rPr>
      </w:pPr>
      <w:r>
        <w:rPr>
          <w:rFonts w:hint="eastAsia"/>
        </w:rPr>
        <w:t>子项目尺度的监测数据覆盖基期、验收期，生态保护修复单元、工程范围两个尺度的监测数据覆盖基期、验收期、管护期及常态化期。具体参考TD/T 1102的相关要求。</w:t>
      </w:r>
    </w:p>
    <w:p w14:paraId="0E46C529">
      <w:pPr>
        <w:numPr>
          <w:ilvl w:val="0"/>
          <w:numId w:val="1"/>
        </w:numPr>
        <w:spacing w:before="312" w:beforeLines="100" w:after="312" w:afterLines="100"/>
        <w:outlineLvl w:val="1"/>
        <w:rPr>
          <w:rFonts w:ascii="黑体" w:eastAsia="黑体"/>
          <w:kern w:val="0"/>
          <w:szCs w:val="20"/>
        </w:rPr>
      </w:pPr>
      <w:bookmarkStart w:id="57" w:name="_Toc22680"/>
      <w:r>
        <w:rPr>
          <w:rFonts w:hint="eastAsia" w:ascii="黑体" w:eastAsia="黑体"/>
          <w:kern w:val="0"/>
          <w:szCs w:val="20"/>
        </w:rPr>
        <w:t>监测指标</w:t>
      </w:r>
      <w:bookmarkEnd w:id="53"/>
      <w:bookmarkEnd w:id="54"/>
      <w:bookmarkEnd w:id="57"/>
    </w:p>
    <w:p w14:paraId="4C066EC4">
      <w:pPr>
        <w:numPr>
          <w:ilvl w:val="1"/>
          <w:numId w:val="1"/>
        </w:numPr>
        <w:spacing w:before="156" w:beforeLines="50" w:after="156" w:afterLines="50"/>
        <w:outlineLvl w:val="1"/>
        <w:rPr>
          <w:rFonts w:ascii="黑体" w:eastAsia="黑体"/>
          <w:kern w:val="21"/>
          <w:szCs w:val="20"/>
        </w:rPr>
      </w:pPr>
      <w:bookmarkStart w:id="58" w:name="_Toc1281"/>
      <w:r>
        <w:rPr>
          <w:rFonts w:hint="eastAsia" w:ascii="黑体" w:eastAsia="黑体"/>
          <w:kern w:val="21"/>
          <w:szCs w:val="20"/>
        </w:rPr>
        <w:t>生态成效监测指标体系</w:t>
      </w:r>
      <w:bookmarkEnd w:id="58"/>
    </w:p>
    <w:p w14:paraId="2DD429E0">
      <w:pPr>
        <w:adjustRightInd w:val="0"/>
        <w:snapToGrid w:val="0"/>
        <w:spacing w:before="156" w:beforeLines="50" w:after="156" w:afterLines="50"/>
        <w:ind w:firstLine="420" w:firstLineChars="200"/>
        <w:rPr>
          <w:color w:val="000000"/>
          <w:kern w:val="0"/>
          <w:szCs w:val="20"/>
        </w:rPr>
      </w:pPr>
      <w:bookmarkStart w:id="59" w:name="_Toc450293165"/>
      <w:r>
        <w:rPr>
          <w:rFonts w:hint="eastAsia"/>
          <w:color w:val="000000"/>
          <w:kern w:val="0"/>
          <w:szCs w:val="20"/>
        </w:rPr>
        <w:t>生态成效监测指标体系包含5类一级指标，18类二级指标，36类三级指标。详见表1。</w:t>
      </w:r>
    </w:p>
    <w:p w14:paraId="3F573397">
      <w:pPr>
        <w:keepNext/>
        <w:adjustRightInd w:val="0"/>
        <w:snapToGrid w:val="0"/>
        <w:jc w:val="center"/>
        <w:rPr>
          <w:rFonts w:hint="eastAsia" w:ascii="黑体" w:hAnsi="黑体" w:eastAsia="黑体" w:cs="黑体"/>
          <w:kern w:val="0"/>
          <w:szCs w:val="20"/>
        </w:rPr>
      </w:pPr>
      <w:r>
        <w:rPr>
          <w:rFonts w:hint="eastAsia" w:ascii="黑体" w:hAnsi="黑体" w:eastAsia="黑体" w:cs="黑体"/>
          <w:kern w:val="0"/>
          <w:szCs w:val="20"/>
        </w:rPr>
        <w:t>表1 生态成效监测指标体系</w:t>
      </w:r>
    </w:p>
    <w:tbl>
      <w:tblPr>
        <w:tblStyle w:val="42"/>
        <w:tblW w:w="85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45"/>
        <w:gridCol w:w="1386"/>
        <w:gridCol w:w="2003"/>
        <w:gridCol w:w="1817"/>
        <w:gridCol w:w="1178"/>
        <w:gridCol w:w="1149"/>
      </w:tblGrid>
      <w:tr w14:paraId="66F6B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 w:hRule="atLeast"/>
          <w:tblHeader/>
          <w:jc w:val="center"/>
        </w:trPr>
        <w:tc>
          <w:tcPr>
            <w:tcW w:w="1045" w:type="dxa"/>
            <w:vAlign w:val="center"/>
          </w:tcPr>
          <w:p w14:paraId="0F63110F">
            <w:pPr>
              <w:widowControl/>
              <w:snapToGrid w:val="0"/>
              <w:jc w:val="center"/>
              <w:rPr>
                <w:rFonts w:hint="eastAsia" w:ascii="宋体" w:hAnsi="宋体" w:cs="宋体"/>
                <w:b/>
                <w:color w:val="000000"/>
                <w:kern w:val="0"/>
                <w:sz w:val="18"/>
                <w:szCs w:val="18"/>
              </w:rPr>
            </w:pPr>
            <w:r>
              <w:rPr>
                <w:rFonts w:hint="eastAsia" w:ascii="宋体" w:hAnsi="宋体" w:cs="宋体"/>
                <w:b/>
                <w:color w:val="000000"/>
                <w:kern w:val="0"/>
                <w:sz w:val="18"/>
                <w:szCs w:val="18"/>
              </w:rPr>
              <w:t>一级指标</w:t>
            </w:r>
          </w:p>
        </w:tc>
        <w:tc>
          <w:tcPr>
            <w:tcW w:w="1386" w:type="dxa"/>
            <w:vAlign w:val="center"/>
          </w:tcPr>
          <w:p w14:paraId="669220D2">
            <w:pPr>
              <w:widowControl/>
              <w:snapToGrid w:val="0"/>
              <w:jc w:val="center"/>
              <w:rPr>
                <w:rFonts w:hint="eastAsia" w:ascii="宋体" w:hAnsi="宋体" w:cs="宋体"/>
                <w:b/>
                <w:color w:val="000000"/>
                <w:kern w:val="0"/>
                <w:sz w:val="18"/>
                <w:szCs w:val="18"/>
              </w:rPr>
            </w:pPr>
            <w:r>
              <w:rPr>
                <w:rFonts w:hint="eastAsia" w:ascii="宋体" w:hAnsi="宋体" w:cs="宋体"/>
                <w:b/>
                <w:color w:val="000000"/>
                <w:kern w:val="0"/>
                <w:sz w:val="18"/>
                <w:szCs w:val="18"/>
              </w:rPr>
              <w:t>二级指标</w:t>
            </w:r>
          </w:p>
        </w:tc>
        <w:tc>
          <w:tcPr>
            <w:tcW w:w="2003" w:type="dxa"/>
            <w:vAlign w:val="center"/>
          </w:tcPr>
          <w:p w14:paraId="0F021739">
            <w:pPr>
              <w:widowControl/>
              <w:snapToGrid w:val="0"/>
              <w:jc w:val="center"/>
              <w:rPr>
                <w:rFonts w:hint="eastAsia" w:ascii="宋体" w:hAnsi="宋体" w:cs="宋体"/>
                <w:b/>
                <w:color w:val="000000"/>
                <w:kern w:val="0"/>
                <w:sz w:val="18"/>
                <w:szCs w:val="18"/>
              </w:rPr>
            </w:pPr>
            <w:r>
              <w:rPr>
                <w:rFonts w:hint="eastAsia" w:ascii="宋体" w:hAnsi="宋体" w:cs="宋体"/>
                <w:b/>
                <w:color w:val="000000"/>
                <w:kern w:val="0"/>
                <w:sz w:val="18"/>
                <w:szCs w:val="18"/>
              </w:rPr>
              <w:t>三级指标</w:t>
            </w:r>
          </w:p>
        </w:tc>
        <w:tc>
          <w:tcPr>
            <w:tcW w:w="1817" w:type="dxa"/>
            <w:vAlign w:val="center"/>
          </w:tcPr>
          <w:p w14:paraId="5E418DA4">
            <w:pPr>
              <w:widowControl/>
              <w:snapToGrid w:val="0"/>
              <w:jc w:val="center"/>
              <w:rPr>
                <w:rFonts w:hint="eastAsia" w:ascii="宋体" w:hAnsi="宋体" w:cs="宋体"/>
                <w:b/>
                <w:color w:val="000000"/>
                <w:kern w:val="0"/>
                <w:sz w:val="18"/>
                <w:szCs w:val="18"/>
              </w:rPr>
            </w:pPr>
            <w:r>
              <w:rPr>
                <w:rFonts w:hint="eastAsia" w:ascii="宋体" w:hAnsi="宋体" w:cs="宋体"/>
                <w:b/>
                <w:color w:val="000000"/>
                <w:kern w:val="0"/>
                <w:sz w:val="18"/>
                <w:szCs w:val="18"/>
              </w:rPr>
              <w:t>监测方法</w:t>
            </w:r>
          </w:p>
        </w:tc>
        <w:tc>
          <w:tcPr>
            <w:tcW w:w="1178" w:type="dxa"/>
            <w:vAlign w:val="center"/>
          </w:tcPr>
          <w:p w14:paraId="13E3C5AA">
            <w:pPr>
              <w:widowControl/>
              <w:snapToGrid w:val="0"/>
              <w:jc w:val="center"/>
              <w:rPr>
                <w:rFonts w:hint="eastAsia" w:ascii="宋体" w:hAnsi="宋体" w:cs="宋体"/>
                <w:b/>
                <w:color w:val="000000"/>
                <w:kern w:val="0"/>
                <w:sz w:val="18"/>
                <w:szCs w:val="18"/>
              </w:rPr>
            </w:pPr>
            <w:r>
              <w:rPr>
                <w:rFonts w:hint="eastAsia" w:ascii="宋体" w:hAnsi="宋体" w:cs="宋体"/>
                <w:b/>
                <w:color w:val="000000"/>
                <w:kern w:val="0"/>
                <w:sz w:val="18"/>
                <w:szCs w:val="18"/>
              </w:rPr>
              <w:t>监测范围</w:t>
            </w:r>
          </w:p>
        </w:tc>
        <w:tc>
          <w:tcPr>
            <w:tcW w:w="1149" w:type="dxa"/>
            <w:vAlign w:val="center"/>
          </w:tcPr>
          <w:p w14:paraId="2422D29E">
            <w:pPr>
              <w:widowControl/>
              <w:snapToGrid w:val="0"/>
              <w:jc w:val="center"/>
              <w:rPr>
                <w:rFonts w:hint="eastAsia" w:ascii="宋体" w:hAnsi="宋体" w:cs="宋体"/>
                <w:b/>
                <w:color w:val="000000"/>
                <w:kern w:val="0"/>
                <w:sz w:val="18"/>
                <w:szCs w:val="18"/>
              </w:rPr>
            </w:pPr>
            <w:r>
              <w:rPr>
                <w:rFonts w:hint="eastAsia" w:ascii="宋体" w:hAnsi="宋体" w:cs="宋体"/>
                <w:b/>
                <w:color w:val="000000"/>
                <w:kern w:val="0"/>
                <w:sz w:val="18"/>
                <w:szCs w:val="18"/>
              </w:rPr>
              <w:t>指标类型</w:t>
            </w:r>
          </w:p>
        </w:tc>
      </w:tr>
      <w:tr w14:paraId="43261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 w:hRule="atLeast"/>
          <w:jc w:val="center"/>
        </w:trPr>
        <w:tc>
          <w:tcPr>
            <w:tcW w:w="1045" w:type="dxa"/>
            <w:vMerge w:val="restart"/>
            <w:vAlign w:val="center"/>
          </w:tcPr>
          <w:p w14:paraId="2122B83F">
            <w:pPr>
              <w:widowControl/>
              <w:snapToGrid w:val="0"/>
              <w:jc w:val="center"/>
              <w:rPr>
                <w:rFonts w:hint="eastAsia" w:ascii="宋体" w:hAnsi="宋体" w:cs="宋体"/>
                <w:color w:val="000000"/>
                <w:kern w:val="0"/>
                <w:sz w:val="18"/>
                <w:szCs w:val="18"/>
              </w:rPr>
            </w:pPr>
            <w:r>
              <w:rPr>
                <w:rFonts w:hint="eastAsia" w:ascii="宋体" w:hAnsi="宋体" w:cs="宋体"/>
                <w:color w:val="000000"/>
                <w:kern w:val="0"/>
                <w:sz w:val="18"/>
                <w:szCs w:val="18"/>
              </w:rPr>
              <w:t>生态胁迫</w:t>
            </w:r>
          </w:p>
        </w:tc>
        <w:tc>
          <w:tcPr>
            <w:tcW w:w="1386" w:type="dxa"/>
            <w:vMerge w:val="restart"/>
            <w:vAlign w:val="center"/>
          </w:tcPr>
          <w:p w14:paraId="4C0309ED">
            <w:pPr>
              <w:widowControl/>
              <w:snapToGrid w:val="0"/>
              <w:jc w:val="center"/>
              <w:rPr>
                <w:rFonts w:hint="eastAsia" w:ascii="宋体" w:hAnsi="宋体" w:cs="宋体"/>
                <w:color w:val="000000"/>
                <w:kern w:val="0"/>
                <w:sz w:val="18"/>
                <w:szCs w:val="18"/>
              </w:rPr>
            </w:pPr>
            <w:r>
              <w:rPr>
                <w:rFonts w:hint="eastAsia" w:ascii="宋体" w:hAnsi="宋体" w:cs="宋体"/>
                <w:color w:val="000000"/>
                <w:kern w:val="0"/>
                <w:sz w:val="18"/>
                <w:szCs w:val="18"/>
              </w:rPr>
              <w:t>自然资源利用强度</w:t>
            </w:r>
          </w:p>
        </w:tc>
        <w:tc>
          <w:tcPr>
            <w:tcW w:w="2003" w:type="dxa"/>
            <w:vAlign w:val="center"/>
          </w:tcPr>
          <w:p w14:paraId="2BA0960D">
            <w:pPr>
              <w:widowControl/>
              <w:snapToGrid w:val="0"/>
              <w:jc w:val="center"/>
              <w:rPr>
                <w:rFonts w:hint="eastAsia" w:ascii="宋体" w:hAnsi="宋体" w:cs="宋体"/>
                <w:color w:val="000000"/>
                <w:kern w:val="0"/>
                <w:sz w:val="18"/>
                <w:szCs w:val="18"/>
              </w:rPr>
            </w:pPr>
            <w:r>
              <w:rPr>
                <w:rFonts w:hint="eastAsia" w:ascii="宋体" w:hAnsi="宋体" w:cs="宋体"/>
                <w:color w:val="000000"/>
                <w:kern w:val="0"/>
                <w:sz w:val="18"/>
                <w:szCs w:val="18"/>
              </w:rPr>
              <w:t>耕地复种指数</w:t>
            </w:r>
          </w:p>
        </w:tc>
        <w:tc>
          <w:tcPr>
            <w:tcW w:w="1817" w:type="dxa"/>
            <w:vAlign w:val="center"/>
          </w:tcPr>
          <w:p w14:paraId="4AA9391A">
            <w:pPr>
              <w:widowControl/>
              <w:snapToGrid w:val="0"/>
              <w:jc w:val="center"/>
              <w:rPr>
                <w:rFonts w:hint="eastAsia" w:ascii="宋体" w:hAnsi="宋体" w:cs="宋体"/>
                <w:color w:val="000000"/>
                <w:kern w:val="0"/>
                <w:sz w:val="18"/>
                <w:szCs w:val="18"/>
              </w:rPr>
            </w:pPr>
            <w:r>
              <w:rPr>
                <w:rFonts w:hint="eastAsia" w:ascii="宋体" w:hAnsi="宋体" w:cs="宋体"/>
                <w:color w:val="000000"/>
                <w:kern w:val="0"/>
                <w:sz w:val="18"/>
                <w:szCs w:val="18"/>
              </w:rPr>
              <w:t>实地监测、模型测算</w:t>
            </w:r>
          </w:p>
        </w:tc>
        <w:tc>
          <w:tcPr>
            <w:tcW w:w="1178" w:type="dxa"/>
            <w:vMerge w:val="restart"/>
            <w:vAlign w:val="center"/>
          </w:tcPr>
          <w:p w14:paraId="5900861E">
            <w:pPr>
              <w:widowControl/>
              <w:snapToGrid w:val="0"/>
              <w:jc w:val="center"/>
              <w:rPr>
                <w:rFonts w:hint="eastAsia" w:ascii="宋体" w:hAnsi="宋体" w:cs="宋体"/>
                <w:color w:val="000000"/>
                <w:kern w:val="0"/>
                <w:sz w:val="18"/>
                <w:szCs w:val="18"/>
              </w:rPr>
            </w:pPr>
            <w:r>
              <w:rPr>
                <w:rFonts w:hint="eastAsia" w:ascii="宋体" w:hAnsi="宋体" w:cs="宋体"/>
                <w:color w:val="000000"/>
                <w:kern w:val="0"/>
                <w:sz w:val="18"/>
                <w:szCs w:val="18"/>
              </w:rPr>
              <w:t>子项目、生态保护修复单元尺度</w:t>
            </w:r>
          </w:p>
        </w:tc>
        <w:tc>
          <w:tcPr>
            <w:tcW w:w="1149" w:type="dxa"/>
            <w:vAlign w:val="center"/>
          </w:tcPr>
          <w:p w14:paraId="0426076A">
            <w:pPr>
              <w:widowControl/>
              <w:snapToGrid w:val="0"/>
              <w:jc w:val="center"/>
              <w:rPr>
                <w:rFonts w:hint="eastAsia" w:ascii="宋体" w:hAnsi="宋体" w:cs="宋体"/>
                <w:color w:val="000000"/>
                <w:kern w:val="0"/>
                <w:sz w:val="18"/>
                <w:szCs w:val="18"/>
              </w:rPr>
            </w:pPr>
            <w:r>
              <w:rPr>
                <w:rFonts w:hint="eastAsia" w:ascii="宋体" w:hAnsi="宋体" w:cs="宋体"/>
                <w:color w:val="000000"/>
                <w:kern w:val="0"/>
                <w:sz w:val="18"/>
                <w:szCs w:val="18"/>
              </w:rPr>
              <w:t>个性指标</w:t>
            </w:r>
          </w:p>
          <w:p w14:paraId="41F7312B">
            <w:pPr>
              <w:widowControl/>
              <w:snapToGrid w:val="0"/>
              <w:jc w:val="center"/>
              <w:rPr>
                <w:rFonts w:hint="eastAsia" w:ascii="宋体" w:hAnsi="宋体" w:cs="宋体"/>
                <w:color w:val="000000"/>
                <w:kern w:val="0"/>
                <w:sz w:val="18"/>
                <w:szCs w:val="18"/>
              </w:rPr>
            </w:pPr>
            <w:r>
              <w:rPr>
                <w:rFonts w:hint="eastAsia" w:ascii="宋体" w:hAnsi="宋体" w:cs="宋体"/>
                <w:color w:val="000000"/>
                <w:kern w:val="0"/>
                <w:sz w:val="18"/>
                <w:szCs w:val="18"/>
              </w:rPr>
              <w:t>可选</w:t>
            </w:r>
          </w:p>
        </w:tc>
      </w:tr>
      <w:tr w14:paraId="2B486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jc w:val="center"/>
        </w:trPr>
        <w:tc>
          <w:tcPr>
            <w:tcW w:w="1045" w:type="dxa"/>
            <w:vMerge w:val="continue"/>
            <w:vAlign w:val="center"/>
          </w:tcPr>
          <w:p w14:paraId="27A4D71E">
            <w:pPr>
              <w:widowControl/>
              <w:snapToGrid w:val="0"/>
              <w:jc w:val="center"/>
              <w:rPr>
                <w:rFonts w:hint="eastAsia" w:ascii="宋体" w:hAnsi="宋体" w:cs="宋体"/>
                <w:sz w:val="18"/>
                <w:szCs w:val="18"/>
              </w:rPr>
            </w:pPr>
          </w:p>
        </w:tc>
        <w:tc>
          <w:tcPr>
            <w:tcW w:w="1386" w:type="dxa"/>
            <w:vMerge w:val="continue"/>
            <w:vAlign w:val="center"/>
          </w:tcPr>
          <w:p w14:paraId="79DD6C51">
            <w:pPr>
              <w:widowControl/>
              <w:snapToGrid w:val="0"/>
              <w:jc w:val="center"/>
              <w:rPr>
                <w:rFonts w:hint="eastAsia" w:ascii="宋体" w:hAnsi="宋体" w:cs="宋体"/>
                <w:sz w:val="18"/>
                <w:szCs w:val="18"/>
              </w:rPr>
            </w:pPr>
          </w:p>
        </w:tc>
        <w:tc>
          <w:tcPr>
            <w:tcW w:w="2003" w:type="dxa"/>
            <w:vAlign w:val="center"/>
          </w:tcPr>
          <w:p w14:paraId="3E915823">
            <w:pPr>
              <w:widowControl/>
              <w:snapToGrid w:val="0"/>
              <w:jc w:val="center"/>
              <w:rPr>
                <w:rFonts w:hint="eastAsia" w:ascii="宋体" w:hAnsi="宋体" w:cs="宋体"/>
                <w:color w:val="000000"/>
                <w:kern w:val="0"/>
                <w:sz w:val="18"/>
                <w:szCs w:val="18"/>
              </w:rPr>
            </w:pPr>
            <w:r>
              <w:rPr>
                <w:rFonts w:hint="eastAsia" w:ascii="宋体" w:hAnsi="宋体" w:cs="宋体"/>
                <w:color w:val="000000"/>
                <w:kern w:val="0"/>
                <w:sz w:val="18"/>
                <w:szCs w:val="18"/>
              </w:rPr>
              <w:t>土地垦殖率</w:t>
            </w:r>
          </w:p>
        </w:tc>
        <w:tc>
          <w:tcPr>
            <w:tcW w:w="1817" w:type="dxa"/>
            <w:vAlign w:val="center"/>
          </w:tcPr>
          <w:p w14:paraId="68EF022A">
            <w:pPr>
              <w:widowControl/>
              <w:snapToGrid w:val="0"/>
              <w:jc w:val="center"/>
              <w:rPr>
                <w:rFonts w:hint="eastAsia" w:ascii="宋体" w:hAnsi="宋体" w:cs="宋体"/>
                <w:color w:val="000000"/>
                <w:kern w:val="0"/>
                <w:sz w:val="18"/>
                <w:szCs w:val="18"/>
              </w:rPr>
            </w:pPr>
            <w:r>
              <w:rPr>
                <w:rFonts w:hint="eastAsia" w:ascii="宋体" w:hAnsi="宋体" w:cs="宋体"/>
                <w:color w:val="000000"/>
                <w:kern w:val="0"/>
                <w:sz w:val="18"/>
                <w:szCs w:val="18"/>
              </w:rPr>
              <w:t>实地监测、模型测算</w:t>
            </w:r>
          </w:p>
        </w:tc>
        <w:tc>
          <w:tcPr>
            <w:tcW w:w="1178" w:type="dxa"/>
            <w:vMerge w:val="continue"/>
            <w:vAlign w:val="center"/>
          </w:tcPr>
          <w:p w14:paraId="34330217">
            <w:pPr>
              <w:widowControl/>
              <w:snapToGrid w:val="0"/>
              <w:jc w:val="center"/>
              <w:rPr>
                <w:rFonts w:hint="eastAsia" w:ascii="宋体" w:hAnsi="宋体" w:cs="宋体"/>
                <w:color w:val="000000"/>
                <w:kern w:val="0"/>
                <w:sz w:val="18"/>
                <w:szCs w:val="18"/>
              </w:rPr>
            </w:pPr>
          </w:p>
        </w:tc>
        <w:tc>
          <w:tcPr>
            <w:tcW w:w="1149" w:type="dxa"/>
            <w:vAlign w:val="center"/>
          </w:tcPr>
          <w:p w14:paraId="23E3F75C">
            <w:pPr>
              <w:widowControl/>
              <w:snapToGrid w:val="0"/>
              <w:jc w:val="center"/>
              <w:rPr>
                <w:rFonts w:hint="eastAsia" w:ascii="宋体" w:hAnsi="宋体" w:cs="宋体"/>
                <w:color w:val="000000"/>
                <w:kern w:val="0"/>
                <w:sz w:val="18"/>
                <w:szCs w:val="18"/>
              </w:rPr>
            </w:pPr>
            <w:r>
              <w:rPr>
                <w:rFonts w:hint="eastAsia" w:ascii="宋体" w:hAnsi="宋体" w:cs="宋体"/>
                <w:color w:val="000000"/>
                <w:kern w:val="0"/>
                <w:sz w:val="18"/>
                <w:szCs w:val="18"/>
              </w:rPr>
              <w:t>个性指标</w:t>
            </w:r>
          </w:p>
          <w:p w14:paraId="7B955770">
            <w:pPr>
              <w:widowControl/>
              <w:snapToGrid w:val="0"/>
              <w:jc w:val="center"/>
              <w:rPr>
                <w:rFonts w:hint="eastAsia" w:ascii="宋体" w:hAnsi="宋体" w:cs="宋体"/>
                <w:color w:val="000000"/>
                <w:kern w:val="0"/>
                <w:sz w:val="18"/>
                <w:szCs w:val="18"/>
              </w:rPr>
            </w:pPr>
            <w:r>
              <w:rPr>
                <w:rFonts w:hint="eastAsia" w:ascii="宋体" w:hAnsi="宋体" w:cs="宋体"/>
                <w:color w:val="000000"/>
                <w:kern w:val="0"/>
                <w:sz w:val="18"/>
                <w:szCs w:val="18"/>
              </w:rPr>
              <w:t>可选</w:t>
            </w:r>
          </w:p>
        </w:tc>
      </w:tr>
      <w:tr w14:paraId="6C142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1045" w:type="dxa"/>
            <w:vMerge w:val="continue"/>
            <w:vAlign w:val="center"/>
          </w:tcPr>
          <w:p w14:paraId="14A86282">
            <w:pPr>
              <w:widowControl/>
              <w:snapToGrid w:val="0"/>
              <w:jc w:val="center"/>
              <w:rPr>
                <w:rFonts w:hint="eastAsia" w:ascii="宋体" w:hAnsi="宋体" w:cs="宋体"/>
                <w:color w:val="000000"/>
                <w:kern w:val="0"/>
                <w:sz w:val="18"/>
                <w:szCs w:val="18"/>
              </w:rPr>
            </w:pPr>
          </w:p>
        </w:tc>
        <w:tc>
          <w:tcPr>
            <w:tcW w:w="1386" w:type="dxa"/>
            <w:vAlign w:val="center"/>
          </w:tcPr>
          <w:p w14:paraId="1AD7C855">
            <w:pPr>
              <w:widowControl/>
              <w:snapToGrid w:val="0"/>
              <w:jc w:val="center"/>
              <w:rPr>
                <w:rFonts w:hint="eastAsia" w:ascii="宋体" w:hAnsi="宋体" w:cs="宋体"/>
                <w:color w:val="000000"/>
                <w:kern w:val="0"/>
                <w:sz w:val="18"/>
                <w:szCs w:val="18"/>
              </w:rPr>
            </w:pPr>
            <w:r>
              <w:rPr>
                <w:rFonts w:hint="eastAsia" w:ascii="宋体" w:hAnsi="宋体" w:cs="宋体"/>
                <w:color w:val="000000"/>
                <w:kern w:val="0"/>
                <w:sz w:val="18"/>
                <w:szCs w:val="18"/>
              </w:rPr>
              <w:t>空气污染情况</w:t>
            </w:r>
          </w:p>
        </w:tc>
        <w:tc>
          <w:tcPr>
            <w:tcW w:w="2003" w:type="dxa"/>
            <w:vAlign w:val="center"/>
          </w:tcPr>
          <w:p w14:paraId="632D13B5">
            <w:pPr>
              <w:widowControl/>
              <w:snapToGrid w:val="0"/>
              <w:jc w:val="center"/>
              <w:rPr>
                <w:rFonts w:hint="eastAsia" w:ascii="宋体" w:hAnsi="宋体" w:cs="宋体"/>
                <w:color w:val="000000"/>
                <w:kern w:val="0"/>
                <w:sz w:val="18"/>
                <w:szCs w:val="18"/>
              </w:rPr>
            </w:pPr>
            <w:r>
              <w:rPr>
                <w:rFonts w:hint="eastAsia" w:ascii="宋体" w:hAnsi="宋体" w:cs="宋体"/>
                <w:color w:val="000000"/>
                <w:kern w:val="0"/>
                <w:sz w:val="18"/>
                <w:szCs w:val="18"/>
              </w:rPr>
              <w:t>环境空气质量指标（6项）</w:t>
            </w:r>
          </w:p>
        </w:tc>
        <w:tc>
          <w:tcPr>
            <w:tcW w:w="1817" w:type="dxa"/>
            <w:vAlign w:val="center"/>
          </w:tcPr>
          <w:p w14:paraId="5359F4BF">
            <w:pPr>
              <w:widowControl/>
              <w:snapToGrid w:val="0"/>
              <w:jc w:val="center"/>
              <w:rPr>
                <w:rFonts w:hint="eastAsia" w:ascii="宋体" w:hAnsi="宋体" w:cs="宋体"/>
                <w:color w:val="000000"/>
                <w:kern w:val="0"/>
                <w:sz w:val="18"/>
                <w:szCs w:val="18"/>
              </w:rPr>
            </w:pPr>
            <w:r>
              <w:rPr>
                <w:rFonts w:hint="eastAsia" w:ascii="宋体" w:hAnsi="宋体" w:cs="宋体"/>
                <w:color w:val="000000"/>
                <w:kern w:val="0"/>
                <w:sz w:val="18"/>
                <w:szCs w:val="18"/>
              </w:rPr>
              <w:t>实地监测</w:t>
            </w:r>
          </w:p>
        </w:tc>
        <w:tc>
          <w:tcPr>
            <w:tcW w:w="1178" w:type="dxa"/>
            <w:vMerge w:val="continue"/>
            <w:vAlign w:val="center"/>
          </w:tcPr>
          <w:p w14:paraId="3D0F361A">
            <w:pPr>
              <w:widowControl/>
              <w:snapToGrid w:val="0"/>
              <w:jc w:val="center"/>
              <w:rPr>
                <w:rFonts w:hint="eastAsia" w:ascii="宋体" w:hAnsi="宋体" w:cs="宋体"/>
                <w:color w:val="000000"/>
                <w:kern w:val="0"/>
                <w:sz w:val="18"/>
                <w:szCs w:val="18"/>
              </w:rPr>
            </w:pPr>
          </w:p>
        </w:tc>
        <w:tc>
          <w:tcPr>
            <w:tcW w:w="1149" w:type="dxa"/>
            <w:vAlign w:val="center"/>
          </w:tcPr>
          <w:p w14:paraId="0B9B60CF">
            <w:pPr>
              <w:widowControl/>
              <w:snapToGrid w:val="0"/>
              <w:jc w:val="center"/>
              <w:rPr>
                <w:rFonts w:hint="eastAsia" w:ascii="宋体" w:hAnsi="宋体" w:cs="宋体"/>
                <w:color w:val="000000"/>
                <w:kern w:val="0"/>
                <w:sz w:val="18"/>
                <w:szCs w:val="18"/>
              </w:rPr>
            </w:pPr>
            <w:r>
              <w:rPr>
                <w:rFonts w:hint="eastAsia" w:ascii="宋体" w:hAnsi="宋体" w:cs="宋体"/>
                <w:color w:val="000000"/>
                <w:kern w:val="0"/>
                <w:sz w:val="18"/>
                <w:szCs w:val="18"/>
              </w:rPr>
              <w:t>共性指标</w:t>
            </w:r>
          </w:p>
          <w:p w14:paraId="62DDA51C">
            <w:pPr>
              <w:widowControl/>
              <w:snapToGrid w:val="0"/>
              <w:jc w:val="center"/>
              <w:rPr>
                <w:rFonts w:hint="eastAsia" w:ascii="宋体" w:hAnsi="宋体" w:cs="宋体"/>
                <w:color w:val="000000"/>
                <w:kern w:val="0"/>
                <w:sz w:val="18"/>
                <w:szCs w:val="18"/>
              </w:rPr>
            </w:pPr>
            <w:r>
              <w:rPr>
                <w:rFonts w:hint="eastAsia" w:ascii="宋体" w:hAnsi="宋体" w:cs="宋体"/>
                <w:color w:val="000000"/>
                <w:kern w:val="0"/>
                <w:sz w:val="18"/>
                <w:szCs w:val="18"/>
              </w:rPr>
              <w:t>必选</w:t>
            </w:r>
          </w:p>
        </w:tc>
      </w:tr>
      <w:tr w14:paraId="6950E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1045" w:type="dxa"/>
            <w:vMerge w:val="continue"/>
            <w:vAlign w:val="center"/>
          </w:tcPr>
          <w:p w14:paraId="5B44CF8E">
            <w:pPr>
              <w:widowControl/>
              <w:snapToGrid w:val="0"/>
              <w:jc w:val="center"/>
              <w:rPr>
                <w:rFonts w:hint="eastAsia" w:ascii="宋体" w:hAnsi="宋体" w:cs="宋体"/>
                <w:color w:val="000000"/>
                <w:kern w:val="0"/>
                <w:sz w:val="18"/>
                <w:szCs w:val="18"/>
              </w:rPr>
            </w:pPr>
          </w:p>
        </w:tc>
        <w:tc>
          <w:tcPr>
            <w:tcW w:w="1386" w:type="dxa"/>
            <w:vMerge w:val="restart"/>
            <w:vAlign w:val="center"/>
          </w:tcPr>
          <w:p w14:paraId="79DB60B6">
            <w:pPr>
              <w:widowControl/>
              <w:snapToGrid w:val="0"/>
              <w:jc w:val="center"/>
              <w:rPr>
                <w:rFonts w:hint="eastAsia" w:ascii="宋体" w:hAnsi="宋体" w:cs="宋体"/>
                <w:color w:val="000000"/>
                <w:kern w:val="0"/>
                <w:sz w:val="18"/>
                <w:szCs w:val="18"/>
              </w:rPr>
            </w:pPr>
            <w:r>
              <w:rPr>
                <w:rFonts w:hint="eastAsia" w:ascii="宋体" w:hAnsi="宋体" w:cs="宋体"/>
                <w:color w:val="000000"/>
                <w:kern w:val="0"/>
                <w:sz w:val="18"/>
                <w:szCs w:val="18"/>
              </w:rPr>
              <w:t>水污染情况</w:t>
            </w:r>
          </w:p>
        </w:tc>
        <w:tc>
          <w:tcPr>
            <w:tcW w:w="2003" w:type="dxa"/>
            <w:vAlign w:val="center"/>
          </w:tcPr>
          <w:p w14:paraId="701A160F">
            <w:pPr>
              <w:widowControl/>
              <w:snapToGrid w:val="0"/>
              <w:jc w:val="center"/>
              <w:rPr>
                <w:rFonts w:hint="eastAsia" w:ascii="宋体" w:hAnsi="宋体" w:cs="宋体"/>
                <w:color w:val="000000"/>
                <w:kern w:val="0"/>
                <w:sz w:val="18"/>
                <w:szCs w:val="18"/>
              </w:rPr>
            </w:pPr>
            <w:r>
              <w:rPr>
                <w:rFonts w:hint="eastAsia" w:ascii="宋体" w:hAnsi="宋体" w:cs="宋体"/>
                <w:color w:val="000000"/>
                <w:kern w:val="0"/>
                <w:sz w:val="18"/>
                <w:szCs w:val="18"/>
              </w:rPr>
              <w:t>地表水环境质量指标（24项）</w:t>
            </w:r>
          </w:p>
        </w:tc>
        <w:tc>
          <w:tcPr>
            <w:tcW w:w="1817" w:type="dxa"/>
            <w:vAlign w:val="center"/>
          </w:tcPr>
          <w:p w14:paraId="33CD25AD">
            <w:pPr>
              <w:widowControl/>
              <w:snapToGrid w:val="0"/>
              <w:jc w:val="center"/>
              <w:rPr>
                <w:rFonts w:hint="eastAsia" w:ascii="宋体" w:hAnsi="宋体" w:cs="宋体"/>
                <w:color w:val="000000"/>
                <w:kern w:val="0"/>
                <w:sz w:val="18"/>
                <w:szCs w:val="18"/>
              </w:rPr>
            </w:pPr>
            <w:r>
              <w:rPr>
                <w:rFonts w:hint="eastAsia" w:ascii="宋体" w:hAnsi="宋体" w:cs="宋体"/>
                <w:color w:val="000000"/>
                <w:kern w:val="0"/>
                <w:sz w:val="18"/>
                <w:szCs w:val="18"/>
              </w:rPr>
              <w:t>实地监测</w:t>
            </w:r>
          </w:p>
        </w:tc>
        <w:tc>
          <w:tcPr>
            <w:tcW w:w="1178" w:type="dxa"/>
            <w:vMerge w:val="continue"/>
            <w:vAlign w:val="center"/>
          </w:tcPr>
          <w:p w14:paraId="602B2ACC">
            <w:pPr>
              <w:widowControl/>
              <w:snapToGrid w:val="0"/>
              <w:jc w:val="center"/>
              <w:rPr>
                <w:rFonts w:hint="eastAsia" w:ascii="宋体" w:hAnsi="宋体" w:cs="宋体"/>
                <w:color w:val="000000"/>
                <w:kern w:val="0"/>
                <w:sz w:val="18"/>
                <w:szCs w:val="18"/>
              </w:rPr>
            </w:pPr>
          </w:p>
        </w:tc>
        <w:tc>
          <w:tcPr>
            <w:tcW w:w="1149" w:type="dxa"/>
            <w:vAlign w:val="center"/>
          </w:tcPr>
          <w:p w14:paraId="7315C2DA">
            <w:pPr>
              <w:widowControl/>
              <w:snapToGrid w:val="0"/>
              <w:jc w:val="center"/>
              <w:rPr>
                <w:rFonts w:hint="eastAsia" w:ascii="宋体" w:hAnsi="宋体" w:cs="宋体"/>
                <w:color w:val="000000"/>
                <w:kern w:val="0"/>
                <w:sz w:val="18"/>
                <w:szCs w:val="18"/>
              </w:rPr>
            </w:pPr>
            <w:r>
              <w:rPr>
                <w:rFonts w:hint="eastAsia" w:ascii="宋体" w:hAnsi="宋体" w:cs="宋体"/>
                <w:color w:val="000000"/>
                <w:kern w:val="0"/>
                <w:sz w:val="18"/>
                <w:szCs w:val="18"/>
              </w:rPr>
              <w:t>共性指标</w:t>
            </w:r>
          </w:p>
          <w:p w14:paraId="24E110DF">
            <w:pPr>
              <w:widowControl/>
              <w:snapToGrid w:val="0"/>
              <w:jc w:val="center"/>
              <w:rPr>
                <w:rFonts w:hint="eastAsia" w:ascii="宋体" w:hAnsi="宋体" w:cs="宋体"/>
                <w:color w:val="000000"/>
                <w:kern w:val="0"/>
                <w:sz w:val="18"/>
                <w:szCs w:val="18"/>
              </w:rPr>
            </w:pPr>
            <w:r>
              <w:rPr>
                <w:rFonts w:hint="eastAsia" w:ascii="宋体" w:hAnsi="宋体" w:cs="宋体"/>
                <w:color w:val="000000"/>
                <w:kern w:val="0"/>
                <w:sz w:val="18"/>
                <w:szCs w:val="18"/>
              </w:rPr>
              <w:t>必选</w:t>
            </w:r>
          </w:p>
        </w:tc>
      </w:tr>
      <w:tr w14:paraId="0084C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1045" w:type="dxa"/>
            <w:vMerge w:val="continue"/>
            <w:vAlign w:val="center"/>
          </w:tcPr>
          <w:p w14:paraId="60F6C1C9">
            <w:pPr>
              <w:widowControl/>
              <w:snapToGrid w:val="0"/>
              <w:jc w:val="center"/>
              <w:rPr>
                <w:rFonts w:hint="eastAsia" w:ascii="宋体" w:hAnsi="宋体" w:cs="宋体"/>
                <w:color w:val="000000"/>
                <w:kern w:val="0"/>
                <w:sz w:val="18"/>
                <w:szCs w:val="18"/>
              </w:rPr>
            </w:pPr>
          </w:p>
        </w:tc>
        <w:tc>
          <w:tcPr>
            <w:tcW w:w="1386" w:type="dxa"/>
            <w:vMerge w:val="continue"/>
            <w:vAlign w:val="center"/>
          </w:tcPr>
          <w:p w14:paraId="757538EC">
            <w:pPr>
              <w:widowControl/>
              <w:snapToGrid w:val="0"/>
              <w:jc w:val="center"/>
              <w:rPr>
                <w:rFonts w:hint="eastAsia" w:ascii="宋体" w:hAnsi="宋体" w:cs="宋体"/>
                <w:color w:val="000000"/>
                <w:kern w:val="0"/>
                <w:sz w:val="18"/>
                <w:szCs w:val="18"/>
              </w:rPr>
            </w:pPr>
          </w:p>
        </w:tc>
        <w:tc>
          <w:tcPr>
            <w:tcW w:w="2003" w:type="dxa"/>
            <w:vAlign w:val="center"/>
          </w:tcPr>
          <w:p w14:paraId="2D15AE12">
            <w:pPr>
              <w:widowControl/>
              <w:snapToGrid w:val="0"/>
              <w:jc w:val="center"/>
              <w:rPr>
                <w:rFonts w:hint="eastAsia" w:ascii="宋体" w:hAnsi="宋体" w:cs="宋体"/>
                <w:color w:val="000000"/>
                <w:kern w:val="0"/>
                <w:sz w:val="18"/>
                <w:szCs w:val="18"/>
              </w:rPr>
            </w:pPr>
            <w:r>
              <w:rPr>
                <w:rFonts w:hint="eastAsia" w:ascii="宋体" w:hAnsi="宋体" w:cs="宋体"/>
                <w:color w:val="000000"/>
                <w:kern w:val="0"/>
                <w:sz w:val="18"/>
                <w:szCs w:val="18"/>
              </w:rPr>
              <w:t>地下水环境质量指标（39项）</w:t>
            </w:r>
          </w:p>
        </w:tc>
        <w:tc>
          <w:tcPr>
            <w:tcW w:w="1817" w:type="dxa"/>
            <w:vAlign w:val="center"/>
          </w:tcPr>
          <w:p w14:paraId="33C3B797">
            <w:pPr>
              <w:widowControl/>
              <w:snapToGrid w:val="0"/>
              <w:jc w:val="center"/>
              <w:rPr>
                <w:rFonts w:hint="eastAsia" w:ascii="宋体" w:hAnsi="宋体" w:cs="宋体"/>
                <w:color w:val="000000"/>
                <w:kern w:val="0"/>
                <w:sz w:val="18"/>
                <w:szCs w:val="18"/>
              </w:rPr>
            </w:pPr>
            <w:r>
              <w:rPr>
                <w:rFonts w:hint="eastAsia" w:ascii="宋体" w:hAnsi="宋体" w:cs="宋体"/>
                <w:color w:val="000000"/>
                <w:kern w:val="0"/>
                <w:sz w:val="18"/>
                <w:szCs w:val="18"/>
              </w:rPr>
              <w:t>实地监测</w:t>
            </w:r>
          </w:p>
        </w:tc>
        <w:tc>
          <w:tcPr>
            <w:tcW w:w="1178" w:type="dxa"/>
            <w:vMerge w:val="continue"/>
            <w:vAlign w:val="center"/>
          </w:tcPr>
          <w:p w14:paraId="7666E788">
            <w:pPr>
              <w:widowControl/>
              <w:snapToGrid w:val="0"/>
              <w:jc w:val="center"/>
              <w:rPr>
                <w:rFonts w:hint="eastAsia" w:ascii="宋体" w:hAnsi="宋体" w:cs="宋体"/>
                <w:color w:val="000000"/>
                <w:kern w:val="0"/>
                <w:sz w:val="18"/>
                <w:szCs w:val="18"/>
              </w:rPr>
            </w:pPr>
          </w:p>
        </w:tc>
        <w:tc>
          <w:tcPr>
            <w:tcW w:w="1149" w:type="dxa"/>
            <w:vAlign w:val="center"/>
          </w:tcPr>
          <w:p w14:paraId="64CD37C7">
            <w:pPr>
              <w:widowControl/>
              <w:snapToGrid w:val="0"/>
              <w:jc w:val="center"/>
              <w:rPr>
                <w:rFonts w:hint="eastAsia" w:ascii="宋体" w:hAnsi="宋体" w:cs="宋体"/>
                <w:color w:val="000000"/>
                <w:kern w:val="0"/>
                <w:sz w:val="18"/>
                <w:szCs w:val="18"/>
              </w:rPr>
            </w:pPr>
            <w:r>
              <w:rPr>
                <w:rFonts w:hint="eastAsia" w:ascii="宋体" w:hAnsi="宋体" w:cs="宋体"/>
                <w:color w:val="000000"/>
                <w:kern w:val="0"/>
                <w:sz w:val="18"/>
                <w:szCs w:val="18"/>
              </w:rPr>
              <w:t>共性指标</w:t>
            </w:r>
          </w:p>
          <w:p w14:paraId="2FE1B25F">
            <w:pPr>
              <w:widowControl/>
              <w:snapToGrid w:val="0"/>
              <w:jc w:val="center"/>
              <w:rPr>
                <w:rFonts w:hint="eastAsia" w:ascii="宋体" w:hAnsi="宋体" w:cs="宋体"/>
                <w:color w:val="000000"/>
                <w:kern w:val="0"/>
                <w:sz w:val="18"/>
                <w:szCs w:val="18"/>
              </w:rPr>
            </w:pPr>
            <w:r>
              <w:rPr>
                <w:rFonts w:hint="eastAsia" w:ascii="宋体" w:hAnsi="宋体" w:cs="宋体"/>
                <w:color w:val="000000"/>
                <w:kern w:val="0"/>
                <w:sz w:val="18"/>
                <w:szCs w:val="18"/>
              </w:rPr>
              <w:t>可选</w:t>
            </w:r>
          </w:p>
        </w:tc>
      </w:tr>
      <w:tr w14:paraId="6E824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1045" w:type="dxa"/>
            <w:vMerge w:val="continue"/>
            <w:vAlign w:val="center"/>
          </w:tcPr>
          <w:p w14:paraId="0004EC2C">
            <w:pPr>
              <w:widowControl/>
              <w:snapToGrid w:val="0"/>
              <w:jc w:val="center"/>
              <w:rPr>
                <w:rFonts w:hint="eastAsia" w:ascii="宋体" w:hAnsi="宋体" w:cs="宋体"/>
                <w:color w:val="000000"/>
                <w:kern w:val="0"/>
                <w:sz w:val="18"/>
                <w:szCs w:val="18"/>
              </w:rPr>
            </w:pPr>
          </w:p>
        </w:tc>
        <w:tc>
          <w:tcPr>
            <w:tcW w:w="1386" w:type="dxa"/>
            <w:vAlign w:val="center"/>
          </w:tcPr>
          <w:p w14:paraId="57E50DAE">
            <w:pPr>
              <w:widowControl/>
              <w:snapToGrid w:val="0"/>
              <w:jc w:val="center"/>
              <w:rPr>
                <w:rFonts w:hint="eastAsia" w:ascii="宋体" w:hAnsi="宋体" w:cs="宋体"/>
                <w:color w:val="000000"/>
                <w:kern w:val="0"/>
                <w:sz w:val="18"/>
                <w:szCs w:val="18"/>
              </w:rPr>
            </w:pPr>
            <w:r>
              <w:rPr>
                <w:rFonts w:hint="eastAsia" w:ascii="宋体" w:hAnsi="宋体" w:cs="宋体"/>
                <w:color w:val="000000"/>
                <w:kern w:val="0"/>
                <w:sz w:val="18"/>
                <w:szCs w:val="18"/>
              </w:rPr>
              <w:t>土壤污染情况</w:t>
            </w:r>
          </w:p>
        </w:tc>
        <w:tc>
          <w:tcPr>
            <w:tcW w:w="2003" w:type="dxa"/>
            <w:vAlign w:val="center"/>
          </w:tcPr>
          <w:p w14:paraId="094AAC4F">
            <w:pPr>
              <w:widowControl/>
              <w:snapToGrid w:val="0"/>
              <w:jc w:val="center"/>
              <w:rPr>
                <w:rFonts w:hint="eastAsia" w:ascii="宋体" w:hAnsi="宋体" w:cs="宋体"/>
                <w:color w:val="000000"/>
                <w:kern w:val="0"/>
                <w:sz w:val="18"/>
                <w:szCs w:val="18"/>
              </w:rPr>
            </w:pPr>
            <w:r>
              <w:rPr>
                <w:rFonts w:hint="eastAsia" w:ascii="宋体" w:hAnsi="宋体" w:cs="宋体"/>
                <w:color w:val="000000"/>
                <w:kern w:val="0"/>
                <w:sz w:val="18"/>
                <w:szCs w:val="18"/>
              </w:rPr>
              <w:t>土壤环境质量指标（8项）</w:t>
            </w:r>
          </w:p>
        </w:tc>
        <w:tc>
          <w:tcPr>
            <w:tcW w:w="1817" w:type="dxa"/>
            <w:vAlign w:val="center"/>
          </w:tcPr>
          <w:p w14:paraId="10C102F5">
            <w:pPr>
              <w:widowControl/>
              <w:snapToGrid w:val="0"/>
              <w:jc w:val="center"/>
              <w:rPr>
                <w:rFonts w:hint="eastAsia" w:ascii="宋体" w:hAnsi="宋体" w:cs="宋体"/>
                <w:color w:val="000000"/>
                <w:kern w:val="0"/>
                <w:sz w:val="18"/>
                <w:szCs w:val="18"/>
              </w:rPr>
            </w:pPr>
            <w:r>
              <w:rPr>
                <w:rFonts w:hint="eastAsia" w:ascii="宋体" w:hAnsi="宋体" w:cs="宋体"/>
                <w:color w:val="000000"/>
                <w:kern w:val="0"/>
                <w:sz w:val="18"/>
                <w:szCs w:val="18"/>
              </w:rPr>
              <w:t>实地监测</w:t>
            </w:r>
          </w:p>
        </w:tc>
        <w:tc>
          <w:tcPr>
            <w:tcW w:w="1178" w:type="dxa"/>
            <w:vMerge w:val="continue"/>
            <w:vAlign w:val="center"/>
          </w:tcPr>
          <w:p w14:paraId="579B2394">
            <w:pPr>
              <w:widowControl/>
              <w:snapToGrid w:val="0"/>
              <w:jc w:val="center"/>
              <w:rPr>
                <w:rFonts w:hint="eastAsia" w:ascii="宋体" w:hAnsi="宋体" w:cs="宋体"/>
                <w:color w:val="000000"/>
                <w:kern w:val="0"/>
                <w:sz w:val="18"/>
                <w:szCs w:val="18"/>
              </w:rPr>
            </w:pPr>
          </w:p>
        </w:tc>
        <w:tc>
          <w:tcPr>
            <w:tcW w:w="1149" w:type="dxa"/>
            <w:vAlign w:val="center"/>
          </w:tcPr>
          <w:p w14:paraId="75B0D5E8">
            <w:pPr>
              <w:widowControl/>
              <w:snapToGrid w:val="0"/>
              <w:jc w:val="center"/>
              <w:rPr>
                <w:rFonts w:hint="eastAsia" w:ascii="宋体" w:hAnsi="宋体" w:cs="宋体"/>
                <w:color w:val="000000"/>
                <w:kern w:val="0"/>
                <w:sz w:val="18"/>
                <w:szCs w:val="18"/>
              </w:rPr>
            </w:pPr>
            <w:r>
              <w:rPr>
                <w:rFonts w:hint="eastAsia" w:ascii="宋体" w:hAnsi="宋体" w:cs="宋体"/>
                <w:color w:val="000000"/>
                <w:kern w:val="0"/>
                <w:sz w:val="18"/>
                <w:szCs w:val="18"/>
              </w:rPr>
              <w:t>个性指标</w:t>
            </w:r>
          </w:p>
          <w:p w14:paraId="1C0B09C3">
            <w:pPr>
              <w:widowControl/>
              <w:snapToGrid w:val="0"/>
              <w:jc w:val="center"/>
              <w:rPr>
                <w:rFonts w:hint="eastAsia" w:ascii="宋体" w:hAnsi="宋体" w:cs="宋体"/>
                <w:color w:val="000000"/>
                <w:kern w:val="0"/>
                <w:sz w:val="18"/>
                <w:szCs w:val="18"/>
              </w:rPr>
            </w:pPr>
            <w:r>
              <w:rPr>
                <w:rFonts w:hint="eastAsia" w:ascii="宋体" w:hAnsi="宋体" w:cs="宋体"/>
                <w:color w:val="000000"/>
                <w:kern w:val="0"/>
                <w:sz w:val="18"/>
                <w:szCs w:val="18"/>
              </w:rPr>
              <w:t>可选</w:t>
            </w:r>
          </w:p>
        </w:tc>
      </w:tr>
      <w:tr w14:paraId="28629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1045" w:type="dxa"/>
            <w:vMerge w:val="continue"/>
            <w:vAlign w:val="center"/>
          </w:tcPr>
          <w:p w14:paraId="17035B90">
            <w:pPr>
              <w:widowControl/>
              <w:snapToGrid w:val="0"/>
              <w:jc w:val="center"/>
              <w:rPr>
                <w:rFonts w:hint="eastAsia" w:ascii="宋体" w:hAnsi="宋体" w:cs="宋体"/>
                <w:color w:val="000000"/>
                <w:kern w:val="0"/>
                <w:sz w:val="18"/>
                <w:szCs w:val="18"/>
              </w:rPr>
            </w:pPr>
          </w:p>
        </w:tc>
        <w:tc>
          <w:tcPr>
            <w:tcW w:w="1386" w:type="dxa"/>
            <w:vAlign w:val="center"/>
          </w:tcPr>
          <w:p w14:paraId="76DC55E3">
            <w:pPr>
              <w:widowControl/>
              <w:snapToGrid w:val="0"/>
              <w:jc w:val="center"/>
              <w:rPr>
                <w:rFonts w:hint="eastAsia" w:ascii="宋体" w:hAnsi="宋体" w:cs="宋体"/>
                <w:color w:val="000000"/>
                <w:kern w:val="0"/>
                <w:sz w:val="18"/>
                <w:szCs w:val="18"/>
              </w:rPr>
            </w:pPr>
            <w:r>
              <w:rPr>
                <w:rFonts w:hint="eastAsia" w:ascii="宋体" w:hAnsi="宋体" w:cs="宋体"/>
                <w:color w:val="000000"/>
                <w:kern w:val="0"/>
                <w:sz w:val="18"/>
                <w:szCs w:val="18"/>
              </w:rPr>
              <w:t>＞25度坡耕地面积比例</w:t>
            </w:r>
          </w:p>
        </w:tc>
        <w:tc>
          <w:tcPr>
            <w:tcW w:w="2003" w:type="dxa"/>
            <w:vAlign w:val="center"/>
          </w:tcPr>
          <w:p w14:paraId="7DD7D69A">
            <w:pPr>
              <w:widowControl/>
              <w:snapToGrid w:val="0"/>
              <w:jc w:val="center"/>
              <w:rPr>
                <w:rFonts w:hint="eastAsia" w:ascii="宋体" w:hAnsi="宋体" w:cs="宋体"/>
                <w:color w:val="000000"/>
                <w:kern w:val="0"/>
                <w:sz w:val="18"/>
                <w:szCs w:val="18"/>
              </w:rPr>
            </w:pPr>
            <w:r>
              <w:rPr>
                <w:rFonts w:hint="eastAsia" w:ascii="宋体" w:hAnsi="宋体" w:cs="宋体"/>
                <w:color w:val="000000"/>
                <w:kern w:val="0"/>
                <w:sz w:val="18"/>
                <w:szCs w:val="18"/>
              </w:rPr>
              <w:t>＞25度坡耕地面积</w:t>
            </w:r>
          </w:p>
        </w:tc>
        <w:tc>
          <w:tcPr>
            <w:tcW w:w="1817" w:type="dxa"/>
            <w:vAlign w:val="center"/>
          </w:tcPr>
          <w:p w14:paraId="5C50DCF0">
            <w:pPr>
              <w:widowControl/>
              <w:snapToGrid w:val="0"/>
              <w:jc w:val="center"/>
              <w:rPr>
                <w:rFonts w:hint="eastAsia" w:ascii="宋体" w:hAnsi="宋体" w:cs="宋体"/>
                <w:color w:val="000000"/>
                <w:kern w:val="0"/>
                <w:sz w:val="18"/>
                <w:szCs w:val="18"/>
              </w:rPr>
            </w:pPr>
            <w:r>
              <w:rPr>
                <w:rFonts w:hint="eastAsia" w:ascii="宋体" w:hAnsi="宋体" w:cs="宋体"/>
                <w:color w:val="000000"/>
                <w:kern w:val="0"/>
                <w:sz w:val="18"/>
                <w:szCs w:val="18"/>
              </w:rPr>
              <w:t>实地监测</w:t>
            </w:r>
          </w:p>
        </w:tc>
        <w:tc>
          <w:tcPr>
            <w:tcW w:w="1178" w:type="dxa"/>
            <w:vMerge w:val="continue"/>
            <w:vAlign w:val="center"/>
          </w:tcPr>
          <w:p w14:paraId="2538BAEE">
            <w:pPr>
              <w:widowControl/>
              <w:snapToGrid w:val="0"/>
              <w:jc w:val="center"/>
              <w:rPr>
                <w:rFonts w:hint="eastAsia" w:ascii="宋体" w:hAnsi="宋体" w:cs="宋体"/>
                <w:color w:val="000000"/>
                <w:kern w:val="0"/>
                <w:sz w:val="18"/>
                <w:szCs w:val="18"/>
              </w:rPr>
            </w:pPr>
          </w:p>
        </w:tc>
        <w:tc>
          <w:tcPr>
            <w:tcW w:w="1149" w:type="dxa"/>
            <w:vAlign w:val="center"/>
          </w:tcPr>
          <w:p w14:paraId="0C680AD7">
            <w:pPr>
              <w:widowControl/>
              <w:snapToGrid w:val="0"/>
              <w:jc w:val="center"/>
              <w:rPr>
                <w:rFonts w:hint="eastAsia" w:ascii="宋体" w:hAnsi="宋体" w:cs="宋体"/>
                <w:color w:val="000000"/>
                <w:kern w:val="0"/>
                <w:sz w:val="18"/>
                <w:szCs w:val="18"/>
              </w:rPr>
            </w:pPr>
            <w:r>
              <w:rPr>
                <w:rFonts w:hint="eastAsia" w:ascii="宋体" w:hAnsi="宋体" w:cs="宋体"/>
                <w:color w:val="000000"/>
                <w:kern w:val="0"/>
                <w:sz w:val="18"/>
                <w:szCs w:val="18"/>
              </w:rPr>
              <w:t>个性指标</w:t>
            </w:r>
          </w:p>
          <w:p w14:paraId="0E748D6F">
            <w:pPr>
              <w:widowControl/>
              <w:snapToGrid w:val="0"/>
              <w:jc w:val="center"/>
              <w:rPr>
                <w:rFonts w:hint="eastAsia" w:ascii="宋体" w:hAnsi="宋体" w:cs="宋体"/>
                <w:color w:val="000000"/>
                <w:kern w:val="0"/>
                <w:sz w:val="18"/>
                <w:szCs w:val="18"/>
              </w:rPr>
            </w:pPr>
            <w:r>
              <w:rPr>
                <w:rFonts w:hint="eastAsia" w:ascii="宋体" w:hAnsi="宋体" w:cs="宋体"/>
                <w:color w:val="000000"/>
                <w:kern w:val="0"/>
                <w:sz w:val="18"/>
                <w:szCs w:val="18"/>
              </w:rPr>
              <w:t>可选</w:t>
            </w:r>
          </w:p>
        </w:tc>
      </w:tr>
      <w:tr w14:paraId="1B875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1045" w:type="dxa"/>
            <w:vMerge w:val="continue"/>
            <w:vAlign w:val="center"/>
          </w:tcPr>
          <w:p w14:paraId="6A7CE414">
            <w:pPr>
              <w:widowControl/>
              <w:snapToGrid w:val="0"/>
              <w:jc w:val="center"/>
              <w:rPr>
                <w:rFonts w:hint="eastAsia" w:ascii="宋体" w:hAnsi="宋体" w:cs="宋体"/>
                <w:color w:val="000000"/>
                <w:kern w:val="0"/>
                <w:sz w:val="18"/>
                <w:szCs w:val="18"/>
              </w:rPr>
            </w:pPr>
          </w:p>
        </w:tc>
        <w:tc>
          <w:tcPr>
            <w:tcW w:w="1386" w:type="dxa"/>
            <w:vAlign w:val="center"/>
          </w:tcPr>
          <w:p w14:paraId="5446C71B">
            <w:pPr>
              <w:widowControl/>
              <w:snapToGrid w:val="0"/>
              <w:jc w:val="center"/>
              <w:rPr>
                <w:rFonts w:hint="eastAsia" w:ascii="宋体" w:hAnsi="宋体" w:cs="宋体"/>
                <w:color w:val="000000"/>
                <w:kern w:val="0"/>
                <w:sz w:val="18"/>
                <w:szCs w:val="18"/>
              </w:rPr>
            </w:pPr>
            <w:r>
              <w:rPr>
                <w:rFonts w:hint="eastAsia" w:ascii="宋体" w:hAnsi="宋体" w:cs="宋体"/>
                <w:color w:val="000000"/>
                <w:kern w:val="0"/>
                <w:sz w:val="18"/>
                <w:szCs w:val="18"/>
              </w:rPr>
              <w:t>地质安全保障情况</w:t>
            </w:r>
          </w:p>
        </w:tc>
        <w:tc>
          <w:tcPr>
            <w:tcW w:w="2003" w:type="dxa"/>
            <w:vAlign w:val="center"/>
          </w:tcPr>
          <w:p w14:paraId="3A51299B">
            <w:pPr>
              <w:widowControl/>
              <w:snapToGrid w:val="0"/>
              <w:jc w:val="center"/>
              <w:rPr>
                <w:rFonts w:hint="eastAsia" w:ascii="宋体" w:hAnsi="宋体" w:cs="宋体"/>
                <w:color w:val="000000"/>
                <w:kern w:val="0"/>
                <w:sz w:val="18"/>
                <w:szCs w:val="18"/>
              </w:rPr>
            </w:pPr>
            <w:r>
              <w:rPr>
                <w:rFonts w:hint="eastAsia" w:ascii="宋体" w:hAnsi="宋体" w:cs="宋体"/>
                <w:color w:val="000000"/>
                <w:kern w:val="0"/>
                <w:sz w:val="18"/>
                <w:szCs w:val="18"/>
              </w:rPr>
              <w:t>地质安全隐患数量</w:t>
            </w:r>
          </w:p>
        </w:tc>
        <w:tc>
          <w:tcPr>
            <w:tcW w:w="1817" w:type="dxa"/>
            <w:vAlign w:val="center"/>
          </w:tcPr>
          <w:p w14:paraId="56B5EE22">
            <w:pPr>
              <w:widowControl/>
              <w:snapToGrid w:val="0"/>
              <w:jc w:val="center"/>
              <w:rPr>
                <w:rFonts w:hint="eastAsia" w:ascii="宋体" w:hAnsi="宋体" w:cs="宋体"/>
                <w:color w:val="000000"/>
                <w:kern w:val="0"/>
                <w:sz w:val="18"/>
                <w:szCs w:val="18"/>
              </w:rPr>
            </w:pPr>
            <w:r>
              <w:rPr>
                <w:rFonts w:hint="eastAsia" w:ascii="宋体" w:hAnsi="宋体" w:cs="宋体"/>
                <w:color w:val="000000"/>
                <w:kern w:val="0"/>
                <w:sz w:val="18"/>
                <w:szCs w:val="18"/>
              </w:rPr>
              <w:t>实地监测</w:t>
            </w:r>
          </w:p>
        </w:tc>
        <w:tc>
          <w:tcPr>
            <w:tcW w:w="1178" w:type="dxa"/>
            <w:vMerge w:val="continue"/>
            <w:vAlign w:val="center"/>
          </w:tcPr>
          <w:p w14:paraId="1C7D6B7D">
            <w:pPr>
              <w:widowControl/>
              <w:snapToGrid w:val="0"/>
              <w:jc w:val="center"/>
              <w:rPr>
                <w:rFonts w:hint="eastAsia" w:ascii="宋体" w:hAnsi="宋体" w:cs="宋体"/>
                <w:color w:val="000000"/>
                <w:kern w:val="0"/>
                <w:sz w:val="18"/>
                <w:szCs w:val="18"/>
              </w:rPr>
            </w:pPr>
          </w:p>
        </w:tc>
        <w:tc>
          <w:tcPr>
            <w:tcW w:w="1149" w:type="dxa"/>
            <w:vAlign w:val="center"/>
          </w:tcPr>
          <w:p w14:paraId="12916BC9">
            <w:pPr>
              <w:widowControl/>
              <w:snapToGrid w:val="0"/>
              <w:jc w:val="center"/>
              <w:rPr>
                <w:rFonts w:hint="eastAsia" w:ascii="宋体" w:hAnsi="宋体" w:cs="宋体"/>
                <w:color w:val="000000"/>
                <w:kern w:val="0"/>
                <w:sz w:val="18"/>
                <w:szCs w:val="18"/>
              </w:rPr>
            </w:pPr>
            <w:r>
              <w:rPr>
                <w:rFonts w:hint="eastAsia" w:ascii="宋体" w:hAnsi="宋体" w:cs="宋体"/>
                <w:color w:val="000000"/>
                <w:kern w:val="0"/>
                <w:sz w:val="18"/>
                <w:szCs w:val="18"/>
              </w:rPr>
              <w:t>个性指标</w:t>
            </w:r>
          </w:p>
          <w:p w14:paraId="6FE0BB88">
            <w:pPr>
              <w:widowControl/>
              <w:snapToGrid w:val="0"/>
              <w:jc w:val="center"/>
              <w:rPr>
                <w:rFonts w:hint="eastAsia" w:ascii="宋体" w:hAnsi="宋体" w:cs="宋体"/>
                <w:color w:val="000000"/>
                <w:kern w:val="0"/>
                <w:sz w:val="18"/>
                <w:szCs w:val="18"/>
              </w:rPr>
            </w:pPr>
            <w:r>
              <w:rPr>
                <w:rFonts w:hint="eastAsia" w:ascii="宋体" w:hAnsi="宋体" w:cs="宋体"/>
                <w:color w:val="000000"/>
                <w:kern w:val="0"/>
                <w:sz w:val="18"/>
                <w:szCs w:val="18"/>
              </w:rPr>
              <w:t>可选</w:t>
            </w:r>
          </w:p>
        </w:tc>
      </w:tr>
      <w:tr w14:paraId="03FA7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1045" w:type="dxa"/>
            <w:vMerge w:val="restart"/>
            <w:vAlign w:val="center"/>
          </w:tcPr>
          <w:p w14:paraId="31E719F0">
            <w:pPr>
              <w:widowControl/>
              <w:snapToGrid w:val="0"/>
              <w:jc w:val="center"/>
              <w:rPr>
                <w:rFonts w:hint="eastAsia" w:ascii="宋体" w:hAnsi="宋体" w:cs="宋体"/>
                <w:color w:val="000000"/>
                <w:kern w:val="0"/>
                <w:sz w:val="18"/>
                <w:szCs w:val="18"/>
              </w:rPr>
            </w:pPr>
            <w:r>
              <w:rPr>
                <w:rFonts w:hint="eastAsia" w:ascii="宋体" w:hAnsi="宋体" w:cs="宋体"/>
                <w:color w:val="000000"/>
                <w:kern w:val="0"/>
                <w:sz w:val="18"/>
                <w:szCs w:val="18"/>
              </w:rPr>
              <w:t>景观格局</w:t>
            </w:r>
          </w:p>
        </w:tc>
        <w:tc>
          <w:tcPr>
            <w:tcW w:w="1386" w:type="dxa"/>
            <w:vMerge w:val="restart"/>
            <w:vAlign w:val="center"/>
          </w:tcPr>
          <w:p w14:paraId="09DAE641">
            <w:pPr>
              <w:widowControl/>
              <w:snapToGrid w:val="0"/>
              <w:jc w:val="center"/>
              <w:rPr>
                <w:rFonts w:hint="eastAsia" w:ascii="宋体" w:hAnsi="宋体" w:cs="宋体"/>
                <w:color w:val="000000"/>
                <w:kern w:val="0"/>
                <w:sz w:val="18"/>
                <w:szCs w:val="18"/>
              </w:rPr>
            </w:pPr>
            <w:r>
              <w:rPr>
                <w:rFonts w:hint="eastAsia" w:ascii="宋体" w:hAnsi="宋体" w:cs="宋体"/>
                <w:color w:val="000000"/>
                <w:kern w:val="0"/>
                <w:sz w:val="18"/>
                <w:szCs w:val="18"/>
              </w:rPr>
              <w:t>生态系统构成及变化</w:t>
            </w:r>
          </w:p>
        </w:tc>
        <w:tc>
          <w:tcPr>
            <w:tcW w:w="2003" w:type="dxa"/>
            <w:vAlign w:val="center"/>
          </w:tcPr>
          <w:p w14:paraId="2DC00BD4">
            <w:pPr>
              <w:widowControl/>
              <w:snapToGrid w:val="0"/>
              <w:jc w:val="center"/>
              <w:rPr>
                <w:rFonts w:hint="eastAsia" w:ascii="宋体" w:hAnsi="宋体" w:cs="宋体"/>
                <w:color w:val="000000"/>
                <w:kern w:val="0"/>
                <w:sz w:val="18"/>
                <w:szCs w:val="18"/>
              </w:rPr>
            </w:pPr>
            <w:r>
              <w:rPr>
                <w:rFonts w:hint="eastAsia" w:ascii="宋体" w:hAnsi="宋体" w:cs="宋体"/>
                <w:color w:val="000000"/>
                <w:kern w:val="0"/>
                <w:sz w:val="18"/>
                <w:szCs w:val="18"/>
              </w:rPr>
              <w:t>生态系统类型数量</w:t>
            </w:r>
          </w:p>
        </w:tc>
        <w:tc>
          <w:tcPr>
            <w:tcW w:w="1817" w:type="dxa"/>
            <w:vAlign w:val="center"/>
          </w:tcPr>
          <w:p w14:paraId="3B92910B">
            <w:pPr>
              <w:widowControl/>
              <w:snapToGrid w:val="0"/>
              <w:jc w:val="center"/>
              <w:rPr>
                <w:rFonts w:hint="eastAsia" w:ascii="宋体" w:hAnsi="宋体" w:cs="宋体"/>
                <w:color w:val="000000"/>
                <w:kern w:val="0"/>
                <w:sz w:val="18"/>
                <w:szCs w:val="18"/>
              </w:rPr>
            </w:pPr>
            <w:r>
              <w:rPr>
                <w:rFonts w:hint="eastAsia" w:ascii="宋体" w:hAnsi="宋体" w:cs="宋体"/>
                <w:color w:val="000000"/>
                <w:kern w:val="0"/>
                <w:sz w:val="18"/>
                <w:szCs w:val="18"/>
              </w:rPr>
              <w:t>遥感监测，模型测算</w:t>
            </w:r>
          </w:p>
        </w:tc>
        <w:tc>
          <w:tcPr>
            <w:tcW w:w="1178" w:type="dxa"/>
            <w:vMerge w:val="restart"/>
            <w:vAlign w:val="center"/>
          </w:tcPr>
          <w:p w14:paraId="00D32259">
            <w:pPr>
              <w:widowControl/>
              <w:snapToGrid w:val="0"/>
              <w:jc w:val="center"/>
              <w:rPr>
                <w:rFonts w:hint="eastAsia" w:ascii="宋体" w:hAnsi="宋体" w:cs="宋体"/>
                <w:color w:val="000000"/>
                <w:kern w:val="0"/>
                <w:sz w:val="18"/>
                <w:szCs w:val="18"/>
              </w:rPr>
            </w:pPr>
            <w:r>
              <w:rPr>
                <w:rFonts w:hint="eastAsia" w:ascii="宋体" w:hAnsi="宋体" w:cs="宋体"/>
                <w:color w:val="000000"/>
                <w:kern w:val="0"/>
                <w:sz w:val="18"/>
                <w:szCs w:val="18"/>
              </w:rPr>
              <w:t>工程范围尺度</w:t>
            </w:r>
          </w:p>
        </w:tc>
        <w:tc>
          <w:tcPr>
            <w:tcW w:w="1149" w:type="dxa"/>
            <w:vAlign w:val="center"/>
          </w:tcPr>
          <w:p w14:paraId="3ED97185">
            <w:pPr>
              <w:widowControl/>
              <w:snapToGrid w:val="0"/>
              <w:jc w:val="center"/>
              <w:rPr>
                <w:rFonts w:hint="eastAsia" w:ascii="宋体" w:hAnsi="宋体" w:cs="宋体"/>
                <w:color w:val="000000"/>
                <w:kern w:val="0"/>
                <w:sz w:val="18"/>
                <w:szCs w:val="18"/>
              </w:rPr>
            </w:pPr>
            <w:r>
              <w:rPr>
                <w:rFonts w:hint="eastAsia" w:ascii="宋体" w:hAnsi="宋体" w:cs="宋体"/>
                <w:color w:val="000000"/>
                <w:kern w:val="0"/>
                <w:sz w:val="18"/>
                <w:szCs w:val="18"/>
              </w:rPr>
              <w:t>共性指标</w:t>
            </w:r>
          </w:p>
          <w:p w14:paraId="36E4D635">
            <w:pPr>
              <w:widowControl/>
              <w:snapToGrid w:val="0"/>
              <w:jc w:val="center"/>
              <w:rPr>
                <w:rFonts w:hint="eastAsia" w:ascii="宋体" w:hAnsi="宋体" w:cs="宋体"/>
                <w:color w:val="000000"/>
                <w:kern w:val="0"/>
                <w:sz w:val="18"/>
                <w:szCs w:val="18"/>
              </w:rPr>
            </w:pPr>
            <w:r>
              <w:rPr>
                <w:rFonts w:hint="eastAsia" w:ascii="宋体" w:hAnsi="宋体" w:cs="宋体"/>
                <w:color w:val="000000"/>
                <w:kern w:val="0"/>
                <w:sz w:val="18"/>
                <w:szCs w:val="18"/>
              </w:rPr>
              <w:t>必选</w:t>
            </w:r>
          </w:p>
        </w:tc>
      </w:tr>
      <w:tr w14:paraId="4EACA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1045" w:type="dxa"/>
            <w:vMerge w:val="continue"/>
            <w:vAlign w:val="center"/>
          </w:tcPr>
          <w:p w14:paraId="3B4807F7">
            <w:pPr>
              <w:widowControl/>
              <w:snapToGrid w:val="0"/>
              <w:jc w:val="center"/>
              <w:rPr>
                <w:rFonts w:hint="eastAsia" w:ascii="宋体" w:hAnsi="宋体" w:cs="宋体"/>
                <w:color w:val="000000"/>
                <w:kern w:val="0"/>
                <w:sz w:val="18"/>
                <w:szCs w:val="18"/>
              </w:rPr>
            </w:pPr>
          </w:p>
        </w:tc>
        <w:tc>
          <w:tcPr>
            <w:tcW w:w="1386" w:type="dxa"/>
            <w:vMerge w:val="continue"/>
            <w:vAlign w:val="center"/>
          </w:tcPr>
          <w:p w14:paraId="5566517E">
            <w:pPr>
              <w:widowControl/>
              <w:snapToGrid w:val="0"/>
              <w:jc w:val="center"/>
              <w:rPr>
                <w:rFonts w:hint="eastAsia" w:ascii="宋体" w:hAnsi="宋体" w:cs="宋体"/>
                <w:color w:val="000000"/>
                <w:kern w:val="0"/>
                <w:sz w:val="18"/>
                <w:szCs w:val="18"/>
              </w:rPr>
            </w:pPr>
          </w:p>
        </w:tc>
        <w:tc>
          <w:tcPr>
            <w:tcW w:w="2003" w:type="dxa"/>
            <w:vAlign w:val="center"/>
          </w:tcPr>
          <w:p w14:paraId="5151228B">
            <w:pPr>
              <w:widowControl/>
              <w:snapToGrid w:val="0"/>
              <w:jc w:val="center"/>
              <w:rPr>
                <w:rFonts w:hint="eastAsia" w:ascii="宋体" w:hAnsi="宋体" w:cs="宋体"/>
                <w:color w:val="000000"/>
                <w:kern w:val="0"/>
                <w:sz w:val="18"/>
                <w:szCs w:val="18"/>
              </w:rPr>
            </w:pPr>
            <w:r>
              <w:rPr>
                <w:rFonts w:hint="eastAsia" w:ascii="宋体" w:hAnsi="宋体" w:cs="宋体"/>
                <w:color w:val="000000"/>
                <w:kern w:val="0"/>
                <w:sz w:val="18"/>
                <w:szCs w:val="18"/>
              </w:rPr>
              <w:t>不同类型生态系统面积</w:t>
            </w:r>
          </w:p>
        </w:tc>
        <w:tc>
          <w:tcPr>
            <w:tcW w:w="1817" w:type="dxa"/>
            <w:vAlign w:val="center"/>
          </w:tcPr>
          <w:p w14:paraId="30A70B2F">
            <w:pPr>
              <w:widowControl/>
              <w:snapToGrid w:val="0"/>
              <w:jc w:val="center"/>
              <w:rPr>
                <w:rFonts w:hint="eastAsia" w:ascii="宋体" w:hAnsi="宋体" w:cs="宋体"/>
                <w:color w:val="000000"/>
                <w:kern w:val="0"/>
                <w:sz w:val="18"/>
                <w:szCs w:val="18"/>
              </w:rPr>
            </w:pPr>
            <w:r>
              <w:rPr>
                <w:rFonts w:hint="eastAsia" w:ascii="宋体" w:hAnsi="宋体" w:cs="宋体"/>
                <w:color w:val="000000"/>
                <w:kern w:val="0"/>
                <w:sz w:val="18"/>
                <w:szCs w:val="18"/>
              </w:rPr>
              <w:t>遥感监测，模型测算</w:t>
            </w:r>
          </w:p>
        </w:tc>
        <w:tc>
          <w:tcPr>
            <w:tcW w:w="1178" w:type="dxa"/>
            <w:vMerge w:val="continue"/>
            <w:vAlign w:val="center"/>
          </w:tcPr>
          <w:p w14:paraId="1364D801">
            <w:pPr>
              <w:widowControl/>
              <w:snapToGrid w:val="0"/>
              <w:jc w:val="center"/>
              <w:rPr>
                <w:rFonts w:hint="eastAsia" w:ascii="宋体" w:hAnsi="宋体" w:cs="宋体"/>
                <w:color w:val="000000"/>
                <w:kern w:val="0"/>
                <w:sz w:val="18"/>
                <w:szCs w:val="18"/>
              </w:rPr>
            </w:pPr>
          </w:p>
        </w:tc>
        <w:tc>
          <w:tcPr>
            <w:tcW w:w="1149" w:type="dxa"/>
            <w:vAlign w:val="center"/>
          </w:tcPr>
          <w:p w14:paraId="1EBF4E3F">
            <w:pPr>
              <w:widowControl/>
              <w:snapToGrid w:val="0"/>
              <w:jc w:val="center"/>
              <w:rPr>
                <w:rFonts w:hint="eastAsia" w:ascii="宋体" w:hAnsi="宋体" w:cs="宋体"/>
                <w:color w:val="000000"/>
                <w:kern w:val="0"/>
                <w:sz w:val="18"/>
                <w:szCs w:val="18"/>
              </w:rPr>
            </w:pPr>
            <w:r>
              <w:rPr>
                <w:rFonts w:hint="eastAsia" w:ascii="宋体" w:hAnsi="宋体" w:cs="宋体"/>
                <w:color w:val="000000"/>
                <w:kern w:val="0"/>
                <w:sz w:val="18"/>
                <w:szCs w:val="18"/>
              </w:rPr>
              <w:t>共性指标</w:t>
            </w:r>
          </w:p>
          <w:p w14:paraId="2C297CFD">
            <w:pPr>
              <w:widowControl/>
              <w:snapToGrid w:val="0"/>
              <w:jc w:val="center"/>
              <w:rPr>
                <w:rFonts w:hint="eastAsia" w:ascii="宋体" w:hAnsi="宋体" w:cs="宋体"/>
                <w:color w:val="000000"/>
                <w:kern w:val="0"/>
                <w:sz w:val="18"/>
                <w:szCs w:val="18"/>
              </w:rPr>
            </w:pPr>
            <w:r>
              <w:rPr>
                <w:rFonts w:hint="eastAsia" w:ascii="宋体" w:hAnsi="宋体" w:cs="宋体"/>
                <w:color w:val="000000"/>
                <w:kern w:val="0"/>
                <w:sz w:val="18"/>
                <w:szCs w:val="18"/>
              </w:rPr>
              <w:t>必选</w:t>
            </w:r>
          </w:p>
        </w:tc>
      </w:tr>
      <w:tr w14:paraId="061E9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1045" w:type="dxa"/>
            <w:vMerge w:val="continue"/>
            <w:vAlign w:val="center"/>
          </w:tcPr>
          <w:p w14:paraId="51BFC311">
            <w:pPr>
              <w:widowControl/>
              <w:snapToGrid w:val="0"/>
              <w:jc w:val="center"/>
              <w:rPr>
                <w:rFonts w:hint="eastAsia" w:ascii="宋体" w:hAnsi="宋体" w:cs="宋体"/>
                <w:color w:val="000000"/>
                <w:kern w:val="0"/>
                <w:sz w:val="18"/>
                <w:szCs w:val="18"/>
              </w:rPr>
            </w:pPr>
          </w:p>
        </w:tc>
        <w:tc>
          <w:tcPr>
            <w:tcW w:w="1386" w:type="dxa"/>
            <w:vMerge w:val="restart"/>
            <w:vAlign w:val="center"/>
          </w:tcPr>
          <w:p w14:paraId="44AB3E83">
            <w:pPr>
              <w:widowControl/>
              <w:snapToGrid w:val="0"/>
              <w:jc w:val="center"/>
              <w:rPr>
                <w:rFonts w:hint="eastAsia" w:ascii="宋体" w:hAnsi="宋体" w:cs="宋体"/>
                <w:color w:val="000000"/>
                <w:kern w:val="0"/>
                <w:sz w:val="18"/>
                <w:szCs w:val="18"/>
              </w:rPr>
            </w:pPr>
            <w:r>
              <w:rPr>
                <w:rFonts w:hint="eastAsia" w:ascii="宋体" w:hAnsi="宋体" w:cs="宋体"/>
                <w:color w:val="000000"/>
                <w:kern w:val="0"/>
                <w:sz w:val="18"/>
                <w:szCs w:val="18"/>
              </w:rPr>
              <w:t>空间结构优化情况</w:t>
            </w:r>
          </w:p>
        </w:tc>
        <w:tc>
          <w:tcPr>
            <w:tcW w:w="2003" w:type="dxa"/>
            <w:vAlign w:val="center"/>
          </w:tcPr>
          <w:p w14:paraId="788A1189">
            <w:pPr>
              <w:widowControl/>
              <w:snapToGrid w:val="0"/>
              <w:jc w:val="center"/>
              <w:rPr>
                <w:rFonts w:hint="eastAsia" w:ascii="宋体" w:hAnsi="宋体" w:cs="宋体"/>
                <w:color w:val="000000"/>
                <w:kern w:val="0"/>
                <w:sz w:val="18"/>
                <w:szCs w:val="18"/>
              </w:rPr>
            </w:pPr>
            <w:r>
              <w:rPr>
                <w:rFonts w:hint="eastAsia" w:ascii="宋体" w:hAnsi="宋体" w:cs="宋体"/>
                <w:color w:val="000000"/>
                <w:kern w:val="0"/>
                <w:sz w:val="18"/>
                <w:szCs w:val="18"/>
              </w:rPr>
              <w:t>斑块数</w:t>
            </w:r>
          </w:p>
        </w:tc>
        <w:tc>
          <w:tcPr>
            <w:tcW w:w="1817" w:type="dxa"/>
            <w:vAlign w:val="center"/>
          </w:tcPr>
          <w:p w14:paraId="63CFAED3">
            <w:pPr>
              <w:widowControl/>
              <w:snapToGrid w:val="0"/>
              <w:jc w:val="center"/>
              <w:rPr>
                <w:rFonts w:hint="eastAsia" w:ascii="宋体" w:hAnsi="宋体" w:cs="宋体"/>
                <w:color w:val="000000"/>
                <w:kern w:val="0"/>
                <w:sz w:val="18"/>
                <w:szCs w:val="18"/>
              </w:rPr>
            </w:pPr>
            <w:r>
              <w:rPr>
                <w:rFonts w:hint="eastAsia" w:ascii="宋体" w:hAnsi="宋体" w:cs="宋体"/>
                <w:color w:val="000000"/>
                <w:kern w:val="0"/>
                <w:sz w:val="18"/>
                <w:szCs w:val="18"/>
              </w:rPr>
              <w:t>遥感监测，模型测算</w:t>
            </w:r>
          </w:p>
        </w:tc>
        <w:tc>
          <w:tcPr>
            <w:tcW w:w="1178" w:type="dxa"/>
            <w:vMerge w:val="continue"/>
            <w:vAlign w:val="center"/>
          </w:tcPr>
          <w:p w14:paraId="3172D0CF">
            <w:pPr>
              <w:widowControl/>
              <w:snapToGrid w:val="0"/>
              <w:jc w:val="center"/>
              <w:rPr>
                <w:rFonts w:hint="eastAsia" w:ascii="宋体" w:hAnsi="宋体" w:cs="宋体"/>
                <w:b/>
                <w:bCs/>
                <w:color w:val="000000"/>
                <w:kern w:val="0"/>
                <w:sz w:val="18"/>
                <w:szCs w:val="18"/>
              </w:rPr>
            </w:pPr>
          </w:p>
        </w:tc>
        <w:tc>
          <w:tcPr>
            <w:tcW w:w="1149" w:type="dxa"/>
            <w:vAlign w:val="center"/>
          </w:tcPr>
          <w:p w14:paraId="1CC16E37">
            <w:pPr>
              <w:widowControl/>
              <w:snapToGrid w:val="0"/>
              <w:jc w:val="center"/>
              <w:rPr>
                <w:rFonts w:hint="eastAsia" w:ascii="宋体" w:hAnsi="宋体" w:cs="宋体"/>
                <w:color w:val="000000"/>
                <w:kern w:val="0"/>
                <w:sz w:val="18"/>
                <w:szCs w:val="18"/>
              </w:rPr>
            </w:pPr>
            <w:r>
              <w:rPr>
                <w:rFonts w:hint="eastAsia" w:ascii="宋体" w:hAnsi="宋体" w:cs="宋体"/>
                <w:color w:val="000000"/>
                <w:kern w:val="0"/>
                <w:sz w:val="18"/>
                <w:szCs w:val="18"/>
              </w:rPr>
              <w:t>个性指标</w:t>
            </w:r>
          </w:p>
          <w:p w14:paraId="43AE05BA">
            <w:pPr>
              <w:widowControl/>
              <w:snapToGrid w:val="0"/>
              <w:jc w:val="center"/>
              <w:rPr>
                <w:rFonts w:hint="eastAsia" w:ascii="宋体" w:hAnsi="宋体" w:cs="宋体"/>
                <w:color w:val="000000"/>
                <w:kern w:val="0"/>
                <w:sz w:val="18"/>
                <w:szCs w:val="18"/>
              </w:rPr>
            </w:pPr>
            <w:r>
              <w:rPr>
                <w:rFonts w:hint="eastAsia" w:ascii="宋体" w:hAnsi="宋体" w:cs="宋体"/>
                <w:color w:val="000000"/>
                <w:kern w:val="0"/>
                <w:sz w:val="18"/>
                <w:szCs w:val="18"/>
              </w:rPr>
              <w:t>可选</w:t>
            </w:r>
          </w:p>
        </w:tc>
      </w:tr>
      <w:tr w14:paraId="367B2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1045" w:type="dxa"/>
            <w:vMerge w:val="continue"/>
            <w:vAlign w:val="center"/>
          </w:tcPr>
          <w:p w14:paraId="5DAAC490">
            <w:pPr>
              <w:widowControl/>
              <w:snapToGrid w:val="0"/>
              <w:jc w:val="center"/>
              <w:rPr>
                <w:rFonts w:hint="eastAsia" w:ascii="宋体" w:hAnsi="宋体" w:cs="宋体"/>
                <w:color w:val="000000"/>
                <w:kern w:val="0"/>
                <w:sz w:val="18"/>
                <w:szCs w:val="18"/>
              </w:rPr>
            </w:pPr>
          </w:p>
        </w:tc>
        <w:tc>
          <w:tcPr>
            <w:tcW w:w="1386" w:type="dxa"/>
            <w:vMerge w:val="continue"/>
            <w:vAlign w:val="center"/>
          </w:tcPr>
          <w:p w14:paraId="7B43BACD">
            <w:pPr>
              <w:widowControl/>
              <w:snapToGrid w:val="0"/>
              <w:jc w:val="center"/>
              <w:rPr>
                <w:rFonts w:hint="eastAsia" w:ascii="宋体" w:hAnsi="宋体" w:cs="宋体"/>
                <w:color w:val="000000"/>
                <w:kern w:val="0"/>
                <w:sz w:val="18"/>
                <w:szCs w:val="18"/>
              </w:rPr>
            </w:pPr>
          </w:p>
        </w:tc>
        <w:tc>
          <w:tcPr>
            <w:tcW w:w="2003" w:type="dxa"/>
            <w:vAlign w:val="center"/>
          </w:tcPr>
          <w:p w14:paraId="7062394A">
            <w:pPr>
              <w:widowControl/>
              <w:snapToGrid w:val="0"/>
              <w:jc w:val="center"/>
              <w:rPr>
                <w:rFonts w:hint="eastAsia" w:ascii="宋体" w:hAnsi="宋体" w:cs="宋体"/>
                <w:color w:val="000000"/>
                <w:kern w:val="0"/>
                <w:sz w:val="18"/>
                <w:szCs w:val="18"/>
              </w:rPr>
            </w:pPr>
            <w:r>
              <w:rPr>
                <w:rFonts w:hint="eastAsia" w:ascii="宋体" w:hAnsi="宋体" w:cs="宋体"/>
                <w:color w:val="000000"/>
                <w:kern w:val="0"/>
                <w:sz w:val="18"/>
                <w:szCs w:val="18"/>
              </w:rPr>
              <w:t>平均斑块面积</w:t>
            </w:r>
          </w:p>
        </w:tc>
        <w:tc>
          <w:tcPr>
            <w:tcW w:w="1817" w:type="dxa"/>
            <w:vAlign w:val="center"/>
          </w:tcPr>
          <w:p w14:paraId="033CBE9A">
            <w:pPr>
              <w:widowControl/>
              <w:snapToGrid w:val="0"/>
              <w:jc w:val="center"/>
              <w:rPr>
                <w:rFonts w:hint="eastAsia" w:ascii="宋体" w:hAnsi="宋体" w:cs="宋体"/>
                <w:color w:val="000000"/>
                <w:kern w:val="0"/>
                <w:sz w:val="18"/>
                <w:szCs w:val="18"/>
              </w:rPr>
            </w:pPr>
            <w:r>
              <w:rPr>
                <w:rFonts w:hint="eastAsia" w:ascii="宋体" w:hAnsi="宋体" w:cs="宋体"/>
                <w:color w:val="000000"/>
                <w:kern w:val="0"/>
                <w:sz w:val="18"/>
                <w:szCs w:val="18"/>
              </w:rPr>
              <w:t>遥感监测，模型测算</w:t>
            </w:r>
          </w:p>
        </w:tc>
        <w:tc>
          <w:tcPr>
            <w:tcW w:w="1178" w:type="dxa"/>
            <w:vMerge w:val="continue"/>
            <w:vAlign w:val="center"/>
          </w:tcPr>
          <w:p w14:paraId="4C68D104">
            <w:pPr>
              <w:widowControl/>
              <w:snapToGrid w:val="0"/>
              <w:jc w:val="center"/>
              <w:rPr>
                <w:rFonts w:hint="eastAsia" w:ascii="宋体" w:hAnsi="宋体" w:cs="宋体"/>
                <w:b/>
                <w:bCs/>
                <w:color w:val="000000"/>
                <w:kern w:val="0"/>
                <w:sz w:val="18"/>
                <w:szCs w:val="18"/>
              </w:rPr>
            </w:pPr>
          </w:p>
        </w:tc>
        <w:tc>
          <w:tcPr>
            <w:tcW w:w="1149" w:type="dxa"/>
            <w:vAlign w:val="center"/>
          </w:tcPr>
          <w:p w14:paraId="6C2773B3">
            <w:pPr>
              <w:widowControl/>
              <w:snapToGrid w:val="0"/>
              <w:jc w:val="center"/>
              <w:rPr>
                <w:rFonts w:hint="eastAsia" w:ascii="宋体" w:hAnsi="宋体" w:cs="宋体"/>
                <w:color w:val="000000"/>
                <w:kern w:val="0"/>
                <w:sz w:val="18"/>
                <w:szCs w:val="18"/>
              </w:rPr>
            </w:pPr>
            <w:r>
              <w:rPr>
                <w:rFonts w:hint="eastAsia" w:ascii="宋体" w:hAnsi="宋体" w:cs="宋体"/>
                <w:color w:val="000000"/>
                <w:kern w:val="0"/>
                <w:sz w:val="18"/>
                <w:szCs w:val="18"/>
              </w:rPr>
              <w:t>个性指标</w:t>
            </w:r>
          </w:p>
          <w:p w14:paraId="408E846D">
            <w:pPr>
              <w:widowControl/>
              <w:snapToGrid w:val="0"/>
              <w:jc w:val="center"/>
              <w:rPr>
                <w:rFonts w:hint="eastAsia" w:ascii="宋体" w:hAnsi="宋体" w:cs="宋体"/>
                <w:b/>
                <w:bCs/>
                <w:color w:val="000000"/>
                <w:kern w:val="0"/>
                <w:sz w:val="18"/>
                <w:szCs w:val="18"/>
              </w:rPr>
            </w:pPr>
            <w:r>
              <w:rPr>
                <w:rFonts w:hint="eastAsia" w:ascii="宋体" w:hAnsi="宋体" w:cs="宋体"/>
                <w:color w:val="000000"/>
                <w:kern w:val="0"/>
                <w:sz w:val="18"/>
                <w:szCs w:val="18"/>
              </w:rPr>
              <w:t>可选</w:t>
            </w:r>
          </w:p>
        </w:tc>
      </w:tr>
      <w:tr w14:paraId="0C423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1045" w:type="dxa"/>
            <w:vMerge w:val="continue"/>
            <w:vAlign w:val="center"/>
          </w:tcPr>
          <w:p w14:paraId="2CA3D604">
            <w:pPr>
              <w:widowControl/>
              <w:snapToGrid w:val="0"/>
              <w:jc w:val="center"/>
              <w:rPr>
                <w:rFonts w:hint="eastAsia" w:ascii="宋体" w:hAnsi="宋体" w:cs="宋体"/>
                <w:color w:val="000000"/>
                <w:kern w:val="0"/>
                <w:sz w:val="18"/>
                <w:szCs w:val="18"/>
              </w:rPr>
            </w:pPr>
          </w:p>
        </w:tc>
        <w:tc>
          <w:tcPr>
            <w:tcW w:w="1386" w:type="dxa"/>
            <w:vMerge w:val="continue"/>
            <w:vAlign w:val="center"/>
          </w:tcPr>
          <w:p w14:paraId="24562BC0">
            <w:pPr>
              <w:widowControl/>
              <w:snapToGrid w:val="0"/>
              <w:jc w:val="center"/>
              <w:rPr>
                <w:rFonts w:hint="eastAsia" w:ascii="宋体" w:hAnsi="宋体" w:cs="宋体"/>
                <w:color w:val="000000"/>
                <w:kern w:val="0"/>
                <w:sz w:val="18"/>
                <w:szCs w:val="18"/>
              </w:rPr>
            </w:pPr>
          </w:p>
        </w:tc>
        <w:tc>
          <w:tcPr>
            <w:tcW w:w="2003" w:type="dxa"/>
            <w:vAlign w:val="center"/>
          </w:tcPr>
          <w:p w14:paraId="18D9257E">
            <w:pPr>
              <w:widowControl/>
              <w:snapToGrid w:val="0"/>
              <w:jc w:val="center"/>
              <w:rPr>
                <w:rFonts w:hint="eastAsia" w:ascii="宋体" w:hAnsi="宋体" w:cs="宋体"/>
                <w:color w:val="000000"/>
                <w:kern w:val="0"/>
                <w:sz w:val="18"/>
                <w:szCs w:val="18"/>
              </w:rPr>
            </w:pPr>
            <w:r>
              <w:rPr>
                <w:rFonts w:hint="eastAsia" w:ascii="宋体" w:hAnsi="宋体" w:cs="宋体"/>
                <w:color w:val="000000"/>
                <w:kern w:val="0"/>
                <w:sz w:val="18"/>
                <w:szCs w:val="18"/>
              </w:rPr>
              <w:t>边界密度</w:t>
            </w:r>
          </w:p>
        </w:tc>
        <w:tc>
          <w:tcPr>
            <w:tcW w:w="1817" w:type="dxa"/>
            <w:vAlign w:val="center"/>
          </w:tcPr>
          <w:p w14:paraId="5D8003DA">
            <w:pPr>
              <w:widowControl/>
              <w:snapToGrid w:val="0"/>
              <w:jc w:val="center"/>
              <w:rPr>
                <w:rFonts w:hint="eastAsia" w:ascii="宋体" w:hAnsi="宋体" w:cs="宋体"/>
                <w:color w:val="000000"/>
                <w:kern w:val="0"/>
                <w:sz w:val="18"/>
                <w:szCs w:val="18"/>
              </w:rPr>
            </w:pPr>
            <w:r>
              <w:rPr>
                <w:rFonts w:hint="eastAsia" w:ascii="宋体" w:hAnsi="宋体" w:cs="宋体"/>
                <w:color w:val="000000"/>
                <w:kern w:val="0"/>
                <w:sz w:val="18"/>
                <w:szCs w:val="18"/>
              </w:rPr>
              <w:t>遥感监测，模型测算</w:t>
            </w:r>
          </w:p>
        </w:tc>
        <w:tc>
          <w:tcPr>
            <w:tcW w:w="1178" w:type="dxa"/>
            <w:vMerge w:val="continue"/>
            <w:vAlign w:val="center"/>
          </w:tcPr>
          <w:p w14:paraId="13209B10">
            <w:pPr>
              <w:widowControl/>
              <w:snapToGrid w:val="0"/>
              <w:jc w:val="center"/>
              <w:rPr>
                <w:rFonts w:hint="eastAsia" w:ascii="宋体" w:hAnsi="宋体" w:cs="宋体"/>
                <w:color w:val="000000"/>
                <w:kern w:val="0"/>
                <w:sz w:val="18"/>
                <w:szCs w:val="18"/>
              </w:rPr>
            </w:pPr>
          </w:p>
        </w:tc>
        <w:tc>
          <w:tcPr>
            <w:tcW w:w="1149" w:type="dxa"/>
            <w:vAlign w:val="center"/>
          </w:tcPr>
          <w:p w14:paraId="64E9789F">
            <w:pPr>
              <w:widowControl/>
              <w:snapToGrid w:val="0"/>
              <w:jc w:val="center"/>
              <w:rPr>
                <w:rFonts w:hint="eastAsia" w:ascii="宋体" w:hAnsi="宋体" w:cs="宋体"/>
                <w:color w:val="000000"/>
                <w:kern w:val="0"/>
                <w:sz w:val="18"/>
                <w:szCs w:val="18"/>
              </w:rPr>
            </w:pPr>
            <w:r>
              <w:rPr>
                <w:rFonts w:hint="eastAsia" w:ascii="宋体" w:hAnsi="宋体" w:cs="宋体"/>
                <w:color w:val="000000"/>
                <w:kern w:val="0"/>
                <w:sz w:val="18"/>
                <w:szCs w:val="18"/>
              </w:rPr>
              <w:t>个性指标</w:t>
            </w:r>
          </w:p>
          <w:p w14:paraId="6BC5545C">
            <w:pPr>
              <w:widowControl/>
              <w:snapToGrid w:val="0"/>
              <w:jc w:val="center"/>
              <w:rPr>
                <w:rFonts w:hint="eastAsia" w:ascii="宋体" w:hAnsi="宋体" w:cs="宋体"/>
                <w:color w:val="000000"/>
                <w:kern w:val="0"/>
                <w:sz w:val="18"/>
                <w:szCs w:val="18"/>
              </w:rPr>
            </w:pPr>
            <w:r>
              <w:rPr>
                <w:rFonts w:hint="eastAsia" w:ascii="宋体" w:hAnsi="宋体" w:cs="宋体"/>
                <w:color w:val="000000"/>
                <w:kern w:val="0"/>
                <w:sz w:val="18"/>
                <w:szCs w:val="18"/>
              </w:rPr>
              <w:t>可选</w:t>
            </w:r>
          </w:p>
        </w:tc>
      </w:tr>
      <w:tr w14:paraId="4D16C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1045" w:type="dxa"/>
            <w:vMerge w:val="continue"/>
            <w:vAlign w:val="center"/>
          </w:tcPr>
          <w:p w14:paraId="64306152">
            <w:pPr>
              <w:widowControl/>
              <w:snapToGrid w:val="0"/>
              <w:jc w:val="center"/>
              <w:rPr>
                <w:rFonts w:hint="eastAsia" w:ascii="宋体" w:hAnsi="宋体" w:cs="宋体"/>
                <w:color w:val="000000"/>
                <w:kern w:val="0"/>
                <w:sz w:val="18"/>
                <w:szCs w:val="18"/>
              </w:rPr>
            </w:pPr>
          </w:p>
        </w:tc>
        <w:tc>
          <w:tcPr>
            <w:tcW w:w="1386" w:type="dxa"/>
            <w:vMerge w:val="continue"/>
            <w:vAlign w:val="center"/>
          </w:tcPr>
          <w:p w14:paraId="2F127F6D">
            <w:pPr>
              <w:widowControl/>
              <w:snapToGrid w:val="0"/>
              <w:jc w:val="center"/>
              <w:rPr>
                <w:rFonts w:hint="eastAsia" w:ascii="宋体" w:hAnsi="宋体" w:cs="宋体"/>
                <w:color w:val="000000"/>
                <w:kern w:val="0"/>
                <w:sz w:val="18"/>
                <w:szCs w:val="18"/>
              </w:rPr>
            </w:pPr>
          </w:p>
        </w:tc>
        <w:tc>
          <w:tcPr>
            <w:tcW w:w="2003" w:type="dxa"/>
            <w:vAlign w:val="center"/>
          </w:tcPr>
          <w:p w14:paraId="73AF3D01">
            <w:pPr>
              <w:widowControl/>
              <w:snapToGrid w:val="0"/>
              <w:jc w:val="center"/>
              <w:rPr>
                <w:rFonts w:hint="eastAsia" w:ascii="宋体" w:hAnsi="宋体" w:cs="宋体"/>
                <w:color w:val="000000"/>
                <w:kern w:val="0"/>
                <w:sz w:val="18"/>
                <w:szCs w:val="18"/>
              </w:rPr>
            </w:pPr>
            <w:r>
              <w:rPr>
                <w:rFonts w:hint="eastAsia" w:ascii="宋体" w:hAnsi="宋体" w:cs="宋体"/>
                <w:color w:val="000000"/>
                <w:kern w:val="0"/>
                <w:sz w:val="18"/>
                <w:szCs w:val="18"/>
              </w:rPr>
              <w:t>聚集度指数</w:t>
            </w:r>
          </w:p>
        </w:tc>
        <w:tc>
          <w:tcPr>
            <w:tcW w:w="1817" w:type="dxa"/>
            <w:vAlign w:val="center"/>
          </w:tcPr>
          <w:p w14:paraId="24C44959">
            <w:pPr>
              <w:widowControl/>
              <w:snapToGrid w:val="0"/>
              <w:jc w:val="center"/>
              <w:rPr>
                <w:rFonts w:hint="eastAsia" w:ascii="宋体" w:hAnsi="宋体" w:cs="宋体"/>
                <w:color w:val="000000"/>
                <w:kern w:val="0"/>
                <w:sz w:val="18"/>
                <w:szCs w:val="18"/>
              </w:rPr>
            </w:pPr>
            <w:r>
              <w:rPr>
                <w:rFonts w:hint="eastAsia" w:ascii="宋体" w:hAnsi="宋体" w:cs="宋体"/>
                <w:color w:val="000000"/>
                <w:kern w:val="0"/>
                <w:sz w:val="18"/>
                <w:szCs w:val="18"/>
              </w:rPr>
              <w:t>遥感监测，模型测算</w:t>
            </w:r>
          </w:p>
        </w:tc>
        <w:tc>
          <w:tcPr>
            <w:tcW w:w="1178" w:type="dxa"/>
            <w:vMerge w:val="continue"/>
            <w:vAlign w:val="center"/>
          </w:tcPr>
          <w:p w14:paraId="193EAA16">
            <w:pPr>
              <w:widowControl/>
              <w:snapToGrid w:val="0"/>
              <w:jc w:val="center"/>
              <w:rPr>
                <w:rFonts w:hint="eastAsia" w:ascii="宋体" w:hAnsi="宋体" w:cs="宋体"/>
                <w:color w:val="000000"/>
                <w:kern w:val="0"/>
                <w:sz w:val="18"/>
                <w:szCs w:val="18"/>
              </w:rPr>
            </w:pPr>
          </w:p>
        </w:tc>
        <w:tc>
          <w:tcPr>
            <w:tcW w:w="1149" w:type="dxa"/>
            <w:vAlign w:val="center"/>
          </w:tcPr>
          <w:p w14:paraId="140FBDCD">
            <w:pPr>
              <w:widowControl/>
              <w:snapToGrid w:val="0"/>
              <w:jc w:val="center"/>
              <w:rPr>
                <w:rFonts w:hint="eastAsia" w:ascii="宋体" w:hAnsi="宋体" w:cs="宋体"/>
                <w:color w:val="000000"/>
                <w:kern w:val="0"/>
                <w:sz w:val="18"/>
                <w:szCs w:val="18"/>
              </w:rPr>
            </w:pPr>
            <w:r>
              <w:rPr>
                <w:rFonts w:hint="eastAsia" w:ascii="宋体" w:hAnsi="宋体" w:cs="宋体"/>
                <w:color w:val="000000"/>
                <w:kern w:val="0"/>
                <w:sz w:val="18"/>
                <w:szCs w:val="18"/>
              </w:rPr>
              <w:t>共性指标</w:t>
            </w:r>
          </w:p>
          <w:p w14:paraId="3AF1109A">
            <w:pPr>
              <w:widowControl/>
              <w:snapToGrid w:val="0"/>
              <w:jc w:val="center"/>
              <w:rPr>
                <w:rFonts w:hint="eastAsia" w:ascii="宋体" w:hAnsi="宋体" w:cs="宋体"/>
                <w:color w:val="000000"/>
                <w:kern w:val="0"/>
                <w:sz w:val="18"/>
                <w:szCs w:val="18"/>
              </w:rPr>
            </w:pPr>
            <w:r>
              <w:rPr>
                <w:rFonts w:hint="eastAsia" w:ascii="宋体" w:hAnsi="宋体" w:cs="宋体"/>
                <w:color w:val="000000"/>
                <w:kern w:val="0"/>
                <w:sz w:val="18"/>
                <w:szCs w:val="18"/>
              </w:rPr>
              <w:t>必选</w:t>
            </w:r>
          </w:p>
        </w:tc>
      </w:tr>
      <w:tr w14:paraId="46698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1045" w:type="dxa"/>
            <w:vMerge w:val="continue"/>
            <w:vAlign w:val="center"/>
          </w:tcPr>
          <w:p w14:paraId="7DEE6901">
            <w:pPr>
              <w:widowControl/>
              <w:snapToGrid w:val="0"/>
              <w:jc w:val="center"/>
              <w:rPr>
                <w:rFonts w:hint="eastAsia" w:ascii="宋体" w:hAnsi="宋体" w:cs="宋体"/>
                <w:color w:val="000000"/>
                <w:kern w:val="0"/>
                <w:sz w:val="18"/>
                <w:szCs w:val="18"/>
              </w:rPr>
            </w:pPr>
          </w:p>
        </w:tc>
        <w:tc>
          <w:tcPr>
            <w:tcW w:w="1386" w:type="dxa"/>
            <w:vMerge w:val="continue"/>
            <w:vAlign w:val="center"/>
          </w:tcPr>
          <w:p w14:paraId="3E3F5096">
            <w:pPr>
              <w:widowControl/>
              <w:snapToGrid w:val="0"/>
              <w:jc w:val="center"/>
              <w:rPr>
                <w:rFonts w:hint="eastAsia" w:ascii="宋体" w:hAnsi="宋体" w:cs="宋体"/>
                <w:color w:val="000000"/>
                <w:kern w:val="0"/>
                <w:sz w:val="18"/>
                <w:szCs w:val="18"/>
              </w:rPr>
            </w:pPr>
          </w:p>
        </w:tc>
        <w:tc>
          <w:tcPr>
            <w:tcW w:w="2003" w:type="dxa"/>
            <w:vAlign w:val="center"/>
          </w:tcPr>
          <w:p w14:paraId="1E0362D6">
            <w:pPr>
              <w:widowControl/>
              <w:snapToGrid w:val="0"/>
              <w:jc w:val="center"/>
              <w:rPr>
                <w:rFonts w:hint="eastAsia" w:ascii="宋体" w:hAnsi="宋体" w:cs="宋体"/>
                <w:color w:val="000000"/>
                <w:kern w:val="0"/>
                <w:sz w:val="18"/>
                <w:szCs w:val="18"/>
              </w:rPr>
            </w:pPr>
            <w:r>
              <w:rPr>
                <w:rFonts w:hint="eastAsia" w:ascii="宋体" w:hAnsi="宋体" w:cs="宋体"/>
                <w:color w:val="000000"/>
                <w:kern w:val="0"/>
                <w:sz w:val="18"/>
                <w:szCs w:val="18"/>
              </w:rPr>
              <w:t>生态连通度指数</w:t>
            </w:r>
          </w:p>
        </w:tc>
        <w:tc>
          <w:tcPr>
            <w:tcW w:w="1817" w:type="dxa"/>
            <w:vAlign w:val="center"/>
          </w:tcPr>
          <w:p w14:paraId="02F36524">
            <w:pPr>
              <w:widowControl/>
              <w:snapToGrid w:val="0"/>
              <w:jc w:val="center"/>
              <w:rPr>
                <w:rFonts w:hint="eastAsia" w:ascii="宋体" w:hAnsi="宋体" w:cs="宋体"/>
                <w:color w:val="000000"/>
                <w:kern w:val="0"/>
                <w:sz w:val="18"/>
                <w:szCs w:val="18"/>
              </w:rPr>
            </w:pPr>
            <w:r>
              <w:rPr>
                <w:rFonts w:hint="eastAsia" w:ascii="宋体" w:hAnsi="宋体" w:cs="宋体"/>
                <w:color w:val="000000"/>
                <w:kern w:val="0"/>
                <w:sz w:val="18"/>
                <w:szCs w:val="18"/>
              </w:rPr>
              <w:t>遥感监测，模型测算</w:t>
            </w:r>
          </w:p>
        </w:tc>
        <w:tc>
          <w:tcPr>
            <w:tcW w:w="1178" w:type="dxa"/>
            <w:vMerge w:val="continue"/>
            <w:vAlign w:val="center"/>
          </w:tcPr>
          <w:p w14:paraId="4E7BCECC">
            <w:pPr>
              <w:widowControl/>
              <w:snapToGrid w:val="0"/>
              <w:jc w:val="center"/>
              <w:rPr>
                <w:rFonts w:hint="eastAsia" w:ascii="宋体" w:hAnsi="宋体" w:cs="宋体"/>
                <w:color w:val="000000"/>
                <w:kern w:val="0"/>
                <w:sz w:val="18"/>
                <w:szCs w:val="18"/>
              </w:rPr>
            </w:pPr>
          </w:p>
        </w:tc>
        <w:tc>
          <w:tcPr>
            <w:tcW w:w="1149" w:type="dxa"/>
            <w:vAlign w:val="center"/>
          </w:tcPr>
          <w:p w14:paraId="7EB95534">
            <w:pPr>
              <w:widowControl/>
              <w:snapToGrid w:val="0"/>
              <w:jc w:val="center"/>
              <w:rPr>
                <w:rFonts w:hint="eastAsia" w:ascii="宋体" w:hAnsi="宋体" w:cs="宋体"/>
                <w:color w:val="000000"/>
                <w:kern w:val="0"/>
                <w:sz w:val="18"/>
                <w:szCs w:val="18"/>
              </w:rPr>
            </w:pPr>
            <w:r>
              <w:rPr>
                <w:rFonts w:hint="eastAsia" w:ascii="宋体" w:hAnsi="宋体" w:cs="宋体"/>
                <w:color w:val="000000"/>
                <w:kern w:val="0"/>
                <w:sz w:val="18"/>
                <w:szCs w:val="18"/>
              </w:rPr>
              <w:t>个性指标</w:t>
            </w:r>
          </w:p>
          <w:p w14:paraId="2706AEB8">
            <w:pPr>
              <w:widowControl/>
              <w:snapToGrid w:val="0"/>
              <w:jc w:val="center"/>
              <w:rPr>
                <w:rFonts w:hint="eastAsia" w:ascii="宋体" w:hAnsi="宋体" w:cs="宋体"/>
                <w:color w:val="000000"/>
                <w:kern w:val="0"/>
                <w:sz w:val="18"/>
                <w:szCs w:val="18"/>
              </w:rPr>
            </w:pPr>
            <w:r>
              <w:rPr>
                <w:rFonts w:hint="eastAsia" w:ascii="宋体" w:hAnsi="宋体" w:cs="宋体"/>
                <w:color w:val="000000"/>
                <w:kern w:val="0"/>
                <w:sz w:val="18"/>
                <w:szCs w:val="18"/>
              </w:rPr>
              <w:t>可选</w:t>
            </w:r>
          </w:p>
        </w:tc>
      </w:tr>
      <w:tr w14:paraId="2DB76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1045" w:type="dxa"/>
            <w:vMerge w:val="restart"/>
            <w:vAlign w:val="center"/>
          </w:tcPr>
          <w:p w14:paraId="58AD9DA2">
            <w:pPr>
              <w:widowControl/>
              <w:snapToGrid w:val="0"/>
              <w:jc w:val="center"/>
              <w:rPr>
                <w:rFonts w:hint="eastAsia" w:ascii="宋体" w:hAnsi="宋体" w:cs="宋体"/>
                <w:color w:val="000000"/>
                <w:kern w:val="0"/>
                <w:sz w:val="18"/>
                <w:szCs w:val="18"/>
              </w:rPr>
            </w:pPr>
            <w:r>
              <w:rPr>
                <w:rFonts w:hint="eastAsia" w:ascii="宋体" w:hAnsi="宋体" w:cs="宋体"/>
                <w:color w:val="000000"/>
                <w:kern w:val="0"/>
                <w:sz w:val="18"/>
                <w:szCs w:val="18"/>
              </w:rPr>
              <w:t>生态系统质量</w:t>
            </w:r>
          </w:p>
        </w:tc>
        <w:tc>
          <w:tcPr>
            <w:tcW w:w="1386" w:type="dxa"/>
            <w:vMerge w:val="restart"/>
            <w:vAlign w:val="center"/>
          </w:tcPr>
          <w:p w14:paraId="178522F3">
            <w:pPr>
              <w:widowControl/>
              <w:snapToGrid w:val="0"/>
              <w:jc w:val="center"/>
              <w:rPr>
                <w:rFonts w:hint="eastAsia" w:ascii="宋体" w:hAnsi="宋体" w:cs="宋体"/>
                <w:color w:val="000000"/>
                <w:kern w:val="0"/>
                <w:sz w:val="18"/>
                <w:szCs w:val="18"/>
              </w:rPr>
            </w:pPr>
            <w:r>
              <w:rPr>
                <w:rFonts w:hint="eastAsia" w:ascii="宋体" w:hAnsi="宋体" w:cs="宋体"/>
                <w:color w:val="000000"/>
                <w:kern w:val="0"/>
                <w:sz w:val="18"/>
                <w:szCs w:val="18"/>
              </w:rPr>
              <w:t>植被生长改善情况</w:t>
            </w:r>
          </w:p>
        </w:tc>
        <w:tc>
          <w:tcPr>
            <w:tcW w:w="2003" w:type="dxa"/>
            <w:vAlign w:val="center"/>
          </w:tcPr>
          <w:p w14:paraId="699A889C">
            <w:pPr>
              <w:widowControl/>
              <w:snapToGrid w:val="0"/>
              <w:jc w:val="center"/>
              <w:rPr>
                <w:rFonts w:hint="eastAsia" w:ascii="宋体" w:hAnsi="宋体" w:cs="宋体"/>
                <w:color w:val="000000"/>
                <w:kern w:val="0"/>
                <w:sz w:val="18"/>
                <w:szCs w:val="18"/>
              </w:rPr>
            </w:pPr>
            <w:r>
              <w:rPr>
                <w:rFonts w:hint="eastAsia" w:ascii="宋体" w:hAnsi="宋体" w:cs="宋体"/>
                <w:color w:val="000000"/>
                <w:kern w:val="0"/>
                <w:sz w:val="18"/>
                <w:szCs w:val="18"/>
              </w:rPr>
              <w:t>植被覆盖度指数</w:t>
            </w:r>
          </w:p>
        </w:tc>
        <w:tc>
          <w:tcPr>
            <w:tcW w:w="1817" w:type="dxa"/>
            <w:vAlign w:val="center"/>
          </w:tcPr>
          <w:p w14:paraId="6877BBAF">
            <w:pPr>
              <w:widowControl/>
              <w:snapToGrid w:val="0"/>
              <w:jc w:val="center"/>
              <w:rPr>
                <w:rFonts w:hint="eastAsia" w:ascii="宋体" w:hAnsi="宋体" w:cs="宋体"/>
                <w:color w:val="000000"/>
                <w:kern w:val="0"/>
                <w:sz w:val="18"/>
                <w:szCs w:val="18"/>
              </w:rPr>
            </w:pPr>
            <w:r>
              <w:rPr>
                <w:rFonts w:hint="eastAsia" w:ascii="宋体" w:hAnsi="宋体" w:cs="宋体"/>
                <w:color w:val="000000"/>
                <w:kern w:val="0"/>
                <w:sz w:val="18"/>
                <w:szCs w:val="18"/>
              </w:rPr>
              <w:t>遥感监测，模型测算</w:t>
            </w:r>
          </w:p>
        </w:tc>
        <w:tc>
          <w:tcPr>
            <w:tcW w:w="1178" w:type="dxa"/>
            <w:vMerge w:val="restart"/>
            <w:vAlign w:val="center"/>
          </w:tcPr>
          <w:p w14:paraId="546821CF">
            <w:pPr>
              <w:widowControl/>
              <w:snapToGrid w:val="0"/>
              <w:jc w:val="center"/>
              <w:rPr>
                <w:rFonts w:hint="eastAsia" w:ascii="宋体" w:hAnsi="宋体" w:cs="宋体"/>
                <w:color w:val="000000"/>
                <w:kern w:val="0"/>
                <w:sz w:val="18"/>
                <w:szCs w:val="18"/>
              </w:rPr>
            </w:pPr>
            <w:r>
              <w:rPr>
                <w:rFonts w:hint="eastAsia" w:ascii="宋体" w:hAnsi="宋体" w:cs="宋体"/>
                <w:color w:val="000000"/>
                <w:kern w:val="0"/>
                <w:sz w:val="18"/>
                <w:szCs w:val="18"/>
              </w:rPr>
              <w:t>子项目、生态保护修复单元、工程范围尺度</w:t>
            </w:r>
          </w:p>
          <w:p w14:paraId="39E5D7FE">
            <w:pPr>
              <w:widowControl/>
              <w:snapToGrid w:val="0"/>
              <w:jc w:val="center"/>
              <w:rPr>
                <w:rFonts w:hint="eastAsia" w:ascii="宋体" w:hAnsi="宋体" w:cs="宋体"/>
                <w:color w:val="000000"/>
                <w:kern w:val="0"/>
                <w:sz w:val="18"/>
                <w:szCs w:val="18"/>
              </w:rPr>
            </w:pPr>
          </w:p>
        </w:tc>
        <w:tc>
          <w:tcPr>
            <w:tcW w:w="1149" w:type="dxa"/>
            <w:vAlign w:val="center"/>
          </w:tcPr>
          <w:p w14:paraId="419C044A">
            <w:pPr>
              <w:widowControl/>
              <w:snapToGrid w:val="0"/>
              <w:jc w:val="center"/>
              <w:rPr>
                <w:rFonts w:hint="eastAsia" w:ascii="宋体" w:hAnsi="宋体" w:cs="宋体"/>
                <w:color w:val="000000"/>
                <w:kern w:val="0"/>
                <w:sz w:val="18"/>
                <w:szCs w:val="18"/>
              </w:rPr>
            </w:pPr>
            <w:r>
              <w:rPr>
                <w:rFonts w:hint="eastAsia" w:ascii="宋体" w:hAnsi="宋体" w:cs="宋体"/>
                <w:color w:val="000000"/>
                <w:kern w:val="0"/>
                <w:sz w:val="18"/>
                <w:szCs w:val="18"/>
              </w:rPr>
              <w:t>共性指标</w:t>
            </w:r>
          </w:p>
          <w:p w14:paraId="195D5CA2">
            <w:pPr>
              <w:widowControl/>
              <w:snapToGrid w:val="0"/>
              <w:jc w:val="center"/>
              <w:rPr>
                <w:rFonts w:hint="eastAsia" w:ascii="宋体" w:hAnsi="宋体" w:cs="宋体"/>
                <w:color w:val="000000"/>
                <w:kern w:val="0"/>
                <w:sz w:val="18"/>
                <w:szCs w:val="18"/>
              </w:rPr>
            </w:pPr>
            <w:r>
              <w:rPr>
                <w:rFonts w:hint="eastAsia" w:ascii="宋体" w:hAnsi="宋体" w:cs="宋体"/>
                <w:color w:val="000000"/>
                <w:kern w:val="0"/>
                <w:sz w:val="18"/>
                <w:szCs w:val="18"/>
              </w:rPr>
              <w:t>必选</w:t>
            </w:r>
          </w:p>
        </w:tc>
      </w:tr>
      <w:tr w14:paraId="737F1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1045" w:type="dxa"/>
            <w:vMerge w:val="continue"/>
            <w:vAlign w:val="center"/>
          </w:tcPr>
          <w:p w14:paraId="70D78AEF">
            <w:pPr>
              <w:widowControl/>
              <w:snapToGrid w:val="0"/>
              <w:jc w:val="center"/>
              <w:rPr>
                <w:rFonts w:hint="eastAsia" w:ascii="宋体" w:hAnsi="宋体" w:cs="宋体"/>
                <w:color w:val="000000"/>
                <w:kern w:val="0"/>
                <w:sz w:val="18"/>
                <w:szCs w:val="18"/>
              </w:rPr>
            </w:pPr>
          </w:p>
        </w:tc>
        <w:tc>
          <w:tcPr>
            <w:tcW w:w="1386" w:type="dxa"/>
            <w:vMerge w:val="continue"/>
            <w:vAlign w:val="center"/>
          </w:tcPr>
          <w:p w14:paraId="17F9E551">
            <w:pPr>
              <w:widowControl/>
              <w:snapToGrid w:val="0"/>
              <w:jc w:val="center"/>
              <w:rPr>
                <w:rFonts w:hint="eastAsia" w:ascii="宋体" w:hAnsi="宋体" w:cs="宋体"/>
                <w:color w:val="000000"/>
                <w:kern w:val="0"/>
                <w:sz w:val="18"/>
                <w:szCs w:val="18"/>
              </w:rPr>
            </w:pPr>
          </w:p>
        </w:tc>
        <w:tc>
          <w:tcPr>
            <w:tcW w:w="2003" w:type="dxa"/>
            <w:vAlign w:val="center"/>
          </w:tcPr>
          <w:p w14:paraId="68DF1CE1">
            <w:pPr>
              <w:widowControl/>
              <w:snapToGrid w:val="0"/>
              <w:jc w:val="center"/>
              <w:rPr>
                <w:rFonts w:hint="eastAsia" w:ascii="宋体" w:hAnsi="宋体" w:cs="宋体"/>
                <w:color w:val="000000"/>
                <w:kern w:val="0"/>
                <w:sz w:val="18"/>
                <w:szCs w:val="18"/>
              </w:rPr>
            </w:pPr>
            <w:r>
              <w:rPr>
                <w:rFonts w:hint="eastAsia" w:ascii="宋体" w:hAnsi="宋体" w:cs="宋体"/>
                <w:color w:val="000000"/>
                <w:kern w:val="0"/>
                <w:sz w:val="18"/>
                <w:szCs w:val="18"/>
              </w:rPr>
              <w:t>植被地上生物量</w:t>
            </w:r>
          </w:p>
        </w:tc>
        <w:tc>
          <w:tcPr>
            <w:tcW w:w="1817" w:type="dxa"/>
            <w:vAlign w:val="center"/>
          </w:tcPr>
          <w:p w14:paraId="5263D661">
            <w:pPr>
              <w:widowControl/>
              <w:snapToGrid w:val="0"/>
              <w:jc w:val="center"/>
              <w:rPr>
                <w:rFonts w:hint="eastAsia" w:ascii="宋体" w:hAnsi="宋体" w:cs="宋体"/>
                <w:color w:val="000000"/>
                <w:kern w:val="0"/>
                <w:sz w:val="18"/>
                <w:szCs w:val="18"/>
              </w:rPr>
            </w:pPr>
            <w:r>
              <w:rPr>
                <w:rFonts w:hint="eastAsia" w:ascii="宋体" w:hAnsi="宋体" w:cs="宋体"/>
                <w:color w:val="000000"/>
                <w:kern w:val="0"/>
                <w:sz w:val="18"/>
                <w:szCs w:val="18"/>
              </w:rPr>
              <w:t>遥感监测，实地调查</w:t>
            </w:r>
          </w:p>
        </w:tc>
        <w:tc>
          <w:tcPr>
            <w:tcW w:w="1178" w:type="dxa"/>
            <w:vMerge w:val="continue"/>
            <w:vAlign w:val="center"/>
          </w:tcPr>
          <w:p w14:paraId="5B241DA1">
            <w:pPr>
              <w:widowControl/>
              <w:snapToGrid w:val="0"/>
              <w:jc w:val="center"/>
              <w:rPr>
                <w:rFonts w:hint="eastAsia" w:ascii="宋体" w:hAnsi="宋体" w:cs="宋体"/>
                <w:color w:val="000000"/>
                <w:kern w:val="0"/>
                <w:sz w:val="18"/>
                <w:szCs w:val="18"/>
              </w:rPr>
            </w:pPr>
          </w:p>
        </w:tc>
        <w:tc>
          <w:tcPr>
            <w:tcW w:w="1149" w:type="dxa"/>
            <w:vAlign w:val="center"/>
          </w:tcPr>
          <w:p w14:paraId="139193E4">
            <w:pPr>
              <w:widowControl/>
              <w:snapToGrid w:val="0"/>
              <w:jc w:val="center"/>
              <w:rPr>
                <w:rFonts w:hint="eastAsia" w:ascii="宋体" w:hAnsi="宋体" w:cs="宋体"/>
                <w:color w:val="000000"/>
                <w:kern w:val="0"/>
                <w:sz w:val="18"/>
                <w:szCs w:val="18"/>
              </w:rPr>
            </w:pPr>
            <w:r>
              <w:rPr>
                <w:rFonts w:hint="eastAsia" w:ascii="宋体" w:hAnsi="宋体" w:cs="宋体"/>
                <w:color w:val="000000"/>
                <w:kern w:val="0"/>
                <w:sz w:val="18"/>
                <w:szCs w:val="18"/>
              </w:rPr>
              <w:t>共性指标</w:t>
            </w:r>
          </w:p>
          <w:p w14:paraId="52E3429B">
            <w:pPr>
              <w:widowControl/>
              <w:snapToGrid w:val="0"/>
              <w:jc w:val="center"/>
              <w:rPr>
                <w:rFonts w:hint="eastAsia" w:ascii="宋体" w:hAnsi="宋体" w:cs="宋体"/>
                <w:color w:val="000000"/>
                <w:kern w:val="0"/>
                <w:sz w:val="18"/>
                <w:szCs w:val="18"/>
              </w:rPr>
            </w:pPr>
            <w:r>
              <w:rPr>
                <w:rFonts w:hint="eastAsia" w:ascii="宋体" w:hAnsi="宋体" w:cs="宋体"/>
                <w:color w:val="000000"/>
                <w:kern w:val="0"/>
                <w:sz w:val="18"/>
                <w:szCs w:val="18"/>
              </w:rPr>
              <w:t>可选</w:t>
            </w:r>
          </w:p>
        </w:tc>
      </w:tr>
      <w:tr w14:paraId="23A9B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1045" w:type="dxa"/>
            <w:vMerge w:val="continue"/>
            <w:vAlign w:val="center"/>
          </w:tcPr>
          <w:p w14:paraId="6DBBA90D">
            <w:pPr>
              <w:widowControl/>
              <w:snapToGrid w:val="0"/>
              <w:jc w:val="center"/>
              <w:rPr>
                <w:rFonts w:hint="eastAsia" w:ascii="宋体" w:hAnsi="宋体" w:cs="宋体"/>
                <w:color w:val="000000"/>
                <w:kern w:val="0"/>
                <w:sz w:val="18"/>
                <w:szCs w:val="18"/>
              </w:rPr>
            </w:pPr>
          </w:p>
        </w:tc>
        <w:tc>
          <w:tcPr>
            <w:tcW w:w="1386" w:type="dxa"/>
            <w:vMerge w:val="continue"/>
            <w:vAlign w:val="center"/>
          </w:tcPr>
          <w:p w14:paraId="53513EE6">
            <w:pPr>
              <w:widowControl/>
              <w:snapToGrid w:val="0"/>
              <w:jc w:val="center"/>
              <w:rPr>
                <w:rFonts w:hint="eastAsia" w:ascii="宋体" w:hAnsi="宋体" w:cs="宋体"/>
                <w:color w:val="000000"/>
                <w:kern w:val="0"/>
                <w:sz w:val="18"/>
                <w:szCs w:val="18"/>
              </w:rPr>
            </w:pPr>
          </w:p>
        </w:tc>
        <w:tc>
          <w:tcPr>
            <w:tcW w:w="2003" w:type="dxa"/>
            <w:vAlign w:val="center"/>
          </w:tcPr>
          <w:p w14:paraId="6EE6DC09">
            <w:pPr>
              <w:widowControl/>
              <w:snapToGrid w:val="0"/>
              <w:jc w:val="center"/>
              <w:rPr>
                <w:rFonts w:hint="eastAsia" w:ascii="宋体" w:hAnsi="宋体" w:cs="宋体"/>
                <w:color w:val="000000"/>
                <w:kern w:val="0"/>
                <w:sz w:val="18"/>
                <w:szCs w:val="18"/>
              </w:rPr>
            </w:pPr>
            <w:r>
              <w:rPr>
                <w:rFonts w:hint="eastAsia" w:ascii="宋体" w:hAnsi="宋体" w:cs="宋体"/>
                <w:color w:val="000000"/>
                <w:kern w:val="0"/>
                <w:sz w:val="18"/>
                <w:szCs w:val="18"/>
              </w:rPr>
              <w:t>总初级生产力</w:t>
            </w:r>
          </w:p>
        </w:tc>
        <w:tc>
          <w:tcPr>
            <w:tcW w:w="1817" w:type="dxa"/>
            <w:vAlign w:val="center"/>
          </w:tcPr>
          <w:p w14:paraId="29944759">
            <w:pPr>
              <w:widowControl/>
              <w:snapToGrid w:val="0"/>
              <w:jc w:val="center"/>
              <w:rPr>
                <w:rFonts w:hint="eastAsia" w:ascii="宋体" w:hAnsi="宋体" w:cs="宋体"/>
                <w:color w:val="000000"/>
                <w:kern w:val="0"/>
                <w:sz w:val="18"/>
                <w:szCs w:val="18"/>
              </w:rPr>
            </w:pPr>
            <w:r>
              <w:rPr>
                <w:rFonts w:hint="eastAsia" w:ascii="宋体" w:hAnsi="宋体" w:cs="宋体"/>
                <w:color w:val="000000"/>
                <w:kern w:val="0"/>
                <w:sz w:val="18"/>
                <w:szCs w:val="18"/>
              </w:rPr>
              <w:t>遥感监测，模型测算</w:t>
            </w:r>
          </w:p>
        </w:tc>
        <w:tc>
          <w:tcPr>
            <w:tcW w:w="1178" w:type="dxa"/>
            <w:vMerge w:val="continue"/>
            <w:vAlign w:val="center"/>
          </w:tcPr>
          <w:p w14:paraId="3881E166">
            <w:pPr>
              <w:widowControl/>
              <w:snapToGrid w:val="0"/>
              <w:jc w:val="center"/>
              <w:rPr>
                <w:rFonts w:hint="eastAsia" w:ascii="宋体" w:hAnsi="宋体" w:cs="宋体"/>
                <w:color w:val="000000"/>
                <w:kern w:val="0"/>
                <w:sz w:val="18"/>
                <w:szCs w:val="18"/>
              </w:rPr>
            </w:pPr>
          </w:p>
        </w:tc>
        <w:tc>
          <w:tcPr>
            <w:tcW w:w="1149" w:type="dxa"/>
            <w:vAlign w:val="center"/>
          </w:tcPr>
          <w:p w14:paraId="69B0C524">
            <w:pPr>
              <w:widowControl/>
              <w:snapToGrid w:val="0"/>
              <w:jc w:val="center"/>
              <w:rPr>
                <w:rFonts w:hint="eastAsia" w:ascii="宋体" w:hAnsi="宋体" w:cs="宋体"/>
                <w:color w:val="000000"/>
                <w:kern w:val="0"/>
                <w:sz w:val="18"/>
                <w:szCs w:val="18"/>
              </w:rPr>
            </w:pPr>
            <w:r>
              <w:rPr>
                <w:rFonts w:hint="eastAsia" w:ascii="宋体" w:hAnsi="宋体" w:cs="宋体"/>
                <w:color w:val="000000"/>
                <w:kern w:val="0"/>
                <w:sz w:val="18"/>
                <w:szCs w:val="18"/>
              </w:rPr>
              <w:t>个性指标</w:t>
            </w:r>
          </w:p>
          <w:p w14:paraId="3D87F408">
            <w:pPr>
              <w:widowControl/>
              <w:snapToGrid w:val="0"/>
              <w:jc w:val="center"/>
              <w:rPr>
                <w:rFonts w:hint="eastAsia" w:ascii="宋体" w:hAnsi="宋体" w:cs="宋体"/>
                <w:color w:val="000000"/>
                <w:kern w:val="0"/>
                <w:sz w:val="18"/>
                <w:szCs w:val="18"/>
              </w:rPr>
            </w:pPr>
            <w:r>
              <w:rPr>
                <w:rFonts w:hint="eastAsia" w:ascii="宋体" w:hAnsi="宋体" w:cs="宋体"/>
                <w:color w:val="000000"/>
                <w:kern w:val="0"/>
                <w:sz w:val="18"/>
                <w:szCs w:val="18"/>
              </w:rPr>
              <w:t>可选</w:t>
            </w:r>
          </w:p>
        </w:tc>
      </w:tr>
      <w:tr w14:paraId="13125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1045" w:type="dxa"/>
            <w:vMerge w:val="continue"/>
            <w:vAlign w:val="center"/>
          </w:tcPr>
          <w:p w14:paraId="41DFAAAF">
            <w:pPr>
              <w:widowControl/>
              <w:snapToGrid w:val="0"/>
              <w:jc w:val="center"/>
              <w:rPr>
                <w:rFonts w:hint="eastAsia" w:ascii="宋体" w:hAnsi="宋体" w:cs="宋体"/>
                <w:color w:val="000000"/>
                <w:kern w:val="0"/>
                <w:sz w:val="18"/>
                <w:szCs w:val="18"/>
              </w:rPr>
            </w:pPr>
          </w:p>
        </w:tc>
        <w:tc>
          <w:tcPr>
            <w:tcW w:w="1386" w:type="dxa"/>
            <w:vMerge w:val="continue"/>
            <w:vAlign w:val="center"/>
          </w:tcPr>
          <w:p w14:paraId="3CA3E4ED">
            <w:pPr>
              <w:widowControl/>
              <w:snapToGrid w:val="0"/>
              <w:jc w:val="center"/>
              <w:rPr>
                <w:rFonts w:hint="eastAsia" w:ascii="宋体" w:hAnsi="宋体" w:cs="宋体"/>
                <w:color w:val="000000"/>
                <w:kern w:val="0"/>
                <w:sz w:val="18"/>
                <w:szCs w:val="18"/>
              </w:rPr>
            </w:pPr>
          </w:p>
        </w:tc>
        <w:tc>
          <w:tcPr>
            <w:tcW w:w="2003" w:type="dxa"/>
            <w:vAlign w:val="center"/>
          </w:tcPr>
          <w:p w14:paraId="76921A68">
            <w:pPr>
              <w:widowControl/>
              <w:snapToGrid w:val="0"/>
              <w:jc w:val="center"/>
              <w:rPr>
                <w:rFonts w:hint="eastAsia" w:ascii="宋体" w:hAnsi="宋体" w:cs="宋体"/>
                <w:color w:val="000000"/>
                <w:kern w:val="0"/>
                <w:sz w:val="18"/>
                <w:szCs w:val="18"/>
              </w:rPr>
            </w:pPr>
            <w:r>
              <w:rPr>
                <w:rFonts w:hint="eastAsia" w:ascii="宋体" w:hAnsi="宋体" w:cs="宋体"/>
                <w:color w:val="000000"/>
                <w:kern w:val="0"/>
                <w:sz w:val="18"/>
                <w:szCs w:val="18"/>
              </w:rPr>
              <w:t>叶面积指数</w:t>
            </w:r>
          </w:p>
        </w:tc>
        <w:tc>
          <w:tcPr>
            <w:tcW w:w="1817" w:type="dxa"/>
            <w:vAlign w:val="center"/>
          </w:tcPr>
          <w:p w14:paraId="5E0BFE77">
            <w:pPr>
              <w:widowControl/>
              <w:snapToGrid w:val="0"/>
              <w:jc w:val="center"/>
              <w:rPr>
                <w:rFonts w:hint="eastAsia" w:ascii="宋体" w:hAnsi="宋体" w:cs="宋体"/>
                <w:color w:val="000000"/>
                <w:kern w:val="0"/>
                <w:sz w:val="18"/>
                <w:szCs w:val="18"/>
              </w:rPr>
            </w:pPr>
            <w:r>
              <w:rPr>
                <w:rFonts w:hint="eastAsia" w:ascii="宋体" w:hAnsi="宋体" w:cs="宋体"/>
                <w:color w:val="000000"/>
                <w:kern w:val="0"/>
                <w:sz w:val="18"/>
                <w:szCs w:val="18"/>
              </w:rPr>
              <w:t>遥感监测，模型测算</w:t>
            </w:r>
          </w:p>
        </w:tc>
        <w:tc>
          <w:tcPr>
            <w:tcW w:w="1178" w:type="dxa"/>
            <w:vMerge w:val="continue"/>
            <w:vAlign w:val="center"/>
          </w:tcPr>
          <w:p w14:paraId="0D2E10A6">
            <w:pPr>
              <w:widowControl/>
              <w:snapToGrid w:val="0"/>
              <w:jc w:val="center"/>
              <w:rPr>
                <w:rFonts w:hint="eastAsia" w:ascii="宋体" w:hAnsi="宋体" w:cs="宋体"/>
                <w:color w:val="000000"/>
                <w:kern w:val="0"/>
                <w:sz w:val="18"/>
                <w:szCs w:val="18"/>
              </w:rPr>
            </w:pPr>
          </w:p>
        </w:tc>
        <w:tc>
          <w:tcPr>
            <w:tcW w:w="1149" w:type="dxa"/>
            <w:vAlign w:val="center"/>
          </w:tcPr>
          <w:p w14:paraId="3B41559F">
            <w:pPr>
              <w:widowControl/>
              <w:snapToGrid w:val="0"/>
              <w:jc w:val="center"/>
              <w:rPr>
                <w:rFonts w:hint="eastAsia" w:ascii="宋体" w:hAnsi="宋体" w:cs="宋体"/>
                <w:color w:val="000000"/>
                <w:kern w:val="0"/>
                <w:sz w:val="18"/>
                <w:szCs w:val="18"/>
              </w:rPr>
            </w:pPr>
            <w:r>
              <w:rPr>
                <w:rFonts w:hint="eastAsia" w:ascii="宋体" w:hAnsi="宋体" w:cs="宋体"/>
                <w:color w:val="000000"/>
                <w:kern w:val="0"/>
                <w:sz w:val="18"/>
                <w:szCs w:val="18"/>
              </w:rPr>
              <w:t>个性指标</w:t>
            </w:r>
          </w:p>
          <w:p w14:paraId="547E79C5">
            <w:pPr>
              <w:widowControl/>
              <w:snapToGrid w:val="0"/>
              <w:jc w:val="center"/>
              <w:rPr>
                <w:rFonts w:hint="eastAsia" w:ascii="宋体" w:hAnsi="宋体" w:cs="宋体"/>
                <w:color w:val="000000"/>
                <w:kern w:val="0"/>
                <w:sz w:val="18"/>
                <w:szCs w:val="18"/>
              </w:rPr>
            </w:pPr>
            <w:r>
              <w:rPr>
                <w:rFonts w:hint="eastAsia" w:ascii="宋体" w:hAnsi="宋体" w:cs="宋体"/>
                <w:color w:val="000000"/>
                <w:kern w:val="0"/>
                <w:sz w:val="18"/>
                <w:szCs w:val="18"/>
              </w:rPr>
              <w:t>可选</w:t>
            </w:r>
          </w:p>
        </w:tc>
      </w:tr>
      <w:tr w14:paraId="7049C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1045" w:type="dxa"/>
            <w:vMerge w:val="continue"/>
            <w:vAlign w:val="center"/>
          </w:tcPr>
          <w:p w14:paraId="42E9382F">
            <w:pPr>
              <w:widowControl/>
              <w:snapToGrid w:val="0"/>
              <w:jc w:val="center"/>
              <w:rPr>
                <w:rFonts w:hint="eastAsia" w:ascii="宋体" w:hAnsi="宋体" w:cs="宋体"/>
                <w:color w:val="000000"/>
                <w:kern w:val="0"/>
                <w:sz w:val="18"/>
                <w:szCs w:val="18"/>
              </w:rPr>
            </w:pPr>
          </w:p>
        </w:tc>
        <w:tc>
          <w:tcPr>
            <w:tcW w:w="1386" w:type="dxa"/>
            <w:vMerge w:val="restart"/>
            <w:vAlign w:val="center"/>
          </w:tcPr>
          <w:p w14:paraId="081D3C3E">
            <w:pPr>
              <w:widowControl/>
              <w:snapToGrid w:val="0"/>
              <w:jc w:val="center"/>
              <w:rPr>
                <w:rFonts w:hint="eastAsia" w:ascii="宋体" w:hAnsi="宋体" w:cs="宋体"/>
                <w:color w:val="000000"/>
                <w:kern w:val="0"/>
                <w:sz w:val="18"/>
                <w:szCs w:val="18"/>
              </w:rPr>
            </w:pPr>
            <w:r>
              <w:rPr>
                <w:rFonts w:hint="eastAsia" w:ascii="宋体" w:hAnsi="宋体" w:cs="宋体"/>
                <w:color w:val="000000"/>
                <w:kern w:val="0"/>
                <w:sz w:val="18"/>
                <w:szCs w:val="18"/>
              </w:rPr>
              <w:t>退化土地治理情况</w:t>
            </w:r>
          </w:p>
        </w:tc>
        <w:tc>
          <w:tcPr>
            <w:tcW w:w="2003" w:type="dxa"/>
            <w:vAlign w:val="center"/>
          </w:tcPr>
          <w:p w14:paraId="649CCFD7">
            <w:pPr>
              <w:widowControl/>
              <w:snapToGrid w:val="0"/>
              <w:jc w:val="center"/>
              <w:rPr>
                <w:rFonts w:hint="eastAsia" w:ascii="宋体" w:hAnsi="宋体" w:cs="宋体"/>
                <w:color w:val="000000"/>
                <w:kern w:val="0"/>
                <w:sz w:val="18"/>
                <w:szCs w:val="18"/>
              </w:rPr>
            </w:pPr>
            <w:r>
              <w:rPr>
                <w:rFonts w:hint="eastAsia" w:ascii="宋体" w:hAnsi="宋体" w:cs="宋体"/>
                <w:color w:val="000000"/>
                <w:kern w:val="0"/>
                <w:sz w:val="18"/>
                <w:szCs w:val="18"/>
              </w:rPr>
              <w:t>沙化土地面积</w:t>
            </w:r>
          </w:p>
        </w:tc>
        <w:tc>
          <w:tcPr>
            <w:tcW w:w="1817" w:type="dxa"/>
            <w:vAlign w:val="center"/>
          </w:tcPr>
          <w:p w14:paraId="6EDE6995">
            <w:pPr>
              <w:widowControl/>
              <w:snapToGrid w:val="0"/>
              <w:jc w:val="center"/>
              <w:rPr>
                <w:rFonts w:hint="eastAsia" w:ascii="宋体" w:hAnsi="宋体" w:cs="宋体"/>
                <w:color w:val="000000"/>
                <w:kern w:val="0"/>
                <w:sz w:val="18"/>
                <w:szCs w:val="18"/>
              </w:rPr>
            </w:pPr>
            <w:r>
              <w:rPr>
                <w:rFonts w:hint="eastAsia" w:ascii="宋体" w:hAnsi="宋体" w:cs="宋体"/>
                <w:color w:val="000000"/>
                <w:kern w:val="0"/>
                <w:sz w:val="18"/>
                <w:szCs w:val="18"/>
              </w:rPr>
              <w:t>遥感监测，模型测算</w:t>
            </w:r>
          </w:p>
        </w:tc>
        <w:tc>
          <w:tcPr>
            <w:tcW w:w="1178" w:type="dxa"/>
            <w:vMerge w:val="continue"/>
            <w:vAlign w:val="center"/>
          </w:tcPr>
          <w:p w14:paraId="65856A58">
            <w:pPr>
              <w:widowControl/>
              <w:snapToGrid w:val="0"/>
              <w:jc w:val="center"/>
              <w:rPr>
                <w:rFonts w:hint="eastAsia" w:ascii="宋体" w:hAnsi="宋体" w:cs="宋体"/>
                <w:color w:val="000000"/>
                <w:kern w:val="0"/>
                <w:sz w:val="18"/>
                <w:szCs w:val="18"/>
              </w:rPr>
            </w:pPr>
          </w:p>
        </w:tc>
        <w:tc>
          <w:tcPr>
            <w:tcW w:w="1149" w:type="dxa"/>
            <w:vAlign w:val="center"/>
          </w:tcPr>
          <w:p w14:paraId="4A4D9D7E">
            <w:pPr>
              <w:widowControl/>
              <w:snapToGrid w:val="0"/>
              <w:jc w:val="center"/>
              <w:rPr>
                <w:rFonts w:hint="eastAsia" w:ascii="宋体" w:hAnsi="宋体" w:cs="宋体"/>
                <w:color w:val="000000"/>
                <w:kern w:val="0"/>
                <w:sz w:val="18"/>
                <w:szCs w:val="18"/>
              </w:rPr>
            </w:pPr>
            <w:r>
              <w:rPr>
                <w:rFonts w:hint="eastAsia" w:ascii="宋体" w:hAnsi="宋体" w:cs="宋体"/>
                <w:color w:val="000000"/>
                <w:kern w:val="0"/>
                <w:sz w:val="18"/>
                <w:szCs w:val="18"/>
              </w:rPr>
              <w:t>个性指标</w:t>
            </w:r>
          </w:p>
          <w:p w14:paraId="1E9FB75A">
            <w:pPr>
              <w:widowControl/>
              <w:snapToGrid w:val="0"/>
              <w:jc w:val="center"/>
              <w:rPr>
                <w:rFonts w:hint="eastAsia" w:ascii="宋体" w:hAnsi="宋体" w:cs="宋体"/>
                <w:color w:val="000000"/>
                <w:kern w:val="0"/>
                <w:sz w:val="18"/>
                <w:szCs w:val="18"/>
              </w:rPr>
            </w:pPr>
            <w:r>
              <w:rPr>
                <w:rFonts w:hint="eastAsia" w:ascii="宋体" w:hAnsi="宋体" w:cs="宋体"/>
                <w:color w:val="000000"/>
                <w:kern w:val="0"/>
                <w:sz w:val="18"/>
                <w:szCs w:val="18"/>
              </w:rPr>
              <w:t>可选</w:t>
            </w:r>
          </w:p>
        </w:tc>
      </w:tr>
      <w:tr w14:paraId="02F7E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1045" w:type="dxa"/>
            <w:vMerge w:val="continue"/>
            <w:vAlign w:val="center"/>
          </w:tcPr>
          <w:p w14:paraId="58E19E7F">
            <w:pPr>
              <w:widowControl/>
              <w:snapToGrid w:val="0"/>
              <w:jc w:val="center"/>
              <w:rPr>
                <w:rFonts w:hint="eastAsia" w:ascii="宋体" w:hAnsi="宋体" w:cs="宋体"/>
                <w:color w:val="000000"/>
                <w:kern w:val="0"/>
                <w:sz w:val="18"/>
                <w:szCs w:val="18"/>
              </w:rPr>
            </w:pPr>
          </w:p>
        </w:tc>
        <w:tc>
          <w:tcPr>
            <w:tcW w:w="1386" w:type="dxa"/>
            <w:vMerge w:val="continue"/>
            <w:vAlign w:val="center"/>
          </w:tcPr>
          <w:p w14:paraId="628A46C6">
            <w:pPr>
              <w:widowControl/>
              <w:snapToGrid w:val="0"/>
              <w:jc w:val="center"/>
              <w:rPr>
                <w:rFonts w:hint="eastAsia" w:ascii="宋体" w:hAnsi="宋体" w:cs="宋体"/>
                <w:color w:val="000000"/>
                <w:kern w:val="0"/>
                <w:sz w:val="18"/>
                <w:szCs w:val="18"/>
              </w:rPr>
            </w:pPr>
          </w:p>
        </w:tc>
        <w:tc>
          <w:tcPr>
            <w:tcW w:w="2003" w:type="dxa"/>
            <w:vAlign w:val="center"/>
          </w:tcPr>
          <w:p w14:paraId="6DCA158F">
            <w:pPr>
              <w:widowControl/>
              <w:snapToGrid w:val="0"/>
              <w:jc w:val="center"/>
              <w:rPr>
                <w:rFonts w:hint="eastAsia" w:ascii="宋体" w:hAnsi="宋体" w:cs="宋体"/>
                <w:color w:val="000000"/>
                <w:kern w:val="0"/>
                <w:sz w:val="18"/>
                <w:szCs w:val="18"/>
              </w:rPr>
            </w:pPr>
            <w:r>
              <w:rPr>
                <w:rFonts w:hint="eastAsia" w:ascii="宋体" w:hAnsi="宋体" w:cs="宋体"/>
                <w:color w:val="000000"/>
                <w:kern w:val="0"/>
                <w:sz w:val="18"/>
                <w:szCs w:val="18"/>
              </w:rPr>
              <w:t>盐渍化土地面积</w:t>
            </w:r>
          </w:p>
        </w:tc>
        <w:tc>
          <w:tcPr>
            <w:tcW w:w="1817" w:type="dxa"/>
            <w:vAlign w:val="center"/>
          </w:tcPr>
          <w:p w14:paraId="7CAA03E9">
            <w:pPr>
              <w:widowControl/>
              <w:snapToGrid w:val="0"/>
              <w:jc w:val="center"/>
              <w:rPr>
                <w:rFonts w:hint="eastAsia" w:ascii="宋体" w:hAnsi="宋体" w:cs="宋体"/>
                <w:color w:val="000000"/>
                <w:kern w:val="0"/>
                <w:sz w:val="18"/>
                <w:szCs w:val="18"/>
              </w:rPr>
            </w:pPr>
            <w:r>
              <w:rPr>
                <w:rFonts w:hint="eastAsia" w:ascii="宋体" w:hAnsi="宋体" w:cs="宋体"/>
                <w:color w:val="000000"/>
                <w:kern w:val="0"/>
                <w:sz w:val="18"/>
                <w:szCs w:val="18"/>
              </w:rPr>
              <w:t>遥感监测，模型测算</w:t>
            </w:r>
          </w:p>
        </w:tc>
        <w:tc>
          <w:tcPr>
            <w:tcW w:w="1178" w:type="dxa"/>
            <w:vMerge w:val="continue"/>
            <w:vAlign w:val="center"/>
          </w:tcPr>
          <w:p w14:paraId="2164F051">
            <w:pPr>
              <w:widowControl/>
              <w:snapToGrid w:val="0"/>
              <w:jc w:val="center"/>
              <w:rPr>
                <w:rFonts w:hint="eastAsia" w:ascii="宋体" w:hAnsi="宋体" w:cs="宋体"/>
                <w:color w:val="000000"/>
                <w:kern w:val="0"/>
                <w:sz w:val="18"/>
                <w:szCs w:val="18"/>
              </w:rPr>
            </w:pPr>
          </w:p>
        </w:tc>
        <w:tc>
          <w:tcPr>
            <w:tcW w:w="1149" w:type="dxa"/>
            <w:vAlign w:val="center"/>
          </w:tcPr>
          <w:p w14:paraId="386411D8">
            <w:pPr>
              <w:widowControl/>
              <w:snapToGrid w:val="0"/>
              <w:jc w:val="center"/>
              <w:rPr>
                <w:rFonts w:hint="eastAsia" w:ascii="宋体" w:hAnsi="宋体" w:cs="宋体"/>
                <w:color w:val="000000"/>
                <w:kern w:val="0"/>
                <w:sz w:val="18"/>
                <w:szCs w:val="18"/>
              </w:rPr>
            </w:pPr>
            <w:r>
              <w:rPr>
                <w:rFonts w:hint="eastAsia" w:ascii="宋体" w:hAnsi="宋体" w:cs="宋体"/>
                <w:color w:val="000000"/>
                <w:kern w:val="0"/>
                <w:sz w:val="18"/>
                <w:szCs w:val="18"/>
              </w:rPr>
              <w:t>个性指标</w:t>
            </w:r>
          </w:p>
          <w:p w14:paraId="720D4AB5">
            <w:pPr>
              <w:widowControl/>
              <w:snapToGrid w:val="0"/>
              <w:jc w:val="center"/>
              <w:rPr>
                <w:rFonts w:hint="eastAsia" w:ascii="宋体" w:hAnsi="宋体" w:cs="宋体"/>
                <w:color w:val="000000"/>
                <w:kern w:val="0"/>
                <w:sz w:val="18"/>
                <w:szCs w:val="18"/>
              </w:rPr>
            </w:pPr>
            <w:r>
              <w:rPr>
                <w:rFonts w:hint="eastAsia" w:ascii="宋体" w:hAnsi="宋体" w:cs="宋体"/>
                <w:color w:val="000000"/>
                <w:kern w:val="0"/>
                <w:sz w:val="18"/>
                <w:szCs w:val="18"/>
              </w:rPr>
              <w:t>可选</w:t>
            </w:r>
          </w:p>
        </w:tc>
      </w:tr>
      <w:tr w14:paraId="6BC05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1045" w:type="dxa"/>
            <w:vMerge w:val="continue"/>
            <w:vAlign w:val="center"/>
          </w:tcPr>
          <w:p w14:paraId="7B7093CA">
            <w:pPr>
              <w:widowControl/>
              <w:snapToGrid w:val="0"/>
              <w:jc w:val="center"/>
              <w:rPr>
                <w:rFonts w:hint="eastAsia" w:ascii="宋体" w:hAnsi="宋体" w:cs="宋体"/>
                <w:color w:val="000000"/>
                <w:kern w:val="0"/>
                <w:sz w:val="18"/>
                <w:szCs w:val="18"/>
              </w:rPr>
            </w:pPr>
          </w:p>
        </w:tc>
        <w:tc>
          <w:tcPr>
            <w:tcW w:w="1386" w:type="dxa"/>
            <w:vMerge w:val="continue"/>
            <w:vAlign w:val="center"/>
          </w:tcPr>
          <w:p w14:paraId="28E29609">
            <w:pPr>
              <w:widowControl/>
              <w:snapToGrid w:val="0"/>
              <w:jc w:val="center"/>
              <w:rPr>
                <w:rFonts w:hint="eastAsia" w:ascii="宋体" w:hAnsi="宋体" w:cs="宋体"/>
                <w:color w:val="000000"/>
                <w:kern w:val="0"/>
                <w:sz w:val="18"/>
                <w:szCs w:val="18"/>
              </w:rPr>
            </w:pPr>
          </w:p>
        </w:tc>
        <w:tc>
          <w:tcPr>
            <w:tcW w:w="2003" w:type="dxa"/>
            <w:vAlign w:val="center"/>
          </w:tcPr>
          <w:p w14:paraId="17A2A62C">
            <w:pPr>
              <w:widowControl/>
              <w:snapToGrid w:val="0"/>
              <w:jc w:val="center"/>
              <w:rPr>
                <w:rFonts w:hint="eastAsia" w:ascii="宋体" w:hAnsi="宋体" w:cs="宋体"/>
                <w:color w:val="000000"/>
                <w:kern w:val="0"/>
                <w:sz w:val="18"/>
                <w:szCs w:val="18"/>
              </w:rPr>
            </w:pPr>
            <w:r>
              <w:rPr>
                <w:rFonts w:hint="eastAsia" w:ascii="宋体" w:hAnsi="宋体" w:cs="宋体"/>
                <w:color w:val="000000"/>
                <w:kern w:val="0"/>
                <w:sz w:val="18"/>
                <w:szCs w:val="18"/>
              </w:rPr>
              <w:t>石漠化土地面积</w:t>
            </w:r>
          </w:p>
        </w:tc>
        <w:tc>
          <w:tcPr>
            <w:tcW w:w="1817" w:type="dxa"/>
            <w:vAlign w:val="center"/>
          </w:tcPr>
          <w:p w14:paraId="55CDA3B9">
            <w:pPr>
              <w:widowControl/>
              <w:snapToGrid w:val="0"/>
              <w:jc w:val="center"/>
              <w:rPr>
                <w:rFonts w:hint="eastAsia" w:ascii="宋体" w:hAnsi="宋体" w:cs="宋体"/>
                <w:color w:val="000000"/>
                <w:kern w:val="0"/>
                <w:sz w:val="18"/>
                <w:szCs w:val="18"/>
              </w:rPr>
            </w:pPr>
            <w:r>
              <w:rPr>
                <w:rFonts w:hint="eastAsia" w:ascii="宋体" w:hAnsi="宋体" w:cs="宋体"/>
                <w:color w:val="000000"/>
                <w:kern w:val="0"/>
                <w:sz w:val="18"/>
                <w:szCs w:val="18"/>
              </w:rPr>
              <w:t>遥感监测，模型测算</w:t>
            </w:r>
          </w:p>
        </w:tc>
        <w:tc>
          <w:tcPr>
            <w:tcW w:w="1178" w:type="dxa"/>
            <w:vMerge w:val="continue"/>
            <w:vAlign w:val="center"/>
          </w:tcPr>
          <w:p w14:paraId="4D0EE3D2">
            <w:pPr>
              <w:widowControl/>
              <w:snapToGrid w:val="0"/>
              <w:jc w:val="center"/>
              <w:rPr>
                <w:rFonts w:hint="eastAsia" w:ascii="宋体" w:hAnsi="宋体" w:cs="宋体"/>
                <w:color w:val="000000"/>
                <w:kern w:val="0"/>
                <w:sz w:val="18"/>
                <w:szCs w:val="18"/>
              </w:rPr>
            </w:pPr>
          </w:p>
        </w:tc>
        <w:tc>
          <w:tcPr>
            <w:tcW w:w="1149" w:type="dxa"/>
            <w:vAlign w:val="center"/>
          </w:tcPr>
          <w:p w14:paraId="4F46D38B">
            <w:pPr>
              <w:widowControl/>
              <w:snapToGrid w:val="0"/>
              <w:jc w:val="center"/>
              <w:rPr>
                <w:rFonts w:hint="eastAsia" w:ascii="宋体" w:hAnsi="宋体" w:cs="宋体"/>
                <w:color w:val="000000"/>
                <w:kern w:val="0"/>
                <w:sz w:val="18"/>
                <w:szCs w:val="18"/>
              </w:rPr>
            </w:pPr>
            <w:r>
              <w:rPr>
                <w:rFonts w:hint="eastAsia" w:ascii="宋体" w:hAnsi="宋体" w:cs="宋体"/>
                <w:color w:val="000000"/>
                <w:kern w:val="0"/>
                <w:sz w:val="18"/>
                <w:szCs w:val="18"/>
              </w:rPr>
              <w:t>个性指标</w:t>
            </w:r>
          </w:p>
          <w:p w14:paraId="6B2E56AE">
            <w:pPr>
              <w:widowControl/>
              <w:snapToGrid w:val="0"/>
              <w:jc w:val="center"/>
              <w:rPr>
                <w:rFonts w:hint="eastAsia" w:ascii="宋体" w:hAnsi="宋体" w:cs="宋体"/>
                <w:color w:val="000000"/>
                <w:kern w:val="0"/>
                <w:sz w:val="18"/>
                <w:szCs w:val="18"/>
              </w:rPr>
            </w:pPr>
            <w:r>
              <w:rPr>
                <w:rFonts w:hint="eastAsia" w:ascii="宋体" w:hAnsi="宋体" w:cs="宋体"/>
                <w:color w:val="000000"/>
                <w:kern w:val="0"/>
                <w:sz w:val="18"/>
                <w:szCs w:val="18"/>
              </w:rPr>
              <w:t>可选</w:t>
            </w:r>
          </w:p>
        </w:tc>
      </w:tr>
      <w:tr w14:paraId="7F60D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1045" w:type="dxa"/>
            <w:vMerge w:val="restart"/>
            <w:vAlign w:val="center"/>
          </w:tcPr>
          <w:p w14:paraId="4C537D6E">
            <w:pPr>
              <w:widowControl/>
              <w:snapToGrid w:val="0"/>
              <w:jc w:val="center"/>
              <w:rPr>
                <w:rFonts w:hint="eastAsia" w:ascii="宋体" w:hAnsi="宋体" w:cs="宋体"/>
                <w:color w:val="000000"/>
                <w:kern w:val="0"/>
                <w:sz w:val="18"/>
                <w:szCs w:val="18"/>
              </w:rPr>
            </w:pPr>
            <w:r>
              <w:rPr>
                <w:rFonts w:hint="eastAsia" w:ascii="宋体" w:hAnsi="宋体" w:cs="宋体"/>
                <w:color w:val="000000"/>
                <w:kern w:val="0"/>
                <w:sz w:val="18"/>
                <w:szCs w:val="18"/>
              </w:rPr>
              <w:t>生态系统服务</w:t>
            </w:r>
          </w:p>
        </w:tc>
        <w:tc>
          <w:tcPr>
            <w:tcW w:w="1386" w:type="dxa"/>
            <w:vMerge w:val="restart"/>
            <w:vAlign w:val="center"/>
          </w:tcPr>
          <w:p w14:paraId="39FFBA01">
            <w:pPr>
              <w:widowControl/>
              <w:snapToGrid w:val="0"/>
              <w:jc w:val="center"/>
              <w:rPr>
                <w:rFonts w:hint="eastAsia" w:ascii="宋体" w:hAnsi="宋体" w:cs="宋体"/>
                <w:color w:val="000000"/>
                <w:kern w:val="0"/>
                <w:sz w:val="18"/>
                <w:szCs w:val="18"/>
              </w:rPr>
            </w:pPr>
            <w:r>
              <w:rPr>
                <w:rFonts w:hint="eastAsia" w:ascii="宋体" w:hAnsi="宋体" w:cs="宋体"/>
                <w:color w:val="000000"/>
                <w:kern w:val="0"/>
                <w:sz w:val="18"/>
                <w:szCs w:val="18"/>
              </w:rPr>
              <w:t>水资源情况</w:t>
            </w:r>
          </w:p>
        </w:tc>
        <w:tc>
          <w:tcPr>
            <w:tcW w:w="2003" w:type="dxa"/>
            <w:vAlign w:val="center"/>
          </w:tcPr>
          <w:p w14:paraId="228F986C">
            <w:pPr>
              <w:widowControl/>
              <w:snapToGrid w:val="0"/>
              <w:jc w:val="center"/>
              <w:rPr>
                <w:rFonts w:hint="eastAsia" w:ascii="宋体" w:hAnsi="宋体" w:cs="宋体"/>
                <w:color w:val="000000"/>
                <w:kern w:val="0"/>
                <w:sz w:val="18"/>
                <w:szCs w:val="18"/>
              </w:rPr>
            </w:pPr>
            <w:r>
              <w:rPr>
                <w:rFonts w:hint="eastAsia" w:ascii="宋体" w:hAnsi="宋体" w:cs="宋体"/>
                <w:color w:val="000000"/>
                <w:kern w:val="0"/>
                <w:sz w:val="18"/>
                <w:szCs w:val="18"/>
              </w:rPr>
              <w:t>水源涵养量</w:t>
            </w:r>
          </w:p>
        </w:tc>
        <w:tc>
          <w:tcPr>
            <w:tcW w:w="1817" w:type="dxa"/>
            <w:vAlign w:val="center"/>
          </w:tcPr>
          <w:p w14:paraId="79D73BD3">
            <w:pPr>
              <w:widowControl/>
              <w:snapToGrid w:val="0"/>
              <w:jc w:val="center"/>
              <w:rPr>
                <w:rFonts w:hint="eastAsia" w:ascii="宋体" w:hAnsi="宋体" w:cs="宋体"/>
                <w:color w:val="000000"/>
                <w:kern w:val="0"/>
                <w:sz w:val="18"/>
                <w:szCs w:val="18"/>
              </w:rPr>
            </w:pPr>
            <w:r>
              <w:rPr>
                <w:rFonts w:hint="eastAsia" w:ascii="宋体" w:hAnsi="宋体" w:cs="宋体"/>
                <w:color w:val="000000"/>
                <w:kern w:val="0"/>
                <w:sz w:val="18"/>
                <w:szCs w:val="18"/>
              </w:rPr>
              <w:t>气象、水文台站获取、遥感监测、模型测算</w:t>
            </w:r>
          </w:p>
        </w:tc>
        <w:tc>
          <w:tcPr>
            <w:tcW w:w="1178" w:type="dxa"/>
            <w:vMerge w:val="restart"/>
            <w:vAlign w:val="center"/>
          </w:tcPr>
          <w:p w14:paraId="511F10A0">
            <w:pPr>
              <w:widowControl/>
              <w:snapToGrid w:val="0"/>
              <w:jc w:val="center"/>
              <w:rPr>
                <w:rFonts w:hint="eastAsia" w:ascii="宋体" w:hAnsi="宋体" w:cs="宋体"/>
                <w:color w:val="000000"/>
                <w:kern w:val="0"/>
                <w:sz w:val="18"/>
                <w:szCs w:val="18"/>
              </w:rPr>
            </w:pPr>
            <w:r>
              <w:rPr>
                <w:rFonts w:hint="eastAsia" w:ascii="宋体" w:hAnsi="宋体" w:cs="宋体"/>
                <w:color w:val="000000"/>
                <w:kern w:val="0"/>
                <w:sz w:val="18"/>
                <w:szCs w:val="18"/>
              </w:rPr>
              <w:t>生态保护修复单元、工程范围尺度</w:t>
            </w:r>
          </w:p>
          <w:p w14:paraId="2FCDB772">
            <w:pPr>
              <w:widowControl/>
              <w:snapToGrid w:val="0"/>
              <w:jc w:val="center"/>
              <w:rPr>
                <w:rFonts w:hint="eastAsia" w:ascii="宋体" w:hAnsi="宋体" w:cs="宋体"/>
                <w:color w:val="000000"/>
                <w:kern w:val="0"/>
                <w:sz w:val="18"/>
                <w:szCs w:val="18"/>
              </w:rPr>
            </w:pPr>
            <w:r>
              <w:rPr>
                <w:rFonts w:hint="eastAsia" w:ascii="宋体" w:hAnsi="宋体" w:cs="宋体"/>
                <w:color w:val="000000"/>
                <w:kern w:val="0"/>
                <w:sz w:val="18"/>
                <w:szCs w:val="18"/>
              </w:rPr>
              <w:t>子项目、生态保护修复单元尺度</w:t>
            </w:r>
          </w:p>
        </w:tc>
        <w:tc>
          <w:tcPr>
            <w:tcW w:w="1149" w:type="dxa"/>
            <w:vAlign w:val="center"/>
          </w:tcPr>
          <w:p w14:paraId="02036AC8">
            <w:pPr>
              <w:widowControl/>
              <w:snapToGrid w:val="0"/>
              <w:jc w:val="center"/>
              <w:rPr>
                <w:rFonts w:hint="eastAsia" w:ascii="宋体" w:hAnsi="宋体" w:cs="宋体"/>
                <w:color w:val="000000"/>
                <w:kern w:val="0"/>
                <w:sz w:val="18"/>
                <w:szCs w:val="18"/>
              </w:rPr>
            </w:pPr>
            <w:r>
              <w:rPr>
                <w:rFonts w:hint="eastAsia" w:ascii="宋体" w:hAnsi="宋体" w:cs="宋体"/>
                <w:color w:val="000000"/>
                <w:kern w:val="0"/>
                <w:sz w:val="18"/>
                <w:szCs w:val="18"/>
              </w:rPr>
              <w:t>共性指标</w:t>
            </w:r>
          </w:p>
          <w:p w14:paraId="58243061">
            <w:pPr>
              <w:widowControl/>
              <w:snapToGrid w:val="0"/>
              <w:jc w:val="center"/>
              <w:rPr>
                <w:rFonts w:hint="eastAsia" w:ascii="宋体" w:hAnsi="宋体" w:cs="宋体"/>
                <w:color w:val="000000"/>
                <w:kern w:val="0"/>
                <w:sz w:val="18"/>
                <w:szCs w:val="18"/>
              </w:rPr>
            </w:pPr>
            <w:r>
              <w:rPr>
                <w:rFonts w:hint="eastAsia" w:ascii="宋体" w:hAnsi="宋体" w:cs="宋体"/>
                <w:color w:val="000000"/>
                <w:kern w:val="0"/>
                <w:sz w:val="18"/>
                <w:szCs w:val="18"/>
              </w:rPr>
              <w:t>必选</w:t>
            </w:r>
          </w:p>
        </w:tc>
      </w:tr>
      <w:tr w14:paraId="07DAE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1045" w:type="dxa"/>
            <w:vMerge w:val="continue"/>
            <w:vAlign w:val="center"/>
          </w:tcPr>
          <w:p w14:paraId="41EA5F4B">
            <w:pPr>
              <w:widowControl/>
              <w:snapToGrid w:val="0"/>
              <w:jc w:val="center"/>
              <w:rPr>
                <w:rFonts w:hint="eastAsia" w:ascii="宋体" w:hAnsi="宋体" w:cs="宋体"/>
                <w:color w:val="000000"/>
                <w:kern w:val="0"/>
                <w:sz w:val="18"/>
                <w:szCs w:val="18"/>
              </w:rPr>
            </w:pPr>
          </w:p>
        </w:tc>
        <w:tc>
          <w:tcPr>
            <w:tcW w:w="1386" w:type="dxa"/>
            <w:vMerge w:val="continue"/>
            <w:vAlign w:val="center"/>
          </w:tcPr>
          <w:p w14:paraId="575690CB">
            <w:pPr>
              <w:widowControl/>
              <w:snapToGrid w:val="0"/>
              <w:jc w:val="center"/>
              <w:rPr>
                <w:rFonts w:hint="eastAsia" w:ascii="宋体" w:hAnsi="宋体" w:cs="宋体"/>
                <w:color w:val="000000"/>
                <w:kern w:val="0"/>
                <w:sz w:val="18"/>
                <w:szCs w:val="18"/>
              </w:rPr>
            </w:pPr>
          </w:p>
        </w:tc>
        <w:tc>
          <w:tcPr>
            <w:tcW w:w="2003" w:type="dxa"/>
            <w:vAlign w:val="center"/>
          </w:tcPr>
          <w:p w14:paraId="2EFD9FB4">
            <w:pPr>
              <w:widowControl/>
              <w:snapToGrid w:val="0"/>
              <w:jc w:val="center"/>
              <w:rPr>
                <w:rFonts w:hint="eastAsia" w:ascii="宋体" w:hAnsi="宋体" w:cs="宋体"/>
                <w:color w:val="000000"/>
                <w:kern w:val="0"/>
                <w:sz w:val="18"/>
                <w:szCs w:val="18"/>
              </w:rPr>
            </w:pPr>
            <w:r>
              <w:rPr>
                <w:rFonts w:hint="eastAsia" w:ascii="宋体" w:hAnsi="宋体" w:cs="宋体"/>
                <w:color w:val="000000"/>
                <w:kern w:val="0"/>
                <w:sz w:val="18"/>
                <w:szCs w:val="18"/>
              </w:rPr>
              <w:t>实际蒸散发量</w:t>
            </w:r>
          </w:p>
        </w:tc>
        <w:tc>
          <w:tcPr>
            <w:tcW w:w="1817" w:type="dxa"/>
            <w:vAlign w:val="center"/>
          </w:tcPr>
          <w:p w14:paraId="52E47BB4">
            <w:pPr>
              <w:widowControl/>
              <w:snapToGrid w:val="0"/>
              <w:jc w:val="center"/>
              <w:rPr>
                <w:rFonts w:hint="eastAsia" w:ascii="宋体" w:hAnsi="宋体" w:cs="宋体"/>
                <w:color w:val="000000"/>
                <w:kern w:val="0"/>
                <w:sz w:val="18"/>
                <w:szCs w:val="18"/>
              </w:rPr>
            </w:pPr>
            <w:r>
              <w:rPr>
                <w:rFonts w:hint="eastAsia" w:ascii="宋体" w:hAnsi="宋体" w:cs="宋体"/>
                <w:color w:val="000000"/>
                <w:kern w:val="0"/>
                <w:sz w:val="18"/>
                <w:szCs w:val="18"/>
              </w:rPr>
              <w:t>气象、水文台站获取、遥感监测、模型测算</w:t>
            </w:r>
          </w:p>
        </w:tc>
        <w:tc>
          <w:tcPr>
            <w:tcW w:w="1178" w:type="dxa"/>
            <w:vMerge w:val="continue"/>
            <w:vAlign w:val="center"/>
          </w:tcPr>
          <w:p w14:paraId="226A94E4">
            <w:pPr>
              <w:widowControl/>
              <w:snapToGrid w:val="0"/>
              <w:jc w:val="center"/>
              <w:rPr>
                <w:rFonts w:hint="eastAsia" w:ascii="宋体" w:hAnsi="宋体" w:cs="宋体"/>
                <w:color w:val="000000"/>
                <w:kern w:val="0"/>
                <w:sz w:val="18"/>
                <w:szCs w:val="18"/>
              </w:rPr>
            </w:pPr>
          </w:p>
        </w:tc>
        <w:tc>
          <w:tcPr>
            <w:tcW w:w="1149" w:type="dxa"/>
            <w:vAlign w:val="center"/>
          </w:tcPr>
          <w:p w14:paraId="6DDEA2E7">
            <w:pPr>
              <w:widowControl/>
              <w:snapToGrid w:val="0"/>
              <w:jc w:val="center"/>
              <w:rPr>
                <w:rFonts w:hint="eastAsia" w:ascii="宋体" w:hAnsi="宋体" w:cs="宋体"/>
                <w:color w:val="000000"/>
                <w:kern w:val="0"/>
                <w:sz w:val="18"/>
                <w:szCs w:val="18"/>
              </w:rPr>
            </w:pPr>
            <w:r>
              <w:rPr>
                <w:rFonts w:hint="eastAsia" w:ascii="宋体" w:hAnsi="宋体" w:cs="宋体"/>
                <w:color w:val="000000"/>
                <w:kern w:val="0"/>
                <w:sz w:val="18"/>
                <w:szCs w:val="18"/>
              </w:rPr>
              <w:t>个性指标</w:t>
            </w:r>
          </w:p>
          <w:p w14:paraId="111C5AFA">
            <w:pPr>
              <w:widowControl/>
              <w:snapToGrid w:val="0"/>
              <w:jc w:val="center"/>
              <w:rPr>
                <w:rFonts w:hint="eastAsia" w:ascii="宋体" w:hAnsi="宋体" w:cs="宋体"/>
                <w:color w:val="000000"/>
                <w:kern w:val="0"/>
                <w:sz w:val="18"/>
                <w:szCs w:val="18"/>
              </w:rPr>
            </w:pPr>
            <w:r>
              <w:rPr>
                <w:rFonts w:hint="eastAsia" w:ascii="宋体" w:hAnsi="宋体" w:cs="宋体"/>
                <w:color w:val="000000"/>
                <w:kern w:val="0"/>
                <w:sz w:val="18"/>
                <w:szCs w:val="18"/>
              </w:rPr>
              <w:t>可选</w:t>
            </w:r>
          </w:p>
        </w:tc>
      </w:tr>
      <w:tr w14:paraId="140EB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1045" w:type="dxa"/>
            <w:vMerge w:val="continue"/>
            <w:vAlign w:val="center"/>
          </w:tcPr>
          <w:p w14:paraId="7305987C">
            <w:pPr>
              <w:widowControl/>
              <w:snapToGrid w:val="0"/>
              <w:jc w:val="center"/>
              <w:rPr>
                <w:rFonts w:hint="eastAsia" w:ascii="宋体" w:hAnsi="宋体" w:cs="宋体"/>
                <w:color w:val="000000"/>
                <w:kern w:val="0"/>
                <w:sz w:val="18"/>
                <w:szCs w:val="18"/>
              </w:rPr>
            </w:pPr>
          </w:p>
        </w:tc>
        <w:tc>
          <w:tcPr>
            <w:tcW w:w="1386" w:type="dxa"/>
            <w:vMerge w:val="continue"/>
            <w:vAlign w:val="center"/>
          </w:tcPr>
          <w:p w14:paraId="38B7C11D">
            <w:pPr>
              <w:widowControl/>
              <w:snapToGrid w:val="0"/>
              <w:jc w:val="center"/>
              <w:rPr>
                <w:rFonts w:hint="eastAsia" w:ascii="宋体" w:hAnsi="宋体" w:cs="宋体"/>
                <w:color w:val="000000"/>
                <w:kern w:val="0"/>
                <w:sz w:val="18"/>
                <w:szCs w:val="18"/>
              </w:rPr>
            </w:pPr>
          </w:p>
        </w:tc>
        <w:tc>
          <w:tcPr>
            <w:tcW w:w="2003" w:type="dxa"/>
            <w:vAlign w:val="center"/>
          </w:tcPr>
          <w:p w14:paraId="7C7836F2">
            <w:pPr>
              <w:widowControl/>
              <w:snapToGrid w:val="0"/>
              <w:jc w:val="center"/>
              <w:rPr>
                <w:rFonts w:hint="eastAsia" w:ascii="宋体" w:hAnsi="宋体" w:cs="宋体"/>
                <w:color w:val="000000"/>
                <w:kern w:val="0"/>
                <w:sz w:val="18"/>
                <w:szCs w:val="18"/>
              </w:rPr>
            </w:pPr>
            <w:r>
              <w:rPr>
                <w:rFonts w:hint="eastAsia" w:ascii="宋体" w:hAnsi="宋体" w:cs="宋体"/>
                <w:color w:val="000000"/>
                <w:kern w:val="0"/>
                <w:sz w:val="18"/>
                <w:szCs w:val="18"/>
              </w:rPr>
              <w:t>洪水调蓄量</w:t>
            </w:r>
          </w:p>
        </w:tc>
        <w:tc>
          <w:tcPr>
            <w:tcW w:w="1817" w:type="dxa"/>
            <w:vAlign w:val="center"/>
          </w:tcPr>
          <w:p w14:paraId="2AE0D1B5">
            <w:pPr>
              <w:widowControl/>
              <w:snapToGrid w:val="0"/>
              <w:jc w:val="center"/>
              <w:rPr>
                <w:rFonts w:hint="eastAsia" w:ascii="宋体" w:hAnsi="宋体" w:cs="宋体"/>
                <w:b/>
                <w:bCs/>
                <w:color w:val="000000"/>
                <w:kern w:val="0"/>
                <w:sz w:val="18"/>
                <w:szCs w:val="18"/>
              </w:rPr>
            </w:pPr>
            <w:r>
              <w:rPr>
                <w:rFonts w:hint="eastAsia" w:ascii="宋体" w:hAnsi="宋体" w:cs="宋体"/>
                <w:color w:val="000000"/>
                <w:kern w:val="0"/>
                <w:sz w:val="18"/>
                <w:szCs w:val="18"/>
              </w:rPr>
              <w:t>气象、水文台站获取、遥感监测、模型测算</w:t>
            </w:r>
          </w:p>
        </w:tc>
        <w:tc>
          <w:tcPr>
            <w:tcW w:w="1178" w:type="dxa"/>
            <w:vMerge w:val="continue"/>
            <w:vAlign w:val="center"/>
          </w:tcPr>
          <w:p w14:paraId="0DD9E6E5">
            <w:pPr>
              <w:widowControl/>
              <w:snapToGrid w:val="0"/>
              <w:jc w:val="center"/>
              <w:rPr>
                <w:rFonts w:hint="eastAsia" w:ascii="宋体" w:hAnsi="宋体" w:cs="宋体"/>
                <w:color w:val="000000"/>
                <w:kern w:val="0"/>
                <w:sz w:val="18"/>
                <w:szCs w:val="18"/>
              </w:rPr>
            </w:pPr>
          </w:p>
        </w:tc>
        <w:tc>
          <w:tcPr>
            <w:tcW w:w="1149" w:type="dxa"/>
            <w:vAlign w:val="center"/>
          </w:tcPr>
          <w:p w14:paraId="7B7BA65F">
            <w:pPr>
              <w:widowControl/>
              <w:snapToGrid w:val="0"/>
              <w:jc w:val="center"/>
              <w:rPr>
                <w:rFonts w:hint="eastAsia" w:ascii="宋体" w:hAnsi="宋体" w:cs="宋体"/>
                <w:color w:val="000000"/>
                <w:kern w:val="0"/>
                <w:sz w:val="18"/>
                <w:szCs w:val="18"/>
              </w:rPr>
            </w:pPr>
            <w:r>
              <w:rPr>
                <w:rFonts w:hint="eastAsia" w:ascii="宋体" w:hAnsi="宋体" w:cs="宋体"/>
                <w:color w:val="000000"/>
                <w:kern w:val="0"/>
                <w:sz w:val="18"/>
                <w:szCs w:val="18"/>
              </w:rPr>
              <w:t>个性指标</w:t>
            </w:r>
          </w:p>
          <w:p w14:paraId="51AA79C8">
            <w:pPr>
              <w:widowControl/>
              <w:snapToGrid w:val="0"/>
              <w:jc w:val="center"/>
              <w:rPr>
                <w:rFonts w:hint="eastAsia" w:ascii="宋体" w:hAnsi="宋体" w:cs="宋体"/>
                <w:color w:val="000000"/>
                <w:kern w:val="0"/>
                <w:sz w:val="18"/>
                <w:szCs w:val="18"/>
              </w:rPr>
            </w:pPr>
            <w:r>
              <w:rPr>
                <w:rFonts w:hint="eastAsia" w:ascii="宋体" w:hAnsi="宋体" w:cs="宋体"/>
                <w:color w:val="000000"/>
                <w:kern w:val="0"/>
                <w:sz w:val="18"/>
                <w:szCs w:val="18"/>
              </w:rPr>
              <w:t>可选</w:t>
            </w:r>
          </w:p>
        </w:tc>
      </w:tr>
      <w:tr w14:paraId="027C6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1045" w:type="dxa"/>
            <w:vMerge w:val="continue"/>
            <w:vAlign w:val="center"/>
          </w:tcPr>
          <w:p w14:paraId="1486F624">
            <w:pPr>
              <w:widowControl/>
              <w:snapToGrid w:val="0"/>
              <w:jc w:val="center"/>
              <w:rPr>
                <w:rFonts w:hint="eastAsia" w:ascii="宋体" w:hAnsi="宋体" w:cs="宋体"/>
                <w:color w:val="000000"/>
                <w:kern w:val="0"/>
                <w:sz w:val="18"/>
                <w:szCs w:val="18"/>
              </w:rPr>
            </w:pPr>
          </w:p>
        </w:tc>
        <w:tc>
          <w:tcPr>
            <w:tcW w:w="1386" w:type="dxa"/>
            <w:vAlign w:val="center"/>
          </w:tcPr>
          <w:p w14:paraId="189D853E">
            <w:pPr>
              <w:widowControl/>
              <w:snapToGrid w:val="0"/>
              <w:jc w:val="center"/>
              <w:rPr>
                <w:rFonts w:hint="eastAsia" w:ascii="宋体" w:hAnsi="宋体" w:cs="宋体"/>
                <w:color w:val="000000"/>
                <w:kern w:val="0"/>
                <w:sz w:val="18"/>
                <w:szCs w:val="18"/>
              </w:rPr>
            </w:pPr>
            <w:r>
              <w:rPr>
                <w:rFonts w:hint="eastAsia" w:ascii="宋体" w:hAnsi="宋体" w:cs="宋体"/>
                <w:color w:val="000000"/>
                <w:kern w:val="0"/>
                <w:sz w:val="18"/>
                <w:szCs w:val="18"/>
              </w:rPr>
              <w:t>固沙情况</w:t>
            </w:r>
          </w:p>
        </w:tc>
        <w:tc>
          <w:tcPr>
            <w:tcW w:w="2003" w:type="dxa"/>
            <w:vAlign w:val="center"/>
          </w:tcPr>
          <w:p w14:paraId="6E0D5DE8">
            <w:pPr>
              <w:widowControl/>
              <w:snapToGrid w:val="0"/>
              <w:jc w:val="center"/>
              <w:rPr>
                <w:rFonts w:hint="eastAsia" w:ascii="宋体" w:hAnsi="宋体" w:cs="宋体"/>
                <w:color w:val="000000"/>
                <w:kern w:val="0"/>
                <w:sz w:val="18"/>
                <w:szCs w:val="18"/>
              </w:rPr>
            </w:pPr>
            <w:r>
              <w:rPr>
                <w:rFonts w:hint="eastAsia" w:ascii="宋体" w:hAnsi="宋体" w:cs="宋体"/>
                <w:color w:val="000000"/>
                <w:kern w:val="0"/>
                <w:sz w:val="18"/>
                <w:szCs w:val="18"/>
              </w:rPr>
              <w:t>防风固沙量</w:t>
            </w:r>
          </w:p>
        </w:tc>
        <w:tc>
          <w:tcPr>
            <w:tcW w:w="1817" w:type="dxa"/>
            <w:vAlign w:val="center"/>
          </w:tcPr>
          <w:p w14:paraId="11D88AF0">
            <w:pPr>
              <w:widowControl/>
              <w:snapToGrid w:val="0"/>
              <w:jc w:val="center"/>
              <w:rPr>
                <w:rFonts w:hint="eastAsia" w:ascii="宋体" w:hAnsi="宋体" w:cs="宋体"/>
                <w:color w:val="000000"/>
                <w:kern w:val="0"/>
                <w:sz w:val="18"/>
                <w:szCs w:val="18"/>
              </w:rPr>
            </w:pPr>
            <w:r>
              <w:rPr>
                <w:rFonts w:hint="eastAsia" w:ascii="宋体" w:hAnsi="宋体" w:cs="宋体"/>
                <w:color w:val="000000"/>
                <w:kern w:val="0"/>
                <w:sz w:val="18"/>
                <w:szCs w:val="18"/>
              </w:rPr>
              <w:t>遥感监测、模型测算</w:t>
            </w:r>
          </w:p>
        </w:tc>
        <w:tc>
          <w:tcPr>
            <w:tcW w:w="1178" w:type="dxa"/>
            <w:vMerge w:val="continue"/>
            <w:vAlign w:val="center"/>
          </w:tcPr>
          <w:p w14:paraId="3B56E431">
            <w:pPr>
              <w:widowControl/>
              <w:snapToGrid w:val="0"/>
              <w:jc w:val="center"/>
              <w:rPr>
                <w:rFonts w:hint="eastAsia" w:ascii="宋体" w:hAnsi="宋体" w:cs="宋体"/>
                <w:color w:val="000000"/>
                <w:kern w:val="0"/>
                <w:sz w:val="18"/>
                <w:szCs w:val="18"/>
              </w:rPr>
            </w:pPr>
          </w:p>
        </w:tc>
        <w:tc>
          <w:tcPr>
            <w:tcW w:w="1149" w:type="dxa"/>
            <w:vAlign w:val="center"/>
          </w:tcPr>
          <w:p w14:paraId="0F7CFED3">
            <w:pPr>
              <w:widowControl/>
              <w:snapToGrid w:val="0"/>
              <w:jc w:val="center"/>
              <w:rPr>
                <w:rFonts w:hint="eastAsia" w:ascii="宋体" w:hAnsi="宋体" w:cs="宋体"/>
                <w:color w:val="000000"/>
                <w:kern w:val="0"/>
                <w:sz w:val="18"/>
                <w:szCs w:val="18"/>
              </w:rPr>
            </w:pPr>
            <w:r>
              <w:rPr>
                <w:rFonts w:hint="eastAsia" w:ascii="宋体" w:hAnsi="宋体" w:cs="宋体"/>
                <w:color w:val="000000"/>
                <w:kern w:val="0"/>
                <w:sz w:val="18"/>
                <w:szCs w:val="18"/>
              </w:rPr>
              <w:t>个性指标</w:t>
            </w:r>
          </w:p>
          <w:p w14:paraId="4948A205">
            <w:pPr>
              <w:widowControl/>
              <w:snapToGrid w:val="0"/>
              <w:jc w:val="center"/>
              <w:rPr>
                <w:rFonts w:hint="eastAsia" w:ascii="宋体" w:hAnsi="宋体" w:cs="宋体"/>
                <w:color w:val="000000"/>
                <w:kern w:val="0"/>
                <w:sz w:val="18"/>
                <w:szCs w:val="18"/>
              </w:rPr>
            </w:pPr>
            <w:r>
              <w:rPr>
                <w:rFonts w:hint="eastAsia" w:ascii="宋体" w:hAnsi="宋体" w:cs="宋体"/>
                <w:color w:val="000000"/>
                <w:kern w:val="0"/>
                <w:sz w:val="18"/>
                <w:szCs w:val="18"/>
              </w:rPr>
              <w:t>可选</w:t>
            </w:r>
          </w:p>
        </w:tc>
      </w:tr>
      <w:tr w14:paraId="246D2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1045" w:type="dxa"/>
            <w:vMerge w:val="continue"/>
            <w:vAlign w:val="center"/>
          </w:tcPr>
          <w:p w14:paraId="7A11F559">
            <w:pPr>
              <w:widowControl/>
              <w:snapToGrid w:val="0"/>
              <w:jc w:val="center"/>
              <w:rPr>
                <w:rFonts w:hint="eastAsia" w:ascii="宋体" w:hAnsi="宋体" w:cs="宋体"/>
                <w:color w:val="000000"/>
                <w:kern w:val="0"/>
                <w:sz w:val="18"/>
                <w:szCs w:val="18"/>
              </w:rPr>
            </w:pPr>
          </w:p>
        </w:tc>
        <w:tc>
          <w:tcPr>
            <w:tcW w:w="1386" w:type="dxa"/>
            <w:vAlign w:val="center"/>
          </w:tcPr>
          <w:p w14:paraId="1DFE5704">
            <w:pPr>
              <w:widowControl/>
              <w:snapToGrid w:val="0"/>
              <w:jc w:val="center"/>
              <w:rPr>
                <w:rFonts w:hint="eastAsia" w:ascii="宋体" w:hAnsi="宋体" w:cs="宋体"/>
                <w:color w:val="000000"/>
                <w:kern w:val="0"/>
                <w:sz w:val="18"/>
                <w:szCs w:val="18"/>
              </w:rPr>
            </w:pPr>
            <w:r>
              <w:rPr>
                <w:rFonts w:hint="eastAsia" w:ascii="宋体" w:hAnsi="宋体" w:cs="宋体"/>
                <w:color w:val="000000"/>
                <w:kern w:val="0"/>
                <w:sz w:val="18"/>
                <w:szCs w:val="18"/>
              </w:rPr>
              <w:t>土壤保持情况</w:t>
            </w:r>
          </w:p>
        </w:tc>
        <w:tc>
          <w:tcPr>
            <w:tcW w:w="2003" w:type="dxa"/>
            <w:vAlign w:val="center"/>
          </w:tcPr>
          <w:p w14:paraId="415CEC6D">
            <w:pPr>
              <w:widowControl/>
              <w:snapToGrid w:val="0"/>
              <w:jc w:val="center"/>
              <w:rPr>
                <w:rFonts w:hint="eastAsia" w:ascii="宋体" w:hAnsi="宋体" w:cs="宋体"/>
                <w:color w:val="000000"/>
                <w:kern w:val="0"/>
                <w:sz w:val="18"/>
                <w:szCs w:val="18"/>
              </w:rPr>
            </w:pPr>
            <w:r>
              <w:rPr>
                <w:rFonts w:hint="eastAsia" w:ascii="宋体" w:hAnsi="宋体" w:cs="宋体"/>
                <w:color w:val="000000"/>
                <w:kern w:val="0"/>
                <w:sz w:val="18"/>
                <w:szCs w:val="18"/>
              </w:rPr>
              <w:t>土壤保持量</w:t>
            </w:r>
          </w:p>
        </w:tc>
        <w:tc>
          <w:tcPr>
            <w:tcW w:w="1817" w:type="dxa"/>
            <w:vAlign w:val="center"/>
          </w:tcPr>
          <w:p w14:paraId="24E6DF60">
            <w:pPr>
              <w:widowControl/>
              <w:snapToGrid w:val="0"/>
              <w:jc w:val="center"/>
              <w:rPr>
                <w:rFonts w:hint="eastAsia" w:ascii="宋体" w:hAnsi="宋体" w:cs="宋体"/>
                <w:color w:val="000000"/>
                <w:kern w:val="0"/>
                <w:sz w:val="18"/>
                <w:szCs w:val="18"/>
              </w:rPr>
            </w:pPr>
            <w:r>
              <w:rPr>
                <w:rFonts w:hint="eastAsia" w:ascii="宋体" w:hAnsi="宋体" w:cs="宋体"/>
                <w:color w:val="000000"/>
                <w:kern w:val="0"/>
                <w:sz w:val="18"/>
                <w:szCs w:val="18"/>
              </w:rPr>
              <w:t>遥感监测、模型测算</w:t>
            </w:r>
          </w:p>
        </w:tc>
        <w:tc>
          <w:tcPr>
            <w:tcW w:w="1178" w:type="dxa"/>
            <w:vMerge w:val="continue"/>
            <w:vAlign w:val="center"/>
          </w:tcPr>
          <w:p w14:paraId="48142E2E">
            <w:pPr>
              <w:widowControl/>
              <w:snapToGrid w:val="0"/>
              <w:jc w:val="center"/>
              <w:rPr>
                <w:rFonts w:hint="eastAsia" w:ascii="宋体" w:hAnsi="宋体" w:cs="宋体"/>
                <w:color w:val="000000"/>
                <w:kern w:val="0"/>
                <w:sz w:val="18"/>
                <w:szCs w:val="18"/>
              </w:rPr>
            </w:pPr>
          </w:p>
        </w:tc>
        <w:tc>
          <w:tcPr>
            <w:tcW w:w="1149" w:type="dxa"/>
            <w:vAlign w:val="center"/>
          </w:tcPr>
          <w:p w14:paraId="493C7F6A">
            <w:pPr>
              <w:widowControl/>
              <w:snapToGrid w:val="0"/>
              <w:jc w:val="center"/>
              <w:rPr>
                <w:rFonts w:hint="eastAsia" w:ascii="宋体" w:hAnsi="宋体" w:cs="宋体"/>
                <w:color w:val="000000"/>
                <w:kern w:val="0"/>
                <w:sz w:val="18"/>
                <w:szCs w:val="18"/>
              </w:rPr>
            </w:pPr>
            <w:r>
              <w:rPr>
                <w:rFonts w:hint="eastAsia" w:ascii="宋体" w:hAnsi="宋体" w:cs="宋体"/>
                <w:color w:val="000000"/>
                <w:kern w:val="0"/>
                <w:sz w:val="18"/>
                <w:szCs w:val="18"/>
              </w:rPr>
              <w:t>个性指标</w:t>
            </w:r>
          </w:p>
          <w:p w14:paraId="30F0E425">
            <w:pPr>
              <w:widowControl/>
              <w:snapToGrid w:val="0"/>
              <w:jc w:val="center"/>
              <w:rPr>
                <w:rFonts w:hint="eastAsia" w:ascii="宋体" w:hAnsi="宋体" w:cs="宋体"/>
                <w:color w:val="000000"/>
                <w:kern w:val="0"/>
                <w:sz w:val="18"/>
                <w:szCs w:val="18"/>
              </w:rPr>
            </w:pPr>
            <w:r>
              <w:rPr>
                <w:rFonts w:hint="eastAsia" w:ascii="宋体" w:hAnsi="宋体" w:cs="宋体"/>
                <w:color w:val="000000"/>
                <w:kern w:val="0"/>
                <w:sz w:val="18"/>
                <w:szCs w:val="18"/>
              </w:rPr>
              <w:t>可选</w:t>
            </w:r>
          </w:p>
        </w:tc>
      </w:tr>
      <w:tr w14:paraId="7BDE5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1045" w:type="dxa"/>
            <w:vMerge w:val="continue"/>
            <w:vAlign w:val="center"/>
          </w:tcPr>
          <w:p w14:paraId="09DA17C2">
            <w:pPr>
              <w:widowControl/>
              <w:snapToGrid w:val="0"/>
              <w:jc w:val="center"/>
              <w:rPr>
                <w:rFonts w:hint="eastAsia" w:ascii="宋体" w:hAnsi="宋体" w:cs="宋体"/>
                <w:color w:val="000000"/>
                <w:kern w:val="0"/>
                <w:sz w:val="18"/>
                <w:szCs w:val="18"/>
              </w:rPr>
            </w:pPr>
          </w:p>
        </w:tc>
        <w:tc>
          <w:tcPr>
            <w:tcW w:w="1386" w:type="dxa"/>
            <w:vMerge w:val="restart"/>
            <w:vAlign w:val="center"/>
          </w:tcPr>
          <w:p w14:paraId="0ECE2D52">
            <w:pPr>
              <w:widowControl/>
              <w:snapToGrid w:val="0"/>
              <w:jc w:val="center"/>
              <w:rPr>
                <w:rFonts w:hint="eastAsia" w:ascii="宋体" w:hAnsi="宋体" w:cs="宋体"/>
                <w:color w:val="000000"/>
                <w:kern w:val="0"/>
                <w:sz w:val="18"/>
                <w:szCs w:val="18"/>
              </w:rPr>
            </w:pPr>
            <w:r>
              <w:rPr>
                <w:rFonts w:hint="eastAsia" w:ascii="宋体" w:hAnsi="宋体" w:cs="宋体"/>
                <w:color w:val="000000"/>
                <w:kern w:val="0"/>
                <w:sz w:val="18"/>
                <w:szCs w:val="18"/>
              </w:rPr>
              <w:t>生物多样性改善情况</w:t>
            </w:r>
          </w:p>
        </w:tc>
        <w:tc>
          <w:tcPr>
            <w:tcW w:w="2003" w:type="dxa"/>
            <w:vAlign w:val="center"/>
          </w:tcPr>
          <w:p w14:paraId="16AD4CFA">
            <w:pPr>
              <w:widowControl/>
              <w:snapToGrid w:val="0"/>
              <w:jc w:val="center"/>
              <w:rPr>
                <w:rFonts w:hint="eastAsia" w:ascii="宋体" w:hAnsi="宋体" w:cs="宋体"/>
                <w:color w:val="000000"/>
                <w:kern w:val="0"/>
                <w:sz w:val="18"/>
                <w:szCs w:val="18"/>
              </w:rPr>
            </w:pPr>
            <w:r>
              <w:rPr>
                <w:rFonts w:hint="eastAsia" w:ascii="宋体" w:hAnsi="宋体" w:cs="宋体"/>
                <w:color w:val="000000"/>
                <w:kern w:val="0"/>
                <w:sz w:val="18"/>
                <w:szCs w:val="18"/>
              </w:rPr>
              <w:t>物种丰富度</w:t>
            </w:r>
          </w:p>
        </w:tc>
        <w:tc>
          <w:tcPr>
            <w:tcW w:w="1817" w:type="dxa"/>
            <w:vAlign w:val="center"/>
          </w:tcPr>
          <w:p w14:paraId="116ED06A">
            <w:pPr>
              <w:widowControl/>
              <w:snapToGrid w:val="0"/>
              <w:jc w:val="center"/>
              <w:rPr>
                <w:rFonts w:hint="eastAsia" w:ascii="宋体" w:hAnsi="宋体" w:cs="宋体"/>
                <w:b/>
                <w:bCs/>
                <w:color w:val="000000"/>
                <w:kern w:val="0"/>
                <w:sz w:val="18"/>
                <w:szCs w:val="18"/>
              </w:rPr>
            </w:pPr>
            <w:r>
              <w:rPr>
                <w:rFonts w:hint="eastAsia" w:ascii="宋体" w:hAnsi="宋体" w:cs="宋体"/>
                <w:color w:val="000000"/>
                <w:kern w:val="0"/>
                <w:sz w:val="18"/>
                <w:szCs w:val="18"/>
              </w:rPr>
              <w:t>实地调查、模型测算</w:t>
            </w:r>
          </w:p>
        </w:tc>
        <w:tc>
          <w:tcPr>
            <w:tcW w:w="1178" w:type="dxa"/>
            <w:vMerge w:val="continue"/>
            <w:vAlign w:val="center"/>
          </w:tcPr>
          <w:p w14:paraId="633E31D2">
            <w:pPr>
              <w:widowControl/>
              <w:snapToGrid w:val="0"/>
              <w:jc w:val="center"/>
              <w:rPr>
                <w:rFonts w:hint="eastAsia" w:ascii="宋体" w:hAnsi="宋体" w:cs="宋体"/>
                <w:color w:val="000000"/>
                <w:kern w:val="0"/>
                <w:sz w:val="18"/>
                <w:szCs w:val="18"/>
              </w:rPr>
            </w:pPr>
          </w:p>
        </w:tc>
        <w:tc>
          <w:tcPr>
            <w:tcW w:w="1149" w:type="dxa"/>
            <w:vAlign w:val="center"/>
          </w:tcPr>
          <w:p w14:paraId="640A31C9">
            <w:pPr>
              <w:widowControl/>
              <w:snapToGrid w:val="0"/>
              <w:jc w:val="center"/>
              <w:rPr>
                <w:rFonts w:hint="eastAsia" w:ascii="宋体" w:hAnsi="宋体" w:cs="宋体"/>
                <w:color w:val="000000"/>
                <w:kern w:val="0"/>
                <w:sz w:val="18"/>
                <w:szCs w:val="18"/>
              </w:rPr>
            </w:pPr>
            <w:r>
              <w:rPr>
                <w:rFonts w:hint="eastAsia" w:ascii="宋体" w:hAnsi="宋体" w:cs="宋体"/>
                <w:color w:val="000000"/>
                <w:kern w:val="0"/>
                <w:sz w:val="18"/>
                <w:szCs w:val="18"/>
              </w:rPr>
              <w:t>共性指标</w:t>
            </w:r>
          </w:p>
          <w:p w14:paraId="7624C674">
            <w:pPr>
              <w:widowControl/>
              <w:snapToGrid w:val="0"/>
              <w:jc w:val="center"/>
              <w:rPr>
                <w:rFonts w:hint="eastAsia" w:ascii="宋体" w:hAnsi="宋体" w:cs="宋体"/>
                <w:color w:val="000000"/>
                <w:kern w:val="0"/>
                <w:sz w:val="18"/>
                <w:szCs w:val="18"/>
              </w:rPr>
            </w:pPr>
            <w:r>
              <w:rPr>
                <w:rFonts w:hint="eastAsia" w:ascii="宋体" w:hAnsi="宋体" w:cs="宋体"/>
                <w:color w:val="000000"/>
                <w:kern w:val="0"/>
                <w:sz w:val="18"/>
                <w:szCs w:val="18"/>
              </w:rPr>
              <w:t>必选</w:t>
            </w:r>
          </w:p>
        </w:tc>
      </w:tr>
      <w:tr w14:paraId="45140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1045" w:type="dxa"/>
            <w:vMerge w:val="continue"/>
            <w:vAlign w:val="center"/>
          </w:tcPr>
          <w:p w14:paraId="1C1EA1E3">
            <w:pPr>
              <w:widowControl/>
              <w:snapToGrid w:val="0"/>
              <w:jc w:val="center"/>
              <w:rPr>
                <w:rFonts w:hint="eastAsia" w:ascii="宋体" w:hAnsi="宋体" w:cs="宋体"/>
                <w:color w:val="000000"/>
                <w:kern w:val="0"/>
                <w:sz w:val="18"/>
                <w:szCs w:val="18"/>
              </w:rPr>
            </w:pPr>
          </w:p>
        </w:tc>
        <w:tc>
          <w:tcPr>
            <w:tcW w:w="1386" w:type="dxa"/>
            <w:vMerge w:val="continue"/>
            <w:vAlign w:val="center"/>
          </w:tcPr>
          <w:p w14:paraId="5E353A55">
            <w:pPr>
              <w:widowControl/>
              <w:snapToGrid w:val="0"/>
              <w:jc w:val="center"/>
              <w:rPr>
                <w:rFonts w:hint="eastAsia" w:ascii="宋体" w:hAnsi="宋体" w:cs="宋体"/>
                <w:color w:val="000000"/>
                <w:kern w:val="0"/>
                <w:sz w:val="18"/>
                <w:szCs w:val="18"/>
              </w:rPr>
            </w:pPr>
          </w:p>
        </w:tc>
        <w:tc>
          <w:tcPr>
            <w:tcW w:w="2003" w:type="dxa"/>
            <w:vAlign w:val="center"/>
          </w:tcPr>
          <w:p w14:paraId="3B0BC9E9">
            <w:pPr>
              <w:widowControl/>
              <w:snapToGrid w:val="0"/>
              <w:jc w:val="center"/>
              <w:rPr>
                <w:rFonts w:hint="eastAsia" w:ascii="宋体" w:hAnsi="宋体" w:cs="宋体"/>
                <w:color w:val="000000"/>
                <w:kern w:val="0"/>
                <w:sz w:val="18"/>
                <w:szCs w:val="18"/>
              </w:rPr>
            </w:pPr>
            <w:r>
              <w:rPr>
                <w:rFonts w:hint="eastAsia" w:ascii="宋体" w:hAnsi="宋体" w:cs="宋体"/>
                <w:color w:val="000000"/>
                <w:kern w:val="0"/>
                <w:sz w:val="18"/>
                <w:szCs w:val="18"/>
              </w:rPr>
              <w:t>重点物种数目</w:t>
            </w:r>
          </w:p>
        </w:tc>
        <w:tc>
          <w:tcPr>
            <w:tcW w:w="1817" w:type="dxa"/>
            <w:vAlign w:val="center"/>
          </w:tcPr>
          <w:p w14:paraId="4E4DD339">
            <w:pPr>
              <w:widowControl/>
              <w:snapToGrid w:val="0"/>
              <w:jc w:val="center"/>
              <w:rPr>
                <w:rFonts w:hint="eastAsia" w:ascii="宋体" w:hAnsi="宋体" w:cs="宋体"/>
                <w:color w:val="000000"/>
                <w:kern w:val="0"/>
                <w:sz w:val="18"/>
                <w:szCs w:val="18"/>
              </w:rPr>
            </w:pPr>
            <w:r>
              <w:rPr>
                <w:rFonts w:hint="eastAsia" w:ascii="宋体" w:hAnsi="宋体" w:cs="宋体"/>
                <w:color w:val="000000"/>
                <w:kern w:val="0"/>
                <w:sz w:val="18"/>
                <w:szCs w:val="18"/>
              </w:rPr>
              <w:t>实地调查</w:t>
            </w:r>
          </w:p>
        </w:tc>
        <w:tc>
          <w:tcPr>
            <w:tcW w:w="1178" w:type="dxa"/>
            <w:vMerge w:val="continue"/>
            <w:vAlign w:val="center"/>
          </w:tcPr>
          <w:p w14:paraId="1AAD1AE9">
            <w:pPr>
              <w:widowControl/>
              <w:snapToGrid w:val="0"/>
              <w:jc w:val="center"/>
              <w:rPr>
                <w:rFonts w:hint="eastAsia" w:ascii="宋体" w:hAnsi="宋体" w:cs="宋体"/>
                <w:color w:val="000000"/>
                <w:kern w:val="0"/>
                <w:sz w:val="18"/>
                <w:szCs w:val="18"/>
              </w:rPr>
            </w:pPr>
          </w:p>
        </w:tc>
        <w:tc>
          <w:tcPr>
            <w:tcW w:w="1149" w:type="dxa"/>
            <w:vAlign w:val="center"/>
          </w:tcPr>
          <w:p w14:paraId="7DEE1104">
            <w:pPr>
              <w:widowControl/>
              <w:snapToGrid w:val="0"/>
              <w:jc w:val="center"/>
              <w:rPr>
                <w:rFonts w:hint="eastAsia" w:ascii="宋体" w:hAnsi="宋体" w:cs="宋体"/>
                <w:color w:val="000000"/>
                <w:kern w:val="0"/>
                <w:sz w:val="18"/>
                <w:szCs w:val="18"/>
              </w:rPr>
            </w:pPr>
            <w:r>
              <w:rPr>
                <w:rFonts w:hint="eastAsia" w:ascii="宋体" w:hAnsi="宋体" w:cs="宋体"/>
                <w:color w:val="000000"/>
                <w:kern w:val="0"/>
                <w:sz w:val="18"/>
                <w:szCs w:val="18"/>
              </w:rPr>
              <w:t>个性指标</w:t>
            </w:r>
          </w:p>
          <w:p w14:paraId="310FC562">
            <w:pPr>
              <w:widowControl/>
              <w:snapToGrid w:val="0"/>
              <w:jc w:val="center"/>
              <w:rPr>
                <w:rFonts w:hint="eastAsia" w:ascii="宋体" w:hAnsi="宋体" w:cs="宋体"/>
                <w:color w:val="000000"/>
                <w:kern w:val="0"/>
                <w:sz w:val="18"/>
                <w:szCs w:val="18"/>
              </w:rPr>
            </w:pPr>
            <w:r>
              <w:rPr>
                <w:rFonts w:hint="eastAsia" w:ascii="宋体" w:hAnsi="宋体" w:cs="宋体"/>
                <w:color w:val="000000"/>
                <w:kern w:val="0"/>
                <w:sz w:val="18"/>
                <w:szCs w:val="18"/>
              </w:rPr>
              <w:t>可选</w:t>
            </w:r>
          </w:p>
        </w:tc>
      </w:tr>
      <w:tr w14:paraId="3F1F4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1045" w:type="dxa"/>
            <w:vMerge w:val="continue"/>
            <w:vAlign w:val="center"/>
          </w:tcPr>
          <w:p w14:paraId="2D924662">
            <w:pPr>
              <w:widowControl/>
              <w:snapToGrid w:val="0"/>
              <w:jc w:val="center"/>
              <w:rPr>
                <w:rFonts w:hint="eastAsia" w:ascii="宋体" w:hAnsi="宋体" w:cs="宋体"/>
                <w:color w:val="000000"/>
                <w:kern w:val="0"/>
                <w:sz w:val="18"/>
                <w:szCs w:val="18"/>
              </w:rPr>
            </w:pPr>
          </w:p>
        </w:tc>
        <w:tc>
          <w:tcPr>
            <w:tcW w:w="1386" w:type="dxa"/>
            <w:vMerge w:val="continue"/>
            <w:vAlign w:val="center"/>
          </w:tcPr>
          <w:p w14:paraId="5FA2DD37">
            <w:pPr>
              <w:widowControl/>
              <w:snapToGrid w:val="0"/>
              <w:jc w:val="center"/>
              <w:rPr>
                <w:rFonts w:hint="eastAsia" w:ascii="宋体" w:hAnsi="宋体" w:cs="宋体"/>
                <w:color w:val="000000"/>
                <w:kern w:val="0"/>
                <w:sz w:val="18"/>
                <w:szCs w:val="18"/>
              </w:rPr>
            </w:pPr>
          </w:p>
        </w:tc>
        <w:tc>
          <w:tcPr>
            <w:tcW w:w="2003" w:type="dxa"/>
            <w:vAlign w:val="center"/>
          </w:tcPr>
          <w:p w14:paraId="060D68FE">
            <w:pPr>
              <w:widowControl/>
              <w:snapToGrid w:val="0"/>
              <w:jc w:val="center"/>
              <w:rPr>
                <w:rFonts w:hint="eastAsia" w:ascii="宋体" w:hAnsi="宋体" w:cs="宋体"/>
                <w:color w:val="000000"/>
                <w:kern w:val="0"/>
                <w:sz w:val="18"/>
                <w:szCs w:val="18"/>
              </w:rPr>
            </w:pPr>
            <w:r>
              <w:rPr>
                <w:rFonts w:hint="eastAsia" w:ascii="宋体" w:hAnsi="宋体" w:cs="宋体"/>
                <w:color w:val="000000"/>
                <w:kern w:val="0"/>
                <w:sz w:val="18"/>
                <w:szCs w:val="18"/>
              </w:rPr>
              <w:t>特有物种数目</w:t>
            </w:r>
          </w:p>
        </w:tc>
        <w:tc>
          <w:tcPr>
            <w:tcW w:w="1817" w:type="dxa"/>
            <w:vAlign w:val="center"/>
          </w:tcPr>
          <w:p w14:paraId="4B817BDD">
            <w:pPr>
              <w:widowControl/>
              <w:snapToGrid w:val="0"/>
              <w:jc w:val="center"/>
              <w:rPr>
                <w:rFonts w:hint="eastAsia" w:ascii="宋体" w:hAnsi="宋体" w:cs="宋体"/>
                <w:color w:val="000000"/>
                <w:kern w:val="0"/>
                <w:sz w:val="18"/>
                <w:szCs w:val="18"/>
              </w:rPr>
            </w:pPr>
            <w:r>
              <w:rPr>
                <w:rFonts w:hint="eastAsia" w:ascii="宋体" w:hAnsi="宋体" w:cs="宋体"/>
                <w:color w:val="000000"/>
                <w:kern w:val="0"/>
                <w:sz w:val="18"/>
                <w:szCs w:val="18"/>
              </w:rPr>
              <w:t>实地调查</w:t>
            </w:r>
          </w:p>
        </w:tc>
        <w:tc>
          <w:tcPr>
            <w:tcW w:w="1178" w:type="dxa"/>
            <w:vMerge w:val="continue"/>
            <w:vAlign w:val="center"/>
          </w:tcPr>
          <w:p w14:paraId="4179B1D7">
            <w:pPr>
              <w:widowControl/>
              <w:snapToGrid w:val="0"/>
              <w:jc w:val="center"/>
              <w:rPr>
                <w:rFonts w:hint="eastAsia" w:ascii="宋体" w:hAnsi="宋体" w:cs="宋体"/>
                <w:color w:val="000000"/>
                <w:kern w:val="0"/>
                <w:sz w:val="18"/>
                <w:szCs w:val="18"/>
              </w:rPr>
            </w:pPr>
          </w:p>
        </w:tc>
        <w:tc>
          <w:tcPr>
            <w:tcW w:w="1149" w:type="dxa"/>
            <w:vAlign w:val="center"/>
          </w:tcPr>
          <w:p w14:paraId="74A855CD">
            <w:pPr>
              <w:widowControl/>
              <w:snapToGrid w:val="0"/>
              <w:jc w:val="center"/>
              <w:rPr>
                <w:rFonts w:hint="eastAsia" w:ascii="宋体" w:hAnsi="宋体" w:cs="宋体"/>
                <w:color w:val="000000"/>
                <w:kern w:val="0"/>
                <w:sz w:val="18"/>
                <w:szCs w:val="18"/>
              </w:rPr>
            </w:pPr>
            <w:r>
              <w:rPr>
                <w:rFonts w:hint="eastAsia" w:ascii="宋体" w:hAnsi="宋体" w:cs="宋体"/>
                <w:color w:val="000000"/>
                <w:kern w:val="0"/>
                <w:sz w:val="18"/>
                <w:szCs w:val="18"/>
              </w:rPr>
              <w:t>个性指标</w:t>
            </w:r>
          </w:p>
          <w:p w14:paraId="78F08B5C">
            <w:pPr>
              <w:widowControl/>
              <w:snapToGrid w:val="0"/>
              <w:jc w:val="center"/>
              <w:rPr>
                <w:rFonts w:hint="eastAsia" w:ascii="宋体" w:hAnsi="宋体" w:cs="宋体"/>
                <w:color w:val="000000"/>
                <w:kern w:val="0"/>
                <w:sz w:val="18"/>
                <w:szCs w:val="18"/>
              </w:rPr>
            </w:pPr>
            <w:r>
              <w:rPr>
                <w:rFonts w:hint="eastAsia" w:ascii="宋体" w:hAnsi="宋体" w:cs="宋体"/>
                <w:color w:val="000000"/>
                <w:kern w:val="0"/>
                <w:sz w:val="18"/>
                <w:szCs w:val="18"/>
              </w:rPr>
              <w:t>可选</w:t>
            </w:r>
          </w:p>
        </w:tc>
      </w:tr>
      <w:tr w14:paraId="0C065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1045" w:type="dxa"/>
            <w:vMerge w:val="continue"/>
            <w:vAlign w:val="center"/>
          </w:tcPr>
          <w:p w14:paraId="2EBBEDAA">
            <w:pPr>
              <w:widowControl/>
              <w:snapToGrid w:val="0"/>
              <w:jc w:val="center"/>
              <w:rPr>
                <w:rFonts w:hint="eastAsia" w:ascii="宋体" w:hAnsi="宋体" w:cs="宋体"/>
                <w:color w:val="000000"/>
                <w:kern w:val="0"/>
                <w:sz w:val="18"/>
                <w:szCs w:val="18"/>
              </w:rPr>
            </w:pPr>
          </w:p>
        </w:tc>
        <w:tc>
          <w:tcPr>
            <w:tcW w:w="1386" w:type="dxa"/>
            <w:vAlign w:val="center"/>
          </w:tcPr>
          <w:p w14:paraId="7A996D1E">
            <w:pPr>
              <w:widowControl/>
              <w:snapToGrid w:val="0"/>
              <w:jc w:val="center"/>
              <w:rPr>
                <w:rFonts w:hint="eastAsia" w:ascii="宋体" w:hAnsi="宋体" w:cs="宋体"/>
                <w:color w:val="000000"/>
                <w:kern w:val="0"/>
                <w:sz w:val="18"/>
                <w:szCs w:val="18"/>
              </w:rPr>
            </w:pPr>
            <w:r>
              <w:rPr>
                <w:rFonts w:hint="eastAsia" w:ascii="宋体" w:hAnsi="宋体" w:cs="宋体"/>
                <w:color w:val="000000"/>
                <w:kern w:val="0"/>
                <w:sz w:val="18"/>
                <w:szCs w:val="18"/>
              </w:rPr>
              <w:t>固碳服务情况</w:t>
            </w:r>
          </w:p>
        </w:tc>
        <w:tc>
          <w:tcPr>
            <w:tcW w:w="2003" w:type="dxa"/>
            <w:vAlign w:val="center"/>
          </w:tcPr>
          <w:p w14:paraId="6AFC1A59">
            <w:pPr>
              <w:widowControl/>
              <w:snapToGrid w:val="0"/>
              <w:jc w:val="center"/>
              <w:rPr>
                <w:rFonts w:hint="eastAsia" w:ascii="宋体" w:hAnsi="宋体" w:cs="宋体"/>
                <w:color w:val="000000"/>
                <w:kern w:val="0"/>
                <w:sz w:val="18"/>
                <w:szCs w:val="18"/>
              </w:rPr>
            </w:pPr>
            <w:r>
              <w:rPr>
                <w:rFonts w:hint="eastAsia" w:ascii="宋体" w:hAnsi="宋体" w:cs="宋体"/>
                <w:color w:val="000000"/>
                <w:kern w:val="0"/>
                <w:sz w:val="18"/>
                <w:szCs w:val="18"/>
              </w:rPr>
              <w:t>固碳量</w:t>
            </w:r>
          </w:p>
        </w:tc>
        <w:tc>
          <w:tcPr>
            <w:tcW w:w="1817" w:type="dxa"/>
            <w:vAlign w:val="center"/>
          </w:tcPr>
          <w:p w14:paraId="648BAB4F">
            <w:pPr>
              <w:widowControl/>
              <w:snapToGrid w:val="0"/>
              <w:jc w:val="center"/>
              <w:rPr>
                <w:rFonts w:hint="eastAsia" w:ascii="宋体" w:hAnsi="宋体" w:cs="宋体"/>
                <w:color w:val="000000"/>
                <w:kern w:val="0"/>
                <w:sz w:val="18"/>
                <w:szCs w:val="18"/>
              </w:rPr>
            </w:pPr>
            <w:r>
              <w:rPr>
                <w:rFonts w:hint="eastAsia" w:ascii="宋体" w:hAnsi="宋体" w:cs="宋体"/>
                <w:color w:val="000000"/>
                <w:kern w:val="0"/>
                <w:sz w:val="18"/>
                <w:szCs w:val="18"/>
              </w:rPr>
              <w:t>实地监测</w:t>
            </w:r>
          </w:p>
        </w:tc>
        <w:tc>
          <w:tcPr>
            <w:tcW w:w="1178" w:type="dxa"/>
            <w:vMerge w:val="continue"/>
            <w:vAlign w:val="center"/>
          </w:tcPr>
          <w:p w14:paraId="5D37F3F4">
            <w:pPr>
              <w:widowControl/>
              <w:snapToGrid w:val="0"/>
              <w:jc w:val="center"/>
              <w:rPr>
                <w:rFonts w:hint="eastAsia" w:ascii="宋体" w:hAnsi="宋体" w:cs="宋体"/>
                <w:color w:val="000000"/>
                <w:kern w:val="0"/>
                <w:sz w:val="18"/>
                <w:szCs w:val="18"/>
              </w:rPr>
            </w:pPr>
          </w:p>
        </w:tc>
        <w:tc>
          <w:tcPr>
            <w:tcW w:w="1149" w:type="dxa"/>
            <w:vAlign w:val="center"/>
          </w:tcPr>
          <w:p w14:paraId="4696B3F4">
            <w:pPr>
              <w:widowControl/>
              <w:snapToGrid w:val="0"/>
              <w:jc w:val="center"/>
              <w:rPr>
                <w:rFonts w:hint="eastAsia" w:ascii="宋体" w:hAnsi="宋体" w:cs="宋体"/>
                <w:color w:val="000000"/>
                <w:kern w:val="0"/>
                <w:sz w:val="18"/>
                <w:szCs w:val="18"/>
              </w:rPr>
            </w:pPr>
            <w:r>
              <w:rPr>
                <w:rFonts w:hint="eastAsia" w:ascii="宋体" w:hAnsi="宋体" w:cs="宋体"/>
                <w:color w:val="000000"/>
                <w:kern w:val="0"/>
                <w:sz w:val="18"/>
                <w:szCs w:val="18"/>
              </w:rPr>
              <w:t>个性指标</w:t>
            </w:r>
          </w:p>
          <w:p w14:paraId="1E826917">
            <w:pPr>
              <w:widowControl/>
              <w:snapToGrid w:val="0"/>
              <w:jc w:val="center"/>
              <w:rPr>
                <w:rFonts w:hint="eastAsia" w:ascii="宋体" w:hAnsi="宋体" w:cs="宋体"/>
                <w:color w:val="000000"/>
                <w:kern w:val="0"/>
                <w:sz w:val="18"/>
                <w:szCs w:val="18"/>
              </w:rPr>
            </w:pPr>
            <w:r>
              <w:rPr>
                <w:rFonts w:hint="eastAsia" w:ascii="宋体" w:hAnsi="宋体" w:cs="宋体"/>
                <w:color w:val="000000"/>
                <w:kern w:val="0"/>
                <w:sz w:val="18"/>
                <w:szCs w:val="18"/>
              </w:rPr>
              <w:t>可选</w:t>
            </w:r>
          </w:p>
        </w:tc>
      </w:tr>
      <w:tr w14:paraId="36905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1045" w:type="dxa"/>
            <w:vMerge w:val="restart"/>
            <w:vAlign w:val="center"/>
          </w:tcPr>
          <w:p w14:paraId="6AFE21B1">
            <w:pPr>
              <w:widowControl/>
              <w:snapToGrid w:val="0"/>
              <w:jc w:val="center"/>
              <w:rPr>
                <w:rFonts w:hint="eastAsia" w:ascii="宋体" w:hAnsi="宋体" w:cs="宋体"/>
                <w:color w:val="000000"/>
                <w:kern w:val="0"/>
                <w:sz w:val="18"/>
                <w:szCs w:val="18"/>
              </w:rPr>
            </w:pPr>
            <w:r>
              <w:rPr>
                <w:rFonts w:hint="eastAsia" w:ascii="宋体" w:hAnsi="宋体" w:cs="宋体"/>
                <w:color w:val="000000"/>
                <w:kern w:val="0"/>
                <w:sz w:val="18"/>
                <w:szCs w:val="18"/>
              </w:rPr>
              <w:t>工程监测管护</w:t>
            </w:r>
          </w:p>
        </w:tc>
        <w:tc>
          <w:tcPr>
            <w:tcW w:w="1386" w:type="dxa"/>
            <w:vAlign w:val="center"/>
          </w:tcPr>
          <w:p w14:paraId="325F744B">
            <w:pPr>
              <w:widowControl/>
              <w:snapToGrid w:val="0"/>
              <w:jc w:val="center"/>
              <w:rPr>
                <w:rFonts w:hint="eastAsia" w:ascii="宋体" w:hAnsi="宋体" w:cs="宋体"/>
                <w:color w:val="000000"/>
                <w:kern w:val="0"/>
                <w:sz w:val="18"/>
                <w:szCs w:val="18"/>
              </w:rPr>
            </w:pPr>
            <w:r>
              <w:rPr>
                <w:rFonts w:hint="eastAsia" w:ascii="宋体" w:hAnsi="宋体" w:cs="宋体"/>
                <w:color w:val="000000"/>
                <w:kern w:val="0"/>
                <w:sz w:val="18"/>
                <w:szCs w:val="18"/>
              </w:rPr>
              <w:t>工程监测情况</w:t>
            </w:r>
          </w:p>
        </w:tc>
        <w:tc>
          <w:tcPr>
            <w:tcW w:w="2003" w:type="dxa"/>
            <w:vAlign w:val="center"/>
          </w:tcPr>
          <w:p w14:paraId="12FD37CB">
            <w:pPr>
              <w:widowControl/>
              <w:snapToGrid w:val="0"/>
              <w:jc w:val="center"/>
              <w:rPr>
                <w:rFonts w:hint="eastAsia" w:ascii="宋体" w:hAnsi="宋体" w:cs="宋体"/>
                <w:color w:val="000000"/>
                <w:kern w:val="0"/>
                <w:sz w:val="18"/>
                <w:szCs w:val="18"/>
              </w:rPr>
            </w:pPr>
            <w:r>
              <w:rPr>
                <w:rFonts w:hint="eastAsia" w:ascii="宋体" w:hAnsi="宋体" w:cs="宋体"/>
                <w:color w:val="000000"/>
                <w:kern w:val="0"/>
                <w:sz w:val="18"/>
                <w:szCs w:val="18"/>
              </w:rPr>
              <w:t>监测样点的数目</w:t>
            </w:r>
          </w:p>
        </w:tc>
        <w:tc>
          <w:tcPr>
            <w:tcW w:w="1817" w:type="dxa"/>
            <w:vAlign w:val="center"/>
          </w:tcPr>
          <w:p w14:paraId="1752125B">
            <w:pPr>
              <w:widowControl/>
              <w:snapToGrid w:val="0"/>
              <w:jc w:val="center"/>
              <w:rPr>
                <w:rFonts w:hint="eastAsia" w:ascii="宋体" w:hAnsi="宋体" w:cs="宋体"/>
                <w:color w:val="000000"/>
                <w:kern w:val="0"/>
                <w:sz w:val="18"/>
                <w:szCs w:val="18"/>
              </w:rPr>
            </w:pPr>
            <w:r>
              <w:rPr>
                <w:rFonts w:hint="eastAsia" w:ascii="宋体" w:hAnsi="宋体" w:cs="宋体"/>
                <w:color w:val="000000"/>
                <w:kern w:val="0"/>
                <w:sz w:val="18"/>
                <w:szCs w:val="18"/>
              </w:rPr>
              <w:t>实地调查</w:t>
            </w:r>
          </w:p>
        </w:tc>
        <w:tc>
          <w:tcPr>
            <w:tcW w:w="1178" w:type="dxa"/>
            <w:vMerge w:val="restart"/>
            <w:vAlign w:val="center"/>
          </w:tcPr>
          <w:p w14:paraId="4296FBF5">
            <w:pPr>
              <w:widowControl/>
              <w:snapToGrid w:val="0"/>
              <w:jc w:val="center"/>
              <w:rPr>
                <w:rFonts w:hint="eastAsia" w:ascii="宋体" w:hAnsi="宋体" w:cs="宋体"/>
                <w:color w:val="000000"/>
                <w:kern w:val="0"/>
                <w:sz w:val="18"/>
                <w:szCs w:val="18"/>
              </w:rPr>
            </w:pPr>
            <w:r>
              <w:rPr>
                <w:rFonts w:hint="eastAsia" w:ascii="宋体" w:hAnsi="宋体" w:cs="宋体"/>
                <w:color w:val="000000"/>
                <w:kern w:val="0"/>
                <w:sz w:val="18"/>
                <w:szCs w:val="18"/>
              </w:rPr>
              <w:t>子项目、生态保护修复单元、工程范围</w:t>
            </w:r>
          </w:p>
        </w:tc>
        <w:tc>
          <w:tcPr>
            <w:tcW w:w="1149" w:type="dxa"/>
            <w:vAlign w:val="center"/>
          </w:tcPr>
          <w:p w14:paraId="354CCA1C">
            <w:pPr>
              <w:widowControl/>
              <w:snapToGrid w:val="0"/>
              <w:jc w:val="center"/>
              <w:rPr>
                <w:rFonts w:hint="eastAsia" w:ascii="宋体" w:hAnsi="宋体" w:cs="宋体"/>
                <w:color w:val="000000"/>
                <w:kern w:val="0"/>
                <w:sz w:val="18"/>
                <w:szCs w:val="18"/>
              </w:rPr>
            </w:pPr>
            <w:r>
              <w:rPr>
                <w:rFonts w:hint="eastAsia" w:ascii="宋体" w:hAnsi="宋体" w:cs="宋体"/>
                <w:color w:val="000000"/>
                <w:kern w:val="0"/>
                <w:sz w:val="18"/>
                <w:szCs w:val="18"/>
              </w:rPr>
              <w:t>共性指标</w:t>
            </w:r>
          </w:p>
          <w:p w14:paraId="5DF2616C">
            <w:pPr>
              <w:widowControl/>
              <w:snapToGrid w:val="0"/>
              <w:jc w:val="center"/>
              <w:rPr>
                <w:rFonts w:hint="eastAsia" w:ascii="宋体" w:hAnsi="宋体" w:cs="宋体"/>
                <w:color w:val="000000"/>
                <w:kern w:val="0"/>
                <w:sz w:val="18"/>
                <w:szCs w:val="18"/>
              </w:rPr>
            </w:pPr>
            <w:r>
              <w:rPr>
                <w:rFonts w:hint="eastAsia" w:ascii="宋体" w:hAnsi="宋体" w:cs="宋体"/>
                <w:color w:val="000000"/>
                <w:kern w:val="0"/>
                <w:sz w:val="18"/>
                <w:szCs w:val="18"/>
              </w:rPr>
              <w:t>可选</w:t>
            </w:r>
          </w:p>
        </w:tc>
      </w:tr>
      <w:tr w14:paraId="5DF2A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1045" w:type="dxa"/>
            <w:vMerge w:val="continue"/>
            <w:vAlign w:val="center"/>
          </w:tcPr>
          <w:p w14:paraId="596CA699">
            <w:pPr>
              <w:widowControl/>
              <w:snapToGrid w:val="0"/>
              <w:jc w:val="center"/>
              <w:rPr>
                <w:rFonts w:hint="eastAsia" w:ascii="宋体" w:hAnsi="宋体" w:cs="宋体"/>
                <w:color w:val="000000"/>
                <w:kern w:val="0"/>
                <w:sz w:val="18"/>
                <w:szCs w:val="18"/>
              </w:rPr>
            </w:pPr>
          </w:p>
        </w:tc>
        <w:tc>
          <w:tcPr>
            <w:tcW w:w="1386" w:type="dxa"/>
            <w:vMerge w:val="restart"/>
            <w:vAlign w:val="center"/>
          </w:tcPr>
          <w:p w14:paraId="38401798">
            <w:pPr>
              <w:widowControl/>
              <w:snapToGrid w:val="0"/>
              <w:jc w:val="center"/>
              <w:rPr>
                <w:rFonts w:hint="eastAsia" w:ascii="宋体" w:hAnsi="宋体" w:cs="宋体"/>
                <w:color w:val="000000"/>
                <w:kern w:val="0"/>
                <w:sz w:val="18"/>
                <w:szCs w:val="18"/>
              </w:rPr>
            </w:pPr>
            <w:r>
              <w:rPr>
                <w:rFonts w:hint="eastAsia" w:ascii="宋体" w:hAnsi="宋体" w:cs="宋体"/>
                <w:color w:val="000000"/>
                <w:kern w:val="0"/>
                <w:sz w:val="18"/>
                <w:szCs w:val="18"/>
              </w:rPr>
              <w:t>工程完成情况</w:t>
            </w:r>
          </w:p>
        </w:tc>
        <w:tc>
          <w:tcPr>
            <w:tcW w:w="2003" w:type="dxa"/>
            <w:vAlign w:val="center"/>
          </w:tcPr>
          <w:p w14:paraId="0DD5FE29">
            <w:pPr>
              <w:widowControl/>
              <w:snapToGrid w:val="0"/>
              <w:jc w:val="center"/>
              <w:rPr>
                <w:rFonts w:hint="eastAsia" w:ascii="宋体" w:hAnsi="宋体" w:cs="宋体"/>
                <w:color w:val="000000"/>
                <w:kern w:val="0"/>
                <w:sz w:val="18"/>
                <w:szCs w:val="18"/>
              </w:rPr>
            </w:pPr>
            <w:r>
              <w:rPr>
                <w:rFonts w:hint="eastAsia" w:ascii="宋体" w:hAnsi="宋体" w:cs="宋体"/>
                <w:color w:val="000000"/>
                <w:kern w:val="0"/>
                <w:sz w:val="18"/>
                <w:szCs w:val="18"/>
              </w:rPr>
              <w:t>工程完成率</w:t>
            </w:r>
          </w:p>
        </w:tc>
        <w:tc>
          <w:tcPr>
            <w:tcW w:w="1817" w:type="dxa"/>
            <w:vAlign w:val="center"/>
          </w:tcPr>
          <w:p w14:paraId="6584197F">
            <w:pPr>
              <w:widowControl/>
              <w:snapToGrid w:val="0"/>
              <w:jc w:val="center"/>
              <w:rPr>
                <w:rFonts w:hint="eastAsia" w:ascii="宋体" w:hAnsi="宋体" w:cs="宋体"/>
                <w:color w:val="000000"/>
                <w:kern w:val="0"/>
                <w:sz w:val="18"/>
                <w:szCs w:val="18"/>
              </w:rPr>
            </w:pPr>
            <w:r>
              <w:rPr>
                <w:rFonts w:hint="eastAsia" w:ascii="宋体" w:hAnsi="宋体" w:cs="宋体"/>
                <w:color w:val="000000"/>
                <w:kern w:val="0"/>
                <w:sz w:val="18"/>
                <w:szCs w:val="18"/>
              </w:rPr>
              <w:t>实地调查</w:t>
            </w:r>
          </w:p>
        </w:tc>
        <w:tc>
          <w:tcPr>
            <w:tcW w:w="1178" w:type="dxa"/>
            <w:vMerge w:val="continue"/>
            <w:vAlign w:val="center"/>
          </w:tcPr>
          <w:p w14:paraId="17D31C98">
            <w:pPr>
              <w:widowControl/>
              <w:snapToGrid w:val="0"/>
              <w:jc w:val="center"/>
              <w:rPr>
                <w:rFonts w:hint="eastAsia" w:ascii="宋体" w:hAnsi="宋体" w:cs="宋体"/>
                <w:color w:val="000000"/>
                <w:kern w:val="0"/>
                <w:sz w:val="18"/>
                <w:szCs w:val="18"/>
              </w:rPr>
            </w:pPr>
          </w:p>
        </w:tc>
        <w:tc>
          <w:tcPr>
            <w:tcW w:w="1149" w:type="dxa"/>
            <w:vAlign w:val="center"/>
          </w:tcPr>
          <w:p w14:paraId="18FCA593">
            <w:pPr>
              <w:widowControl/>
              <w:snapToGrid w:val="0"/>
              <w:jc w:val="center"/>
              <w:rPr>
                <w:rFonts w:hint="eastAsia" w:ascii="宋体" w:hAnsi="宋体" w:cs="宋体"/>
                <w:color w:val="000000"/>
                <w:kern w:val="0"/>
                <w:sz w:val="18"/>
                <w:szCs w:val="18"/>
              </w:rPr>
            </w:pPr>
            <w:r>
              <w:rPr>
                <w:rFonts w:hint="eastAsia" w:ascii="宋体" w:hAnsi="宋体" w:cs="宋体"/>
                <w:color w:val="000000"/>
                <w:kern w:val="0"/>
                <w:sz w:val="18"/>
                <w:szCs w:val="18"/>
              </w:rPr>
              <w:t>共性指标</w:t>
            </w:r>
          </w:p>
          <w:p w14:paraId="2F68AE47">
            <w:pPr>
              <w:widowControl/>
              <w:snapToGrid w:val="0"/>
              <w:jc w:val="center"/>
              <w:rPr>
                <w:rFonts w:hint="eastAsia" w:ascii="宋体" w:hAnsi="宋体" w:cs="宋体"/>
                <w:color w:val="000000"/>
                <w:kern w:val="0"/>
                <w:sz w:val="18"/>
                <w:szCs w:val="18"/>
              </w:rPr>
            </w:pPr>
            <w:r>
              <w:rPr>
                <w:rFonts w:hint="eastAsia" w:ascii="宋体" w:hAnsi="宋体" w:cs="宋体"/>
                <w:color w:val="000000"/>
                <w:kern w:val="0"/>
                <w:sz w:val="18"/>
                <w:szCs w:val="18"/>
              </w:rPr>
              <w:t>可选</w:t>
            </w:r>
          </w:p>
        </w:tc>
      </w:tr>
      <w:tr w14:paraId="5A2C6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1045" w:type="dxa"/>
            <w:vMerge w:val="continue"/>
            <w:vAlign w:val="center"/>
          </w:tcPr>
          <w:p w14:paraId="4094DA09">
            <w:pPr>
              <w:widowControl/>
              <w:snapToGrid w:val="0"/>
              <w:jc w:val="center"/>
              <w:rPr>
                <w:rFonts w:hint="eastAsia" w:ascii="宋体" w:hAnsi="宋体" w:cs="宋体"/>
                <w:color w:val="000000"/>
                <w:kern w:val="0"/>
                <w:sz w:val="18"/>
                <w:szCs w:val="18"/>
              </w:rPr>
            </w:pPr>
          </w:p>
        </w:tc>
        <w:tc>
          <w:tcPr>
            <w:tcW w:w="1386" w:type="dxa"/>
            <w:vMerge w:val="continue"/>
            <w:vAlign w:val="center"/>
          </w:tcPr>
          <w:p w14:paraId="297D657C">
            <w:pPr>
              <w:widowControl/>
              <w:snapToGrid w:val="0"/>
              <w:jc w:val="center"/>
              <w:rPr>
                <w:rFonts w:hint="eastAsia" w:ascii="宋体" w:hAnsi="宋体" w:cs="宋体"/>
                <w:color w:val="000000"/>
                <w:kern w:val="0"/>
                <w:sz w:val="18"/>
                <w:szCs w:val="18"/>
              </w:rPr>
            </w:pPr>
          </w:p>
        </w:tc>
        <w:tc>
          <w:tcPr>
            <w:tcW w:w="2003" w:type="dxa"/>
            <w:vAlign w:val="center"/>
          </w:tcPr>
          <w:p w14:paraId="4AAB1432">
            <w:pPr>
              <w:widowControl/>
              <w:snapToGrid w:val="0"/>
              <w:jc w:val="center"/>
              <w:rPr>
                <w:rFonts w:hint="eastAsia" w:ascii="宋体" w:hAnsi="宋体" w:cs="宋体"/>
                <w:color w:val="000000"/>
                <w:kern w:val="0"/>
                <w:sz w:val="18"/>
                <w:szCs w:val="18"/>
              </w:rPr>
            </w:pPr>
            <w:r>
              <w:rPr>
                <w:rFonts w:hint="eastAsia" w:ascii="宋体" w:hAnsi="宋体" w:cs="宋体"/>
                <w:color w:val="000000"/>
                <w:kern w:val="0"/>
                <w:sz w:val="18"/>
                <w:szCs w:val="18"/>
              </w:rPr>
              <w:t>单位面积修复成本</w:t>
            </w:r>
          </w:p>
        </w:tc>
        <w:tc>
          <w:tcPr>
            <w:tcW w:w="1817" w:type="dxa"/>
            <w:vAlign w:val="center"/>
          </w:tcPr>
          <w:p w14:paraId="2032AD50">
            <w:pPr>
              <w:widowControl/>
              <w:snapToGrid w:val="0"/>
              <w:jc w:val="center"/>
              <w:rPr>
                <w:rFonts w:hint="eastAsia" w:ascii="宋体" w:hAnsi="宋体" w:cs="宋体"/>
                <w:color w:val="000000"/>
                <w:kern w:val="0"/>
                <w:sz w:val="18"/>
                <w:szCs w:val="18"/>
              </w:rPr>
            </w:pPr>
            <w:r>
              <w:rPr>
                <w:rFonts w:hint="eastAsia" w:ascii="宋体" w:hAnsi="宋体" w:cs="宋体"/>
                <w:color w:val="000000"/>
                <w:kern w:val="0"/>
                <w:sz w:val="18"/>
                <w:szCs w:val="18"/>
              </w:rPr>
              <w:t>实地调查</w:t>
            </w:r>
          </w:p>
        </w:tc>
        <w:tc>
          <w:tcPr>
            <w:tcW w:w="1178" w:type="dxa"/>
            <w:vMerge w:val="continue"/>
            <w:vAlign w:val="center"/>
          </w:tcPr>
          <w:p w14:paraId="532FA629">
            <w:pPr>
              <w:widowControl/>
              <w:snapToGrid w:val="0"/>
              <w:jc w:val="center"/>
              <w:rPr>
                <w:rFonts w:hint="eastAsia" w:ascii="宋体" w:hAnsi="宋体" w:cs="宋体"/>
                <w:color w:val="000000"/>
                <w:kern w:val="0"/>
                <w:sz w:val="18"/>
                <w:szCs w:val="18"/>
              </w:rPr>
            </w:pPr>
          </w:p>
        </w:tc>
        <w:tc>
          <w:tcPr>
            <w:tcW w:w="1149" w:type="dxa"/>
            <w:vAlign w:val="center"/>
          </w:tcPr>
          <w:p w14:paraId="66065366">
            <w:pPr>
              <w:widowControl/>
              <w:snapToGrid w:val="0"/>
              <w:jc w:val="center"/>
              <w:rPr>
                <w:rFonts w:hint="eastAsia" w:ascii="宋体" w:hAnsi="宋体" w:cs="宋体"/>
                <w:color w:val="000000"/>
                <w:kern w:val="0"/>
                <w:sz w:val="18"/>
                <w:szCs w:val="18"/>
              </w:rPr>
            </w:pPr>
            <w:r>
              <w:rPr>
                <w:rFonts w:hint="eastAsia" w:ascii="宋体" w:hAnsi="宋体" w:cs="宋体"/>
                <w:color w:val="000000"/>
                <w:kern w:val="0"/>
                <w:sz w:val="18"/>
                <w:szCs w:val="18"/>
              </w:rPr>
              <w:t>共性指标</w:t>
            </w:r>
          </w:p>
          <w:p w14:paraId="1BBA6E76">
            <w:pPr>
              <w:widowControl/>
              <w:snapToGrid w:val="0"/>
              <w:jc w:val="center"/>
              <w:rPr>
                <w:rFonts w:hint="eastAsia" w:ascii="宋体" w:hAnsi="宋体" w:cs="宋体"/>
                <w:color w:val="000000"/>
                <w:kern w:val="0"/>
                <w:sz w:val="18"/>
                <w:szCs w:val="18"/>
              </w:rPr>
            </w:pPr>
            <w:r>
              <w:rPr>
                <w:rFonts w:hint="eastAsia" w:ascii="宋体" w:hAnsi="宋体" w:cs="宋体"/>
                <w:color w:val="000000"/>
                <w:kern w:val="0"/>
                <w:sz w:val="18"/>
                <w:szCs w:val="18"/>
              </w:rPr>
              <w:t>可选</w:t>
            </w:r>
          </w:p>
        </w:tc>
      </w:tr>
      <w:tr w14:paraId="2C9E7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1045" w:type="dxa"/>
            <w:vMerge w:val="continue"/>
            <w:vAlign w:val="center"/>
          </w:tcPr>
          <w:p w14:paraId="74BB7D51">
            <w:pPr>
              <w:widowControl/>
              <w:snapToGrid w:val="0"/>
              <w:jc w:val="center"/>
              <w:rPr>
                <w:rFonts w:hint="eastAsia" w:ascii="宋体" w:hAnsi="宋体" w:cs="宋体"/>
                <w:color w:val="000000"/>
                <w:kern w:val="0"/>
                <w:sz w:val="18"/>
                <w:szCs w:val="18"/>
              </w:rPr>
            </w:pPr>
          </w:p>
        </w:tc>
        <w:tc>
          <w:tcPr>
            <w:tcW w:w="1386" w:type="dxa"/>
            <w:vMerge w:val="restart"/>
            <w:vAlign w:val="center"/>
          </w:tcPr>
          <w:p w14:paraId="57C37806">
            <w:pPr>
              <w:widowControl/>
              <w:snapToGrid w:val="0"/>
              <w:jc w:val="center"/>
              <w:rPr>
                <w:rFonts w:hint="eastAsia" w:ascii="宋体" w:hAnsi="宋体" w:cs="宋体"/>
                <w:color w:val="000000"/>
                <w:kern w:val="0"/>
                <w:sz w:val="18"/>
                <w:szCs w:val="18"/>
              </w:rPr>
            </w:pPr>
            <w:r>
              <w:rPr>
                <w:rFonts w:hint="eastAsia" w:ascii="宋体" w:hAnsi="宋体" w:cs="宋体"/>
                <w:color w:val="000000"/>
                <w:kern w:val="0"/>
                <w:sz w:val="18"/>
                <w:szCs w:val="18"/>
              </w:rPr>
              <w:t>工程管护情况</w:t>
            </w:r>
          </w:p>
        </w:tc>
        <w:tc>
          <w:tcPr>
            <w:tcW w:w="2003" w:type="dxa"/>
            <w:vAlign w:val="center"/>
          </w:tcPr>
          <w:p w14:paraId="00E051BB">
            <w:pPr>
              <w:widowControl/>
              <w:snapToGrid w:val="0"/>
              <w:jc w:val="center"/>
              <w:rPr>
                <w:rFonts w:hint="eastAsia" w:ascii="宋体" w:hAnsi="宋体" w:cs="宋体"/>
                <w:color w:val="000000"/>
                <w:kern w:val="0"/>
                <w:sz w:val="18"/>
                <w:szCs w:val="18"/>
              </w:rPr>
            </w:pPr>
            <w:r>
              <w:rPr>
                <w:rFonts w:hint="eastAsia" w:ascii="宋体" w:hAnsi="宋体" w:cs="宋体"/>
                <w:color w:val="000000"/>
                <w:kern w:val="0"/>
                <w:sz w:val="18"/>
                <w:szCs w:val="18"/>
              </w:rPr>
              <w:t>管护责任人数目</w:t>
            </w:r>
          </w:p>
        </w:tc>
        <w:tc>
          <w:tcPr>
            <w:tcW w:w="1817" w:type="dxa"/>
            <w:vAlign w:val="center"/>
          </w:tcPr>
          <w:p w14:paraId="38AC145A">
            <w:pPr>
              <w:widowControl/>
              <w:snapToGrid w:val="0"/>
              <w:jc w:val="center"/>
              <w:rPr>
                <w:rFonts w:hint="eastAsia" w:ascii="宋体" w:hAnsi="宋体" w:cs="宋体"/>
                <w:color w:val="000000"/>
                <w:kern w:val="0"/>
                <w:sz w:val="18"/>
                <w:szCs w:val="18"/>
              </w:rPr>
            </w:pPr>
            <w:r>
              <w:rPr>
                <w:rFonts w:hint="eastAsia" w:ascii="宋体" w:hAnsi="宋体" w:cs="宋体"/>
                <w:color w:val="000000"/>
                <w:kern w:val="0"/>
                <w:sz w:val="18"/>
                <w:szCs w:val="18"/>
              </w:rPr>
              <w:t>实地调查</w:t>
            </w:r>
          </w:p>
        </w:tc>
        <w:tc>
          <w:tcPr>
            <w:tcW w:w="1178" w:type="dxa"/>
            <w:vMerge w:val="continue"/>
            <w:vAlign w:val="center"/>
          </w:tcPr>
          <w:p w14:paraId="3C959AFC">
            <w:pPr>
              <w:widowControl/>
              <w:snapToGrid w:val="0"/>
              <w:jc w:val="center"/>
              <w:rPr>
                <w:rFonts w:hint="eastAsia" w:ascii="宋体" w:hAnsi="宋体" w:cs="宋体"/>
                <w:color w:val="000000"/>
                <w:kern w:val="0"/>
                <w:sz w:val="18"/>
                <w:szCs w:val="18"/>
              </w:rPr>
            </w:pPr>
          </w:p>
        </w:tc>
        <w:tc>
          <w:tcPr>
            <w:tcW w:w="1149" w:type="dxa"/>
            <w:vAlign w:val="center"/>
          </w:tcPr>
          <w:p w14:paraId="52679621">
            <w:pPr>
              <w:widowControl/>
              <w:snapToGrid w:val="0"/>
              <w:jc w:val="center"/>
              <w:rPr>
                <w:rFonts w:hint="eastAsia" w:ascii="宋体" w:hAnsi="宋体" w:cs="宋体"/>
                <w:color w:val="000000"/>
                <w:kern w:val="0"/>
                <w:sz w:val="18"/>
                <w:szCs w:val="18"/>
              </w:rPr>
            </w:pPr>
            <w:r>
              <w:rPr>
                <w:rFonts w:hint="eastAsia" w:ascii="宋体" w:hAnsi="宋体" w:cs="宋体"/>
                <w:color w:val="000000"/>
                <w:kern w:val="0"/>
                <w:sz w:val="18"/>
                <w:szCs w:val="18"/>
              </w:rPr>
              <w:t>共性指标</w:t>
            </w:r>
          </w:p>
          <w:p w14:paraId="6AF74EFF">
            <w:pPr>
              <w:widowControl/>
              <w:snapToGrid w:val="0"/>
              <w:jc w:val="center"/>
              <w:rPr>
                <w:rFonts w:hint="eastAsia" w:ascii="宋体" w:hAnsi="宋体" w:cs="宋体"/>
                <w:color w:val="000000"/>
                <w:kern w:val="0"/>
                <w:sz w:val="18"/>
                <w:szCs w:val="18"/>
              </w:rPr>
            </w:pPr>
            <w:r>
              <w:rPr>
                <w:rFonts w:hint="eastAsia" w:ascii="宋体" w:hAnsi="宋体" w:cs="宋体"/>
                <w:color w:val="000000"/>
                <w:kern w:val="0"/>
                <w:sz w:val="18"/>
                <w:szCs w:val="18"/>
              </w:rPr>
              <w:t>可选</w:t>
            </w:r>
          </w:p>
        </w:tc>
      </w:tr>
      <w:tr w14:paraId="711D0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1045" w:type="dxa"/>
            <w:vMerge w:val="continue"/>
            <w:vAlign w:val="center"/>
          </w:tcPr>
          <w:p w14:paraId="55A592DB">
            <w:pPr>
              <w:widowControl/>
              <w:snapToGrid w:val="0"/>
              <w:jc w:val="center"/>
              <w:rPr>
                <w:rFonts w:hint="eastAsia" w:ascii="宋体" w:hAnsi="宋体" w:cs="宋体"/>
                <w:color w:val="000000"/>
                <w:kern w:val="0"/>
                <w:sz w:val="18"/>
                <w:szCs w:val="18"/>
              </w:rPr>
            </w:pPr>
          </w:p>
        </w:tc>
        <w:tc>
          <w:tcPr>
            <w:tcW w:w="1386" w:type="dxa"/>
            <w:vMerge w:val="continue"/>
            <w:vAlign w:val="center"/>
          </w:tcPr>
          <w:p w14:paraId="4BFFCA9A">
            <w:pPr>
              <w:widowControl/>
              <w:snapToGrid w:val="0"/>
              <w:jc w:val="center"/>
              <w:rPr>
                <w:rFonts w:hint="eastAsia" w:ascii="宋体" w:hAnsi="宋体" w:cs="宋体"/>
                <w:color w:val="000000"/>
                <w:kern w:val="0"/>
                <w:sz w:val="18"/>
                <w:szCs w:val="18"/>
              </w:rPr>
            </w:pPr>
          </w:p>
        </w:tc>
        <w:tc>
          <w:tcPr>
            <w:tcW w:w="2003" w:type="dxa"/>
            <w:vAlign w:val="center"/>
          </w:tcPr>
          <w:p w14:paraId="2F0C5721">
            <w:pPr>
              <w:widowControl/>
              <w:snapToGrid w:val="0"/>
              <w:jc w:val="center"/>
              <w:rPr>
                <w:rFonts w:hint="eastAsia" w:ascii="宋体" w:hAnsi="宋体" w:cs="宋体"/>
                <w:color w:val="000000"/>
                <w:kern w:val="0"/>
                <w:sz w:val="18"/>
                <w:szCs w:val="18"/>
              </w:rPr>
            </w:pPr>
            <w:r>
              <w:rPr>
                <w:rFonts w:hint="eastAsia" w:ascii="宋体" w:hAnsi="宋体" w:cs="宋体"/>
                <w:color w:val="000000"/>
                <w:kern w:val="0"/>
                <w:sz w:val="18"/>
                <w:szCs w:val="18"/>
              </w:rPr>
              <w:t>管护经费数额</w:t>
            </w:r>
          </w:p>
        </w:tc>
        <w:tc>
          <w:tcPr>
            <w:tcW w:w="1817" w:type="dxa"/>
            <w:vAlign w:val="center"/>
          </w:tcPr>
          <w:p w14:paraId="07775705">
            <w:pPr>
              <w:widowControl/>
              <w:snapToGrid w:val="0"/>
              <w:jc w:val="center"/>
              <w:rPr>
                <w:rFonts w:hint="eastAsia" w:ascii="宋体" w:hAnsi="宋体" w:cs="宋体"/>
                <w:color w:val="000000"/>
                <w:kern w:val="0"/>
                <w:sz w:val="18"/>
                <w:szCs w:val="18"/>
              </w:rPr>
            </w:pPr>
            <w:r>
              <w:rPr>
                <w:rFonts w:hint="eastAsia" w:ascii="宋体" w:hAnsi="宋体" w:cs="宋体"/>
                <w:color w:val="000000"/>
                <w:kern w:val="0"/>
                <w:sz w:val="18"/>
                <w:szCs w:val="18"/>
              </w:rPr>
              <w:t>实地调查</w:t>
            </w:r>
          </w:p>
        </w:tc>
        <w:tc>
          <w:tcPr>
            <w:tcW w:w="1178" w:type="dxa"/>
            <w:vMerge w:val="continue"/>
            <w:vAlign w:val="center"/>
          </w:tcPr>
          <w:p w14:paraId="08521FFB">
            <w:pPr>
              <w:widowControl/>
              <w:snapToGrid w:val="0"/>
              <w:jc w:val="center"/>
              <w:rPr>
                <w:rFonts w:hint="eastAsia" w:ascii="宋体" w:hAnsi="宋体" w:cs="宋体"/>
                <w:color w:val="000000"/>
                <w:kern w:val="0"/>
                <w:sz w:val="18"/>
                <w:szCs w:val="18"/>
              </w:rPr>
            </w:pPr>
          </w:p>
        </w:tc>
        <w:tc>
          <w:tcPr>
            <w:tcW w:w="1149" w:type="dxa"/>
            <w:vAlign w:val="center"/>
          </w:tcPr>
          <w:p w14:paraId="51A18665">
            <w:pPr>
              <w:widowControl/>
              <w:snapToGrid w:val="0"/>
              <w:jc w:val="center"/>
              <w:rPr>
                <w:rFonts w:hint="eastAsia" w:ascii="宋体" w:hAnsi="宋体" w:cs="宋体"/>
                <w:color w:val="000000"/>
                <w:kern w:val="0"/>
                <w:sz w:val="18"/>
                <w:szCs w:val="18"/>
              </w:rPr>
            </w:pPr>
            <w:r>
              <w:rPr>
                <w:rFonts w:hint="eastAsia" w:ascii="宋体" w:hAnsi="宋体" w:cs="宋体"/>
                <w:color w:val="000000"/>
                <w:kern w:val="0"/>
                <w:sz w:val="18"/>
                <w:szCs w:val="18"/>
              </w:rPr>
              <w:t>共性指标</w:t>
            </w:r>
          </w:p>
          <w:p w14:paraId="3CADC2F5">
            <w:pPr>
              <w:widowControl/>
              <w:snapToGrid w:val="0"/>
              <w:jc w:val="center"/>
              <w:rPr>
                <w:rFonts w:hint="eastAsia" w:ascii="宋体" w:hAnsi="宋体" w:cs="宋体"/>
                <w:color w:val="000000"/>
                <w:kern w:val="0"/>
                <w:sz w:val="18"/>
                <w:szCs w:val="18"/>
              </w:rPr>
            </w:pPr>
            <w:r>
              <w:rPr>
                <w:rFonts w:hint="eastAsia" w:ascii="宋体" w:hAnsi="宋体" w:cs="宋体"/>
                <w:color w:val="000000"/>
                <w:kern w:val="0"/>
                <w:sz w:val="18"/>
                <w:szCs w:val="18"/>
              </w:rPr>
              <w:t>可选</w:t>
            </w:r>
          </w:p>
        </w:tc>
      </w:tr>
      <w:tr w14:paraId="5411F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8578" w:type="dxa"/>
            <w:gridSpan w:val="6"/>
            <w:vAlign w:val="center"/>
          </w:tcPr>
          <w:p w14:paraId="0238B204">
            <w:pPr>
              <w:pStyle w:val="123"/>
              <w:numPr>
                <w:ilvl w:val="0"/>
                <w:numId w:val="18"/>
              </w:numPr>
              <w:rPr>
                <w:rFonts w:hint="eastAsia" w:hAnsi="宋体" w:cs="宋体"/>
                <w:color w:val="000000"/>
              </w:rPr>
            </w:pPr>
            <w:r>
              <w:rPr>
                <w:rFonts w:hint="eastAsia"/>
              </w:rPr>
              <w:t>必选指标指在所有类型的一体化修复工程中均需监测的核心指标，用以衡量修复工程的成效。可选指标一是根据工程的具体修复目标、主要生态问题及主导生态功能进行针对性选取。例如，在北方风沙区，应选取“防风固沙量”；在石漠化区，应选取“石漠化土地面积”；二是根据子项目、生态保护修复单元、工程范围的具体情况针对性选取。</w:t>
            </w:r>
          </w:p>
        </w:tc>
      </w:tr>
    </w:tbl>
    <w:p w14:paraId="4F8E61E5">
      <w:pPr>
        <w:adjustRightInd w:val="0"/>
        <w:snapToGrid w:val="0"/>
        <w:jc w:val="center"/>
        <w:rPr>
          <w:rFonts w:hint="eastAsia" w:ascii="黑体" w:hAnsi="黑体" w:eastAsia="黑体" w:cs="黑体"/>
          <w:kern w:val="0"/>
          <w:szCs w:val="20"/>
        </w:rPr>
      </w:pPr>
    </w:p>
    <w:bookmarkEnd w:id="59"/>
    <w:p w14:paraId="244E694E">
      <w:pPr>
        <w:numPr>
          <w:ilvl w:val="1"/>
          <w:numId w:val="1"/>
        </w:numPr>
        <w:spacing w:before="156" w:beforeLines="50" w:after="156" w:afterLines="50"/>
        <w:outlineLvl w:val="1"/>
        <w:rPr>
          <w:rFonts w:ascii="黑体" w:eastAsia="黑体"/>
          <w:kern w:val="21"/>
          <w:szCs w:val="20"/>
        </w:rPr>
      </w:pPr>
      <w:bookmarkStart w:id="60" w:name="_Toc3250"/>
      <w:bookmarkStart w:id="61" w:name="_Toc22280"/>
      <w:bookmarkStart w:id="62" w:name="_Toc6563"/>
      <w:r>
        <w:rPr>
          <w:rFonts w:hint="eastAsia" w:ascii="黑体" w:eastAsia="黑体"/>
          <w:kern w:val="21"/>
          <w:szCs w:val="20"/>
        </w:rPr>
        <w:t>社会成效监测指标体系</w:t>
      </w:r>
      <w:bookmarkEnd w:id="60"/>
      <w:bookmarkEnd w:id="61"/>
      <w:bookmarkEnd w:id="62"/>
    </w:p>
    <w:p w14:paraId="6F2AAA61">
      <w:pPr>
        <w:adjustRightInd w:val="0"/>
        <w:snapToGrid w:val="0"/>
        <w:ind w:firstLine="420" w:firstLineChars="200"/>
        <w:rPr>
          <w:color w:val="000000"/>
          <w:kern w:val="0"/>
          <w:szCs w:val="20"/>
        </w:rPr>
      </w:pPr>
      <w:r>
        <w:rPr>
          <w:rFonts w:hint="eastAsia"/>
          <w:color w:val="000000"/>
          <w:kern w:val="0"/>
          <w:szCs w:val="20"/>
        </w:rPr>
        <w:t>社会成效监测指标体系包含3类一级指标，5类二级指标，6类三级指标。详见表2。</w:t>
      </w:r>
    </w:p>
    <w:p w14:paraId="52D72B4C">
      <w:pPr>
        <w:widowControl/>
        <w:adjustRightInd w:val="0"/>
        <w:snapToGrid w:val="0"/>
        <w:spacing w:before="156" w:beforeLines="50" w:after="156" w:afterLines="50"/>
        <w:jc w:val="center"/>
        <w:rPr>
          <w:color w:val="000000"/>
          <w:kern w:val="0"/>
          <w:szCs w:val="20"/>
        </w:rPr>
      </w:pPr>
      <w:r>
        <w:rPr>
          <w:rFonts w:hint="eastAsia" w:ascii="黑体" w:hAnsi="黑体" w:eastAsia="黑体"/>
          <w:color w:val="000000"/>
          <w:kern w:val="0"/>
          <w:szCs w:val="20"/>
        </w:rPr>
        <w:t>表2 社会成效监测指标体系</w:t>
      </w:r>
    </w:p>
    <w:tbl>
      <w:tblPr>
        <w:tblStyle w:val="42"/>
        <w:tblW w:w="86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0"/>
        <w:gridCol w:w="1394"/>
        <w:gridCol w:w="1948"/>
        <w:gridCol w:w="2069"/>
        <w:gridCol w:w="1005"/>
        <w:gridCol w:w="1150"/>
      </w:tblGrid>
      <w:tr w14:paraId="1445F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1050" w:type="dxa"/>
            <w:vAlign w:val="center"/>
          </w:tcPr>
          <w:p w14:paraId="23A4D75B">
            <w:pPr>
              <w:keepNext/>
              <w:widowControl/>
              <w:snapToGrid w:val="0"/>
              <w:jc w:val="center"/>
              <w:rPr>
                <w:rFonts w:hint="eastAsia" w:ascii="宋体" w:hAnsi="宋体"/>
                <w:color w:val="000000"/>
                <w:kern w:val="0"/>
                <w:sz w:val="18"/>
                <w:szCs w:val="18"/>
              </w:rPr>
            </w:pPr>
            <w:r>
              <w:rPr>
                <w:rFonts w:hint="eastAsia" w:ascii="宋体" w:hAnsi="宋体"/>
                <w:color w:val="000000"/>
                <w:kern w:val="0"/>
                <w:sz w:val="18"/>
                <w:szCs w:val="18"/>
              </w:rPr>
              <w:t>一级指标</w:t>
            </w:r>
          </w:p>
        </w:tc>
        <w:tc>
          <w:tcPr>
            <w:tcW w:w="1394" w:type="dxa"/>
            <w:vAlign w:val="center"/>
          </w:tcPr>
          <w:p w14:paraId="05E6823F">
            <w:pPr>
              <w:keepNext/>
              <w:widowControl/>
              <w:snapToGrid w:val="0"/>
              <w:jc w:val="center"/>
              <w:rPr>
                <w:rFonts w:hint="eastAsia" w:ascii="宋体" w:hAnsi="宋体"/>
                <w:color w:val="000000"/>
                <w:kern w:val="0"/>
                <w:sz w:val="18"/>
                <w:szCs w:val="18"/>
              </w:rPr>
            </w:pPr>
            <w:r>
              <w:rPr>
                <w:rFonts w:hint="eastAsia" w:ascii="宋体" w:hAnsi="宋体"/>
                <w:color w:val="000000"/>
                <w:kern w:val="0"/>
                <w:sz w:val="18"/>
                <w:szCs w:val="18"/>
              </w:rPr>
              <w:t>二级指标</w:t>
            </w:r>
          </w:p>
        </w:tc>
        <w:tc>
          <w:tcPr>
            <w:tcW w:w="1948" w:type="dxa"/>
            <w:vAlign w:val="center"/>
          </w:tcPr>
          <w:p w14:paraId="771F6999">
            <w:pPr>
              <w:keepNext/>
              <w:widowControl/>
              <w:snapToGrid w:val="0"/>
              <w:jc w:val="center"/>
              <w:rPr>
                <w:rFonts w:hint="eastAsia" w:ascii="宋体" w:hAnsi="宋体"/>
                <w:color w:val="000000"/>
                <w:kern w:val="0"/>
                <w:sz w:val="18"/>
                <w:szCs w:val="18"/>
              </w:rPr>
            </w:pPr>
            <w:r>
              <w:rPr>
                <w:rFonts w:hint="eastAsia" w:ascii="宋体" w:hAnsi="宋体"/>
                <w:color w:val="000000"/>
                <w:kern w:val="0"/>
                <w:sz w:val="18"/>
                <w:szCs w:val="18"/>
              </w:rPr>
              <w:t>三级指标</w:t>
            </w:r>
          </w:p>
        </w:tc>
        <w:tc>
          <w:tcPr>
            <w:tcW w:w="2069" w:type="dxa"/>
            <w:vAlign w:val="center"/>
          </w:tcPr>
          <w:p w14:paraId="0B231410">
            <w:pPr>
              <w:widowControl/>
              <w:jc w:val="center"/>
              <w:rPr>
                <w:rFonts w:hint="eastAsia" w:ascii="宋体" w:hAnsi="宋体"/>
                <w:color w:val="000000"/>
                <w:kern w:val="0"/>
                <w:sz w:val="18"/>
                <w:szCs w:val="18"/>
              </w:rPr>
            </w:pPr>
            <w:r>
              <w:rPr>
                <w:rFonts w:hint="eastAsia" w:ascii="宋体" w:hAnsi="宋体"/>
                <w:color w:val="000000"/>
                <w:kern w:val="0"/>
                <w:sz w:val="18"/>
                <w:szCs w:val="18"/>
              </w:rPr>
              <w:t>监测方法</w:t>
            </w:r>
          </w:p>
        </w:tc>
        <w:tc>
          <w:tcPr>
            <w:tcW w:w="1005" w:type="dxa"/>
            <w:vAlign w:val="center"/>
          </w:tcPr>
          <w:p w14:paraId="5BC5587E">
            <w:pPr>
              <w:widowControl/>
              <w:jc w:val="center"/>
              <w:rPr>
                <w:rFonts w:hint="eastAsia" w:ascii="宋体" w:hAnsi="宋体"/>
                <w:color w:val="000000"/>
                <w:kern w:val="0"/>
                <w:sz w:val="18"/>
                <w:szCs w:val="18"/>
              </w:rPr>
            </w:pPr>
            <w:r>
              <w:rPr>
                <w:rFonts w:hint="eastAsia" w:ascii="宋体" w:hAnsi="宋体"/>
                <w:color w:val="000000"/>
                <w:kern w:val="0"/>
                <w:sz w:val="18"/>
                <w:szCs w:val="18"/>
              </w:rPr>
              <w:t>监测范围</w:t>
            </w:r>
          </w:p>
        </w:tc>
        <w:tc>
          <w:tcPr>
            <w:tcW w:w="1150" w:type="dxa"/>
            <w:vAlign w:val="center"/>
          </w:tcPr>
          <w:p w14:paraId="3CE0B9D5">
            <w:pPr>
              <w:widowControl/>
              <w:jc w:val="center"/>
              <w:rPr>
                <w:rFonts w:hint="eastAsia" w:ascii="宋体" w:hAnsi="宋体"/>
                <w:color w:val="000000"/>
                <w:kern w:val="0"/>
                <w:sz w:val="18"/>
                <w:szCs w:val="18"/>
              </w:rPr>
            </w:pPr>
            <w:r>
              <w:rPr>
                <w:rFonts w:hint="eastAsia" w:ascii="宋体" w:hAnsi="宋体"/>
                <w:color w:val="000000"/>
                <w:kern w:val="0"/>
                <w:sz w:val="18"/>
                <w:szCs w:val="18"/>
              </w:rPr>
              <w:t>指标类型</w:t>
            </w:r>
          </w:p>
        </w:tc>
      </w:tr>
      <w:tr w14:paraId="553D8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50" w:type="dxa"/>
            <w:vMerge w:val="restart"/>
            <w:vAlign w:val="center"/>
          </w:tcPr>
          <w:p w14:paraId="5AD3D111">
            <w:pPr>
              <w:keepNext/>
              <w:widowControl/>
              <w:snapToGrid w:val="0"/>
              <w:jc w:val="center"/>
              <w:rPr>
                <w:rFonts w:hint="eastAsia" w:ascii="宋体" w:hAnsi="宋体"/>
                <w:color w:val="000000"/>
                <w:kern w:val="0"/>
                <w:sz w:val="18"/>
                <w:szCs w:val="18"/>
              </w:rPr>
            </w:pPr>
            <w:r>
              <w:rPr>
                <w:rFonts w:hint="eastAsia" w:ascii="宋体" w:hAnsi="宋体"/>
                <w:color w:val="000000"/>
                <w:kern w:val="0"/>
                <w:sz w:val="18"/>
                <w:szCs w:val="18"/>
              </w:rPr>
              <w:t>居民相关情况</w:t>
            </w:r>
          </w:p>
        </w:tc>
        <w:tc>
          <w:tcPr>
            <w:tcW w:w="1394" w:type="dxa"/>
            <w:vAlign w:val="center"/>
          </w:tcPr>
          <w:p w14:paraId="0B086680">
            <w:pPr>
              <w:keepNext/>
              <w:widowControl/>
              <w:snapToGrid w:val="0"/>
              <w:jc w:val="center"/>
              <w:rPr>
                <w:rFonts w:hint="eastAsia" w:ascii="宋体" w:hAnsi="宋体"/>
                <w:color w:val="000000"/>
                <w:kern w:val="0"/>
                <w:sz w:val="18"/>
                <w:szCs w:val="18"/>
              </w:rPr>
            </w:pPr>
            <w:r>
              <w:rPr>
                <w:rFonts w:hint="eastAsia" w:ascii="宋体" w:hAnsi="宋体"/>
                <w:color w:val="000000"/>
                <w:kern w:val="0"/>
                <w:sz w:val="18"/>
                <w:szCs w:val="18"/>
              </w:rPr>
              <w:t>本地居民满意度</w:t>
            </w:r>
          </w:p>
        </w:tc>
        <w:tc>
          <w:tcPr>
            <w:tcW w:w="1948" w:type="dxa"/>
            <w:vAlign w:val="center"/>
          </w:tcPr>
          <w:p w14:paraId="5C50F080">
            <w:pPr>
              <w:keepNext/>
              <w:widowControl/>
              <w:snapToGrid w:val="0"/>
              <w:jc w:val="center"/>
              <w:rPr>
                <w:rFonts w:hint="eastAsia" w:ascii="宋体" w:hAnsi="宋体"/>
                <w:color w:val="000000"/>
                <w:kern w:val="0"/>
                <w:sz w:val="18"/>
                <w:szCs w:val="18"/>
              </w:rPr>
            </w:pPr>
            <w:r>
              <w:rPr>
                <w:rFonts w:hint="eastAsia" w:ascii="宋体" w:hAnsi="宋体"/>
                <w:color w:val="000000"/>
                <w:kern w:val="0"/>
                <w:sz w:val="18"/>
                <w:szCs w:val="18"/>
              </w:rPr>
              <w:t>本地居民满意度指数</w:t>
            </w:r>
          </w:p>
        </w:tc>
        <w:tc>
          <w:tcPr>
            <w:tcW w:w="2069" w:type="dxa"/>
            <w:vAlign w:val="center"/>
          </w:tcPr>
          <w:p w14:paraId="28273A97">
            <w:pPr>
              <w:keepNext/>
              <w:widowControl/>
              <w:snapToGrid w:val="0"/>
              <w:jc w:val="center"/>
              <w:rPr>
                <w:rFonts w:hint="eastAsia" w:ascii="宋体" w:hAnsi="宋体"/>
                <w:color w:val="000000"/>
                <w:kern w:val="0"/>
                <w:sz w:val="18"/>
                <w:szCs w:val="18"/>
              </w:rPr>
            </w:pPr>
            <w:r>
              <w:rPr>
                <w:rFonts w:hint="eastAsia" w:ascii="宋体" w:hAnsi="宋体"/>
                <w:color w:val="000000"/>
                <w:kern w:val="0"/>
                <w:sz w:val="18"/>
                <w:szCs w:val="18"/>
              </w:rPr>
              <w:t>实地调查、统计</w:t>
            </w:r>
          </w:p>
        </w:tc>
        <w:tc>
          <w:tcPr>
            <w:tcW w:w="1005" w:type="dxa"/>
            <w:vAlign w:val="center"/>
          </w:tcPr>
          <w:p w14:paraId="03FF6F67">
            <w:pPr>
              <w:keepNext/>
              <w:widowControl/>
              <w:snapToGrid w:val="0"/>
              <w:jc w:val="center"/>
              <w:rPr>
                <w:rFonts w:hint="eastAsia" w:ascii="宋体" w:hAnsi="宋体"/>
                <w:color w:val="000000"/>
                <w:kern w:val="0"/>
                <w:sz w:val="18"/>
                <w:szCs w:val="18"/>
              </w:rPr>
            </w:pPr>
          </w:p>
        </w:tc>
        <w:tc>
          <w:tcPr>
            <w:tcW w:w="1150" w:type="dxa"/>
            <w:vAlign w:val="center"/>
          </w:tcPr>
          <w:p w14:paraId="79616CE6">
            <w:pPr>
              <w:keepNext/>
              <w:widowControl/>
              <w:snapToGrid w:val="0"/>
              <w:jc w:val="center"/>
              <w:rPr>
                <w:rFonts w:hint="eastAsia" w:ascii="宋体" w:hAnsi="宋体"/>
                <w:color w:val="000000"/>
                <w:kern w:val="0"/>
                <w:sz w:val="18"/>
                <w:szCs w:val="18"/>
              </w:rPr>
            </w:pPr>
            <w:r>
              <w:rPr>
                <w:rFonts w:hint="eastAsia" w:ascii="宋体" w:hAnsi="宋体"/>
                <w:color w:val="000000"/>
                <w:kern w:val="0"/>
                <w:sz w:val="18"/>
                <w:szCs w:val="18"/>
              </w:rPr>
              <w:t>共性指标</w:t>
            </w:r>
          </w:p>
          <w:p w14:paraId="299BB362">
            <w:pPr>
              <w:keepNext/>
              <w:widowControl/>
              <w:snapToGrid w:val="0"/>
              <w:jc w:val="center"/>
              <w:rPr>
                <w:rFonts w:hint="eastAsia" w:ascii="宋体" w:hAnsi="宋体"/>
                <w:color w:val="000000"/>
                <w:kern w:val="0"/>
                <w:sz w:val="18"/>
                <w:szCs w:val="18"/>
              </w:rPr>
            </w:pPr>
            <w:r>
              <w:rPr>
                <w:rFonts w:hint="eastAsia" w:ascii="宋体" w:hAnsi="宋体"/>
                <w:color w:val="000000"/>
                <w:kern w:val="0"/>
                <w:sz w:val="18"/>
                <w:szCs w:val="18"/>
              </w:rPr>
              <w:t>必选</w:t>
            </w:r>
          </w:p>
        </w:tc>
      </w:tr>
      <w:tr w14:paraId="2C251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1050" w:type="dxa"/>
            <w:vMerge w:val="continue"/>
            <w:vAlign w:val="center"/>
          </w:tcPr>
          <w:p w14:paraId="352E987C">
            <w:pPr>
              <w:keepNext/>
              <w:widowControl/>
              <w:snapToGrid w:val="0"/>
              <w:jc w:val="center"/>
              <w:rPr>
                <w:rFonts w:hint="eastAsia" w:ascii="宋体" w:hAnsi="宋体"/>
                <w:color w:val="000000"/>
                <w:kern w:val="0"/>
                <w:sz w:val="18"/>
                <w:szCs w:val="18"/>
              </w:rPr>
            </w:pPr>
          </w:p>
        </w:tc>
        <w:tc>
          <w:tcPr>
            <w:tcW w:w="1394" w:type="dxa"/>
            <w:vAlign w:val="center"/>
          </w:tcPr>
          <w:p w14:paraId="579C9128">
            <w:pPr>
              <w:keepNext/>
              <w:widowControl/>
              <w:snapToGrid w:val="0"/>
              <w:jc w:val="center"/>
              <w:rPr>
                <w:rFonts w:hint="eastAsia" w:ascii="宋体" w:hAnsi="宋体"/>
                <w:color w:val="000000"/>
                <w:kern w:val="0"/>
                <w:sz w:val="18"/>
                <w:szCs w:val="18"/>
              </w:rPr>
            </w:pPr>
            <w:r>
              <w:rPr>
                <w:rFonts w:hint="eastAsia" w:ascii="宋体" w:hAnsi="宋体"/>
                <w:color w:val="000000"/>
                <w:kern w:val="0"/>
                <w:sz w:val="18"/>
                <w:szCs w:val="18"/>
              </w:rPr>
              <w:t>本地居民参与情况</w:t>
            </w:r>
          </w:p>
        </w:tc>
        <w:tc>
          <w:tcPr>
            <w:tcW w:w="1948" w:type="dxa"/>
            <w:vAlign w:val="center"/>
          </w:tcPr>
          <w:p w14:paraId="2C7989A5">
            <w:pPr>
              <w:keepNext/>
              <w:widowControl/>
              <w:snapToGrid w:val="0"/>
              <w:jc w:val="center"/>
              <w:rPr>
                <w:rFonts w:hint="eastAsia" w:ascii="宋体" w:hAnsi="宋体"/>
                <w:color w:val="000000"/>
                <w:kern w:val="0"/>
                <w:sz w:val="18"/>
                <w:szCs w:val="18"/>
              </w:rPr>
            </w:pPr>
            <w:r>
              <w:rPr>
                <w:rFonts w:hint="eastAsia" w:ascii="宋体" w:hAnsi="宋体"/>
                <w:color w:val="000000"/>
                <w:kern w:val="0"/>
                <w:sz w:val="18"/>
                <w:szCs w:val="18"/>
              </w:rPr>
              <w:t>本地居民参与率</w:t>
            </w:r>
          </w:p>
        </w:tc>
        <w:tc>
          <w:tcPr>
            <w:tcW w:w="2069" w:type="dxa"/>
            <w:vAlign w:val="center"/>
          </w:tcPr>
          <w:p w14:paraId="4DA237D0">
            <w:pPr>
              <w:keepNext/>
              <w:widowControl/>
              <w:snapToGrid w:val="0"/>
              <w:jc w:val="center"/>
              <w:rPr>
                <w:rFonts w:hint="eastAsia" w:ascii="宋体" w:hAnsi="宋体"/>
                <w:color w:val="000000"/>
                <w:kern w:val="0"/>
                <w:sz w:val="18"/>
                <w:szCs w:val="18"/>
              </w:rPr>
            </w:pPr>
            <w:r>
              <w:rPr>
                <w:rFonts w:hint="eastAsia" w:ascii="宋体" w:hAnsi="宋体"/>
                <w:color w:val="000000"/>
                <w:kern w:val="0"/>
                <w:sz w:val="18"/>
                <w:szCs w:val="18"/>
              </w:rPr>
              <w:t>实地调查、统计</w:t>
            </w:r>
          </w:p>
        </w:tc>
        <w:tc>
          <w:tcPr>
            <w:tcW w:w="1005" w:type="dxa"/>
            <w:vMerge w:val="restart"/>
            <w:vAlign w:val="center"/>
          </w:tcPr>
          <w:p w14:paraId="6343FB3B">
            <w:pPr>
              <w:keepNext/>
              <w:widowControl/>
              <w:snapToGrid w:val="0"/>
              <w:jc w:val="center"/>
              <w:rPr>
                <w:rFonts w:hint="eastAsia" w:ascii="宋体" w:hAnsi="宋体"/>
                <w:color w:val="000000"/>
                <w:kern w:val="0"/>
                <w:sz w:val="18"/>
                <w:szCs w:val="18"/>
              </w:rPr>
            </w:pPr>
            <w:r>
              <w:rPr>
                <w:rFonts w:hint="eastAsia" w:ascii="宋体" w:hAnsi="宋体"/>
                <w:color w:val="000000"/>
                <w:kern w:val="0"/>
                <w:sz w:val="18"/>
                <w:szCs w:val="18"/>
              </w:rPr>
              <w:t>子项目、生态保护修复单元、工程范围</w:t>
            </w:r>
          </w:p>
        </w:tc>
        <w:tc>
          <w:tcPr>
            <w:tcW w:w="1150" w:type="dxa"/>
            <w:vAlign w:val="center"/>
          </w:tcPr>
          <w:p w14:paraId="4209EA03">
            <w:pPr>
              <w:keepNext/>
              <w:widowControl/>
              <w:snapToGrid w:val="0"/>
              <w:jc w:val="center"/>
              <w:rPr>
                <w:rFonts w:hint="eastAsia" w:ascii="宋体" w:hAnsi="宋体"/>
                <w:color w:val="000000"/>
                <w:kern w:val="0"/>
                <w:sz w:val="18"/>
                <w:szCs w:val="18"/>
              </w:rPr>
            </w:pPr>
            <w:r>
              <w:rPr>
                <w:rFonts w:hint="eastAsia" w:ascii="宋体" w:hAnsi="宋体"/>
                <w:color w:val="000000"/>
                <w:kern w:val="0"/>
                <w:sz w:val="18"/>
                <w:szCs w:val="18"/>
              </w:rPr>
              <w:t>个性指标</w:t>
            </w:r>
          </w:p>
          <w:p w14:paraId="11635E4B">
            <w:pPr>
              <w:keepNext/>
              <w:widowControl/>
              <w:snapToGrid w:val="0"/>
              <w:jc w:val="center"/>
              <w:rPr>
                <w:rFonts w:hint="eastAsia" w:ascii="宋体" w:hAnsi="宋体"/>
                <w:color w:val="000000"/>
                <w:kern w:val="0"/>
                <w:sz w:val="18"/>
                <w:szCs w:val="18"/>
              </w:rPr>
            </w:pPr>
            <w:r>
              <w:rPr>
                <w:rFonts w:hint="eastAsia" w:ascii="宋体" w:hAnsi="宋体"/>
                <w:color w:val="000000"/>
                <w:kern w:val="0"/>
                <w:sz w:val="18"/>
                <w:szCs w:val="18"/>
              </w:rPr>
              <w:t>可选</w:t>
            </w:r>
          </w:p>
        </w:tc>
      </w:tr>
      <w:tr w14:paraId="4AC2C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jc w:val="center"/>
        </w:trPr>
        <w:tc>
          <w:tcPr>
            <w:tcW w:w="1050" w:type="dxa"/>
            <w:vMerge w:val="continue"/>
            <w:vAlign w:val="center"/>
          </w:tcPr>
          <w:p w14:paraId="26080754">
            <w:pPr>
              <w:keepNext/>
              <w:widowControl/>
              <w:snapToGrid w:val="0"/>
              <w:jc w:val="center"/>
              <w:rPr>
                <w:rFonts w:hint="eastAsia" w:ascii="宋体" w:hAnsi="宋体"/>
                <w:color w:val="000000"/>
                <w:kern w:val="0"/>
                <w:sz w:val="18"/>
                <w:szCs w:val="18"/>
              </w:rPr>
            </w:pPr>
          </w:p>
        </w:tc>
        <w:tc>
          <w:tcPr>
            <w:tcW w:w="1394" w:type="dxa"/>
            <w:vAlign w:val="center"/>
          </w:tcPr>
          <w:p w14:paraId="1D0DEFD1">
            <w:pPr>
              <w:keepNext/>
              <w:widowControl/>
              <w:snapToGrid w:val="0"/>
              <w:jc w:val="center"/>
              <w:rPr>
                <w:rFonts w:hint="eastAsia" w:ascii="宋体" w:hAnsi="宋体"/>
                <w:color w:val="000000"/>
                <w:kern w:val="0"/>
                <w:sz w:val="18"/>
                <w:szCs w:val="18"/>
              </w:rPr>
            </w:pPr>
            <w:r>
              <w:rPr>
                <w:rFonts w:hint="eastAsia" w:ascii="宋体" w:hAnsi="宋体"/>
                <w:color w:val="000000"/>
                <w:kern w:val="0"/>
                <w:sz w:val="18"/>
                <w:szCs w:val="18"/>
              </w:rPr>
              <w:t>人居环境改善程度</w:t>
            </w:r>
          </w:p>
        </w:tc>
        <w:tc>
          <w:tcPr>
            <w:tcW w:w="1948" w:type="dxa"/>
            <w:vAlign w:val="center"/>
          </w:tcPr>
          <w:p w14:paraId="3AB5F7A6">
            <w:pPr>
              <w:keepNext/>
              <w:widowControl/>
              <w:snapToGrid w:val="0"/>
              <w:jc w:val="center"/>
              <w:rPr>
                <w:rFonts w:hint="eastAsia" w:ascii="宋体" w:hAnsi="宋体"/>
                <w:color w:val="000000"/>
                <w:kern w:val="0"/>
                <w:sz w:val="18"/>
                <w:szCs w:val="18"/>
              </w:rPr>
            </w:pPr>
            <w:r>
              <w:rPr>
                <w:rFonts w:hint="eastAsia" w:ascii="宋体" w:hAnsi="宋体"/>
                <w:color w:val="000000"/>
                <w:kern w:val="0"/>
                <w:sz w:val="18"/>
                <w:szCs w:val="18"/>
              </w:rPr>
              <w:t>环境改善受惠率</w:t>
            </w:r>
          </w:p>
        </w:tc>
        <w:tc>
          <w:tcPr>
            <w:tcW w:w="2069" w:type="dxa"/>
            <w:vAlign w:val="center"/>
          </w:tcPr>
          <w:p w14:paraId="71EA6328">
            <w:pPr>
              <w:widowControl/>
              <w:jc w:val="center"/>
              <w:rPr>
                <w:rFonts w:hint="eastAsia" w:ascii="宋体" w:hAnsi="宋体"/>
                <w:color w:val="000000"/>
                <w:kern w:val="0"/>
                <w:sz w:val="18"/>
                <w:szCs w:val="18"/>
              </w:rPr>
            </w:pPr>
            <w:r>
              <w:rPr>
                <w:rFonts w:hint="eastAsia" w:ascii="宋体" w:hAnsi="宋体"/>
                <w:color w:val="000000"/>
                <w:kern w:val="0"/>
                <w:sz w:val="18"/>
                <w:szCs w:val="18"/>
              </w:rPr>
              <w:t>实地调查、统计</w:t>
            </w:r>
          </w:p>
        </w:tc>
        <w:tc>
          <w:tcPr>
            <w:tcW w:w="1005" w:type="dxa"/>
            <w:vMerge w:val="continue"/>
            <w:vAlign w:val="center"/>
          </w:tcPr>
          <w:p w14:paraId="47EAFD27">
            <w:pPr>
              <w:widowControl/>
              <w:jc w:val="center"/>
              <w:rPr>
                <w:rFonts w:hint="eastAsia" w:ascii="宋体" w:hAnsi="宋体"/>
                <w:color w:val="000000"/>
                <w:kern w:val="0"/>
                <w:sz w:val="18"/>
                <w:szCs w:val="18"/>
              </w:rPr>
            </w:pPr>
          </w:p>
        </w:tc>
        <w:tc>
          <w:tcPr>
            <w:tcW w:w="1150" w:type="dxa"/>
            <w:vAlign w:val="center"/>
          </w:tcPr>
          <w:p w14:paraId="1CFE9251">
            <w:pPr>
              <w:keepNext/>
              <w:widowControl/>
              <w:snapToGrid w:val="0"/>
              <w:jc w:val="center"/>
              <w:rPr>
                <w:rFonts w:hint="eastAsia" w:ascii="宋体" w:hAnsi="宋体"/>
                <w:color w:val="000000"/>
                <w:kern w:val="0"/>
                <w:sz w:val="18"/>
                <w:szCs w:val="18"/>
              </w:rPr>
            </w:pPr>
            <w:r>
              <w:rPr>
                <w:rFonts w:hint="eastAsia" w:ascii="宋体" w:hAnsi="宋体"/>
                <w:color w:val="000000"/>
                <w:kern w:val="0"/>
                <w:sz w:val="18"/>
                <w:szCs w:val="18"/>
              </w:rPr>
              <w:t>个性指标</w:t>
            </w:r>
          </w:p>
          <w:p w14:paraId="6D3FFC66">
            <w:pPr>
              <w:keepNext/>
              <w:widowControl/>
              <w:snapToGrid w:val="0"/>
              <w:jc w:val="center"/>
              <w:rPr>
                <w:rFonts w:hint="eastAsia" w:ascii="宋体" w:hAnsi="宋体"/>
                <w:color w:val="000000"/>
                <w:kern w:val="0"/>
                <w:sz w:val="18"/>
                <w:szCs w:val="18"/>
              </w:rPr>
            </w:pPr>
            <w:r>
              <w:rPr>
                <w:rFonts w:hint="eastAsia" w:ascii="宋体" w:hAnsi="宋体"/>
                <w:color w:val="000000"/>
                <w:kern w:val="0"/>
                <w:sz w:val="18"/>
                <w:szCs w:val="18"/>
              </w:rPr>
              <w:t>可选</w:t>
            </w:r>
          </w:p>
        </w:tc>
      </w:tr>
      <w:tr w14:paraId="6D2F1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1050" w:type="dxa"/>
            <w:vAlign w:val="center"/>
          </w:tcPr>
          <w:p w14:paraId="2C517B32">
            <w:pPr>
              <w:keepNext/>
              <w:widowControl/>
              <w:snapToGrid w:val="0"/>
              <w:jc w:val="center"/>
              <w:rPr>
                <w:rFonts w:hint="eastAsia" w:ascii="宋体" w:hAnsi="宋体"/>
                <w:color w:val="000000"/>
                <w:kern w:val="0"/>
                <w:sz w:val="18"/>
                <w:szCs w:val="18"/>
              </w:rPr>
            </w:pPr>
            <w:r>
              <w:rPr>
                <w:rFonts w:hint="eastAsia" w:ascii="宋体" w:hAnsi="宋体"/>
                <w:color w:val="000000"/>
                <w:kern w:val="0"/>
                <w:sz w:val="18"/>
                <w:szCs w:val="18"/>
              </w:rPr>
              <w:t>就业岗位相关情况</w:t>
            </w:r>
          </w:p>
        </w:tc>
        <w:tc>
          <w:tcPr>
            <w:tcW w:w="1394" w:type="dxa"/>
            <w:vAlign w:val="center"/>
          </w:tcPr>
          <w:p w14:paraId="4CEFF266">
            <w:pPr>
              <w:keepNext/>
              <w:widowControl/>
              <w:snapToGrid w:val="0"/>
              <w:jc w:val="center"/>
              <w:rPr>
                <w:rFonts w:hint="eastAsia" w:ascii="宋体" w:hAnsi="宋体"/>
                <w:color w:val="000000"/>
                <w:kern w:val="0"/>
                <w:sz w:val="18"/>
                <w:szCs w:val="18"/>
              </w:rPr>
            </w:pPr>
            <w:r>
              <w:rPr>
                <w:rFonts w:hint="eastAsia" w:ascii="宋体" w:hAnsi="宋体"/>
                <w:color w:val="000000"/>
                <w:kern w:val="0"/>
                <w:sz w:val="18"/>
                <w:szCs w:val="18"/>
              </w:rPr>
              <w:t>新增就业岗位情况</w:t>
            </w:r>
          </w:p>
        </w:tc>
        <w:tc>
          <w:tcPr>
            <w:tcW w:w="1948" w:type="dxa"/>
            <w:vAlign w:val="center"/>
          </w:tcPr>
          <w:p w14:paraId="2C33069A">
            <w:pPr>
              <w:keepNext/>
              <w:widowControl/>
              <w:snapToGrid w:val="0"/>
              <w:jc w:val="center"/>
              <w:rPr>
                <w:rFonts w:hint="eastAsia" w:ascii="宋体" w:hAnsi="宋体"/>
                <w:color w:val="000000"/>
                <w:kern w:val="0"/>
                <w:sz w:val="18"/>
                <w:szCs w:val="18"/>
              </w:rPr>
            </w:pPr>
            <w:r>
              <w:rPr>
                <w:rFonts w:hint="eastAsia" w:ascii="宋体" w:hAnsi="宋体"/>
                <w:color w:val="000000"/>
                <w:kern w:val="0"/>
                <w:sz w:val="18"/>
                <w:szCs w:val="18"/>
              </w:rPr>
              <w:t>新增就业岗位百分比</w:t>
            </w:r>
          </w:p>
        </w:tc>
        <w:tc>
          <w:tcPr>
            <w:tcW w:w="2069" w:type="dxa"/>
            <w:vAlign w:val="center"/>
          </w:tcPr>
          <w:p w14:paraId="3C9109BA">
            <w:pPr>
              <w:widowControl/>
              <w:jc w:val="center"/>
              <w:rPr>
                <w:rFonts w:hint="eastAsia" w:ascii="宋体" w:hAnsi="宋体"/>
                <w:color w:val="000000"/>
                <w:kern w:val="0"/>
                <w:sz w:val="18"/>
                <w:szCs w:val="18"/>
              </w:rPr>
            </w:pPr>
            <w:r>
              <w:rPr>
                <w:rFonts w:hint="eastAsia" w:ascii="宋体" w:hAnsi="宋体"/>
                <w:color w:val="000000"/>
                <w:kern w:val="0"/>
                <w:sz w:val="18"/>
                <w:szCs w:val="18"/>
              </w:rPr>
              <w:t>实地调查、统计</w:t>
            </w:r>
          </w:p>
        </w:tc>
        <w:tc>
          <w:tcPr>
            <w:tcW w:w="1005" w:type="dxa"/>
            <w:vMerge w:val="continue"/>
            <w:vAlign w:val="center"/>
          </w:tcPr>
          <w:p w14:paraId="232EFEDC">
            <w:pPr>
              <w:widowControl/>
              <w:jc w:val="center"/>
              <w:rPr>
                <w:rFonts w:hint="eastAsia" w:ascii="宋体" w:hAnsi="宋体"/>
                <w:color w:val="000000"/>
                <w:kern w:val="0"/>
                <w:sz w:val="18"/>
                <w:szCs w:val="18"/>
              </w:rPr>
            </w:pPr>
          </w:p>
        </w:tc>
        <w:tc>
          <w:tcPr>
            <w:tcW w:w="1150" w:type="dxa"/>
            <w:vAlign w:val="center"/>
          </w:tcPr>
          <w:p w14:paraId="5CF4130A">
            <w:pPr>
              <w:keepNext/>
              <w:widowControl/>
              <w:snapToGrid w:val="0"/>
              <w:jc w:val="center"/>
              <w:rPr>
                <w:rFonts w:hint="eastAsia" w:ascii="宋体" w:hAnsi="宋体"/>
                <w:color w:val="000000"/>
                <w:kern w:val="0"/>
                <w:sz w:val="18"/>
                <w:szCs w:val="18"/>
              </w:rPr>
            </w:pPr>
            <w:r>
              <w:rPr>
                <w:rFonts w:hint="eastAsia" w:ascii="宋体" w:hAnsi="宋体"/>
                <w:color w:val="000000"/>
                <w:kern w:val="0"/>
                <w:sz w:val="18"/>
                <w:szCs w:val="18"/>
              </w:rPr>
              <w:t>共性指标</w:t>
            </w:r>
          </w:p>
          <w:p w14:paraId="1A8B4DA9">
            <w:pPr>
              <w:keepNext/>
              <w:widowControl/>
              <w:snapToGrid w:val="0"/>
              <w:jc w:val="center"/>
              <w:rPr>
                <w:rFonts w:hint="eastAsia" w:ascii="宋体" w:hAnsi="宋体"/>
                <w:color w:val="000000"/>
                <w:kern w:val="0"/>
                <w:sz w:val="18"/>
                <w:szCs w:val="18"/>
              </w:rPr>
            </w:pPr>
            <w:r>
              <w:rPr>
                <w:rFonts w:hint="eastAsia" w:ascii="宋体" w:hAnsi="宋体"/>
                <w:color w:val="000000"/>
                <w:kern w:val="0"/>
                <w:sz w:val="18"/>
                <w:szCs w:val="18"/>
              </w:rPr>
              <w:t>可选</w:t>
            </w:r>
          </w:p>
        </w:tc>
      </w:tr>
      <w:tr w14:paraId="6218A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 w:hRule="atLeast"/>
          <w:jc w:val="center"/>
        </w:trPr>
        <w:tc>
          <w:tcPr>
            <w:tcW w:w="1050" w:type="dxa"/>
            <w:vMerge w:val="restart"/>
            <w:vAlign w:val="center"/>
          </w:tcPr>
          <w:p w14:paraId="43734DA2">
            <w:pPr>
              <w:keepNext/>
              <w:widowControl/>
              <w:snapToGrid w:val="0"/>
              <w:jc w:val="center"/>
              <w:rPr>
                <w:rFonts w:hint="eastAsia" w:ascii="宋体" w:hAnsi="宋体"/>
                <w:color w:val="000000"/>
                <w:kern w:val="0"/>
                <w:sz w:val="18"/>
                <w:szCs w:val="18"/>
              </w:rPr>
            </w:pPr>
            <w:bookmarkStart w:id="63" w:name="_Toc9190"/>
            <w:bookmarkStart w:id="64" w:name="_Toc19784"/>
            <w:r>
              <w:rPr>
                <w:rFonts w:hint="eastAsia" w:ascii="宋体" w:hAnsi="宋体"/>
                <w:color w:val="000000"/>
                <w:kern w:val="0"/>
                <w:sz w:val="18"/>
                <w:szCs w:val="18"/>
              </w:rPr>
              <w:t>公共服务设施情况</w:t>
            </w:r>
          </w:p>
        </w:tc>
        <w:tc>
          <w:tcPr>
            <w:tcW w:w="1394" w:type="dxa"/>
            <w:vMerge w:val="restart"/>
            <w:vAlign w:val="center"/>
          </w:tcPr>
          <w:p w14:paraId="397629BA">
            <w:pPr>
              <w:keepNext/>
              <w:widowControl/>
              <w:snapToGrid w:val="0"/>
              <w:jc w:val="center"/>
              <w:rPr>
                <w:rFonts w:hint="eastAsia" w:ascii="宋体" w:hAnsi="宋体"/>
                <w:color w:val="000000"/>
                <w:kern w:val="0"/>
                <w:sz w:val="18"/>
                <w:szCs w:val="18"/>
              </w:rPr>
            </w:pPr>
            <w:r>
              <w:rPr>
                <w:rFonts w:hint="eastAsia" w:ascii="宋体" w:hAnsi="宋体"/>
                <w:color w:val="000000"/>
                <w:kern w:val="0"/>
                <w:sz w:val="18"/>
                <w:szCs w:val="18"/>
              </w:rPr>
              <w:t>生态服务设施完善度</w:t>
            </w:r>
          </w:p>
        </w:tc>
        <w:tc>
          <w:tcPr>
            <w:tcW w:w="1948" w:type="dxa"/>
            <w:vAlign w:val="center"/>
          </w:tcPr>
          <w:p w14:paraId="052B914D">
            <w:pPr>
              <w:keepNext/>
              <w:widowControl/>
              <w:snapToGrid w:val="0"/>
              <w:jc w:val="center"/>
              <w:rPr>
                <w:rFonts w:hint="eastAsia" w:ascii="宋体" w:hAnsi="宋体"/>
                <w:color w:val="000000"/>
                <w:kern w:val="0"/>
                <w:sz w:val="18"/>
                <w:szCs w:val="18"/>
              </w:rPr>
            </w:pPr>
            <w:r>
              <w:rPr>
                <w:rFonts w:hint="eastAsia" w:ascii="宋体" w:hAnsi="宋体"/>
                <w:color w:val="000000"/>
                <w:kern w:val="0"/>
                <w:sz w:val="18"/>
                <w:szCs w:val="18"/>
              </w:rPr>
              <w:t>生态步道数量</w:t>
            </w:r>
          </w:p>
        </w:tc>
        <w:tc>
          <w:tcPr>
            <w:tcW w:w="2069" w:type="dxa"/>
            <w:vAlign w:val="center"/>
          </w:tcPr>
          <w:p w14:paraId="7371EA72">
            <w:pPr>
              <w:keepNext/>
              <w:widowControl/>
              <w:snapToGrid w:val="0"/>
              <w:jc w:val="center"/>
              <w:rPr>
                <w:rFonts w:hint="eastAsia" w:ascii="宋体" w:hAnsi="宋体"/>
                <w:color w:val="000000"/>
                <w:kern w:val="0"/>
                <w:sz w:val="18"/>
                <w:szCs w:val="18"/>
              </w:rPr>
            </w:pPr>
            <w:r>
              <w:rPr>
                <w:rFonts w:hint="eastAsia" w:ascii="宋体" w:hAnsi="宋体"/>
                <w:color w:val="000000"/>
                <w:kern w:val="0"/>
                <w:sz w:val="18"/>
                <w:szCs w:val="18"/>
              </w:rPr>
              <w:t>实地调查、统计</w:t>
            </w:r>
          </w:p>
        </w:tc>
        <w:tc>
          <w:tcPr>
            <w:tcW w:w="1005" w:type="dxa"/>
            <w:vMerge w:val="continue"/>
            <w:vAlign w:val="center"/>
          </w:tcPr>
          <w:p w14:paraId="743C0F72">
            <w:pPr>
              <w:widowControl/>
              <w:jc w:val="center"/>
              <w:rPr>
                <w:rFonts w:hint="eastAsia" w:ascii="宋体" w:hAnsi="宋体"/>
                <w:color w:val="000000"/>
                <w:kern w:val="0"/>
                <w:sz w:val="18"/>
                <w:szCs w:val="18"/>
              </w:rPr>
            </w:pPr>
          </w:p>
        </w:tc>
        <w:tc>
          <w:tcPr>
            <w:tcW w:w="1150" w:type="dxa"/>
            <w:vAlign w:val="center"/>
          </w:tcPr>
          <w:p w14:paraId="3F298851">
            <w:pPr>
              <w:keepNext/>
              <w:widowControl/>
              <w:snapToGrid w:val="0"/>
              <w:jc w:val="center"/>
              <w:rPr>
                <w:rFonts w:hint="eastAsia" w:ascii="宋体" w:hAnsi="宋体"/>
                <w:color w:val="000000"/>
                <w:kern w:val="0"/>
                <w:sz w:val="18"/>
                <w:szCs w:val="18"/>
              </w:rPr>
            </w:pPr>
            <w:r>
              <w:rPr>
                <w:rFonts w:hint="eastAsia" w:ascii="宋体" w:hAnsi="宋体"/>
                <w:color w:val="000000"/>
                <w:kern w:val="0"/>
                <w:sz w:val="18"/>
                <w:szCs w:val="18"/>
              </w:rPr>
              <w:t>个性指标</w:t>
            </w:r>
          </w:p>
          <w:p w14:paraId="375F67AA">
            <w:pPr>
              <w:keepNext/>
              <w:widowControl/>
              <w:snapToGrid w:val="0"/>
              <w:jc w:val="center"/>
              <w:rPr>
                <w:rFonts w:hint="eastAsia" w:ascii="宋体" w:hAnsi="宋体"/>
                <w:color w:val="000000"/>
                <w:kern w:val="0"/>
                <w:sz w:val="18"/>
                <w:szCs w:val="18"/>
              </w:rPr>
            </w:pPr>
            <w:r>
              <w:rPr>
                <w:rFonts w:hint="eastAsia" w:ascii="宋体" w:hAnsi="宋体"/>
                <w:color w:val="000000"/>
                <w:kern w:val="0"/>
                <w:sz w:val="18"/>
                <w:szCs w:val="18"/>
              </w:rPr>
              <w:t>可选</w:t>
            </w:r>
          </w:p>
        </w:tc>
      </w:tr>
      <w:tr w14:paraId="3CBCE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 w:hRule="atLeast"/>
          <w:jc w:val="center"/>
        </w:trPr>
        <w:tc>
          <w:tcPr>
            <w:tcW w:w="1050" w:type="dxa"/>
            <w:vMerge w:val="continue"/>
            <w:vAlign w:val="center"/>
          </w:tcPr>
          <w:p w14:paraId="68077FC3">
            <w:pPr>
              <w:keepNext/>
              <w:widowControl/>
              <w:snapToGrid w:val="0"/>
              <w:jc w:val="center"/>
            </w:pPr>
          </w:p>
        </w:tc>
        <w:tc>
          <w:tcPr>
            <w:tcW w:w="1394" w:type="dxa"/>
            <w:vMerge w:val="continue"/>
            <w:vAlign w:val="center"/>
          </w:tcPr>
          <w:p w14:paraId="02BD5C6C">
            <w:pPr>
              <w:keepNext/>
              <w:widowControl/>
              <w:snapToGrid w:val="0"/>
              <w:jc w:val="center"/>
            </w:pPr>
          </w:p>
        </w:tc>
        <w:tc>
          <w:tcPr>
            <w:tcW w:w="1948" w:type="dxa"/>
            <w:vAlign w:val="center"/>
          </w:tcPr>
          <w:p w14:paraId="358F4306">
            <w:pPr>
              <w:keepNext/>
              <w:widowControl/>
              <w:snapToGrid w:val="0"/>
              <w:jc w:val="center"/>
              <w:rPr>
                <w:rFonts w:hint="eastAsia" w:ascii="宋体" w:hAnsi="宋体"/>
                <w:color w:val="000000"/>
                <w:kern w:val="0"/>
                <w:sz w:val="18"/>
                <w:szCs w:val="18"/>
              </w:rPr>
            </w:pPr>
            <w:r>
              <w:rPr>
                <w:rFonts w:hint="eastAsia" w:ascii="宋体" w:hAnsi="宋体"/>
                <w:color w:val="000000"/>
                <w:kern w:val="0"/>
                <w:sz w:val="18"/>
                <w:szCs w:val="18"/>
              </w:rPr>
              <w:t>科普站点数量</w:t>
            </w:r>
          </w:p>
        </w:tc>
        <w:tc>
          <w:tcPr>
            <w:tcW w:w="2069" w:type="dxa"/>
            <w:vAlign w:val="center"/>
          </w:tcPr>
          <w:p w14:paraId="540B01F7">
            <w:pPr>
              <w:keepNext/>
              <w:widowControl/>
              <w:snapToGrid w:val="0"/>
              <w:jc w:val="center"/>
              <w:rPr>
                <w:rFonts w:hint="eastAsia" w:ascii="宋体" w:hAnsi="宋体"/>
                <w:color w:val="000000"/>
                <w:kern w:val="0"/>
                <w:sz w:val="18"/>
                <w:szCs w:val="18"/>
              </w:rPr>
            </w:pPr>
            <w:r>
              <w:rPr>
                <w:rFonts w:hint="eastAsia" w:ascii="宋体" w:hAnsi="宋体"/>
                <w:color w:val="000000"/>
                <w:kern w:val="0"/>
                <w:sz w:val="18"/>
                <w:szCs w:val="18"/>
              </w:rPr>
              <w:t>实地调查、统计</w:t>
            </w:r>
          </w:p>
        </w:tc>
        <w:tc>
          <w:tcPr>
            <w:tcW w:w="1005" w:type="dxa"/>
            <w:vMerge w:val="continue"/>
            <w:vAlign w:val="center"/>
          </w:tcPr>
          <w:p w14:paraId="455747D5">
            <w:pPr>
              <w:keepNext/>
              <w:widowControl/>
              <w:snapToGrid w:val="0"/>
              <w:jc w:val="center"/>
              <w:rPr>
                <w:rFonts w:hint="eastAsia" w:ascii="宋体" w:hAnsi="宋体"/>
                <w:color w:val="000000"/>
                <w:kern w:val="0"/>
                <w:sz w:val="18"/>
                <w:szCs w:val="18"/>
              </w:rPr>
            </w:pPr>
          </w:p>
        </w:tc>
        <w:tc>
          <w:tcPr>
            <w:tcW w:w="1150" w:type="dxa"/>
            <w:vAlign w:val="center"/>
          </w:tcPr>
          <w:p w14:paraId="406B8DD2">
            <w:pPr>
              <w:keepNext/>
              <w:widowControl/>
              <w:snapToGrid w:val="0"/>
              <w:jc w:val="center"/>
              <w:rPr>
                <w:rFonts w:hint="eastAsia" w:ascii="宋体" w:hAnsi="宋体"/>
                <w:color w:val="000000"/>
                <w:kern w:val="0"/>
                <w:sz w:val="18"/>
                <w:szCs w:val="18"/>
              </w:rPr>
            </w:pPr>
            <w:r>
              <w:rPr>
                <w:rFonts w:hint="eastAsia" w:ascii="宋体" w:hAnsi="宋体"/>
                <w:color w:val="000000"/>
                <w:kern w:val="0"/>
                <w:sz w:val="18"/>
                <w:szCs w:val="18"/>
              </w:rPr>
              <w:t>个性指标</w:t>
            </w:r>
          </w:p>
          <w:p w14:paraId="792C8A27">
            <w:pPr>
              <w:keepNext/>
              <w:widowControl/>
              <w:snapToGrid w:val="0"/>
              <w:jc w:val="center"/>
              <w:rPr>
                <w:rFonts w:hint="eastAsia" w:ascii="宋体" w:hAnsi="宋体"/>
                <w:color w:val="000000"/>
                <w:kern w:val="0"/>
                <w:sz w:val="18"/>
                <w:szCs w:val="18"/>
              </w:rPr>
            </w:pPr>
            <w:r>
              <w:rPr>
                <w:rFonts w:hint="eastAsia" w:ascii="宋体" w:hAnsi="宋体"/>
                <w:color w:val="000000"/>
                <w:kern w:val="0"/>
                <w:sz w:val="18"/>
                <w:szCs w:val="18"/>
              </w:rPr>
              <w:t>可选</w:t>
            </w:r>
          </w:p>
        </w:tc>
      </w:tr>
      <w:tr w14:paraId="0E138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jc w:val="center"/>
        </w:trPr>
        <w:tc>
          <w:tcPr>
            <w:tcW w:w="8616" w:type="dxa"/>
            <w:gridSpan w:val="6"/>
            <w:vAlign w:val="center"/>
          </w:tcPr>
          <w:p w14:paraId="3590C648">
            <w:pPr>
              <w:pStyle w:val="123"/>
              <w:numPr>
                <w:ilvl w:val="0"/>
                <w:numId w:val="19"/>
              </w:numPr>
              <w:rPr>
                <w:rFonts w:hint="eastAsia" w:hAnsi="宋体"/>
                <w:color w:val="000000"/>
              </w:rPr>
            </w:pPr>
            <w:r>
              <w:rPr>
                <w:rFonts w:hint="eastAsia"/>
              </w:rPr>
              <w:t>“可选”指标一是根据一体化生态保护与修复项目的具体情况选取，二是根据子项目、生态保护修复单元、工程范围不同尺度的具体情况针对性选取。</w:t>
            </w:r>
          </w:p>
        </w:tc>
      </w:tr>
    </w:tbl>
    <w:p w14:paraId="1E67A5BC">
      <w:pPr>
        <w:numPr>
          <w:ilvl w:val="1"/>
          <w:numId w:val="1"/>
        </w:numPr>
        <w:spacing w:before="156" w:beforeLines="50" w:after="156" w:afterLines="50"/>
        <w:outlineLvl w:val="1"/>
        <w:rPr>
          <w:rFonts w:ascii="黑体" w:eastAsia="黑体"/>
          <w:kern w:val="0"/>
          <w:szCs w:val="21"/>
        </w:rPr>
      </w:pPr>
      <w:bookmarkStart w:id="65" w:name="_Toc30692"/>
      <w:r>
        <w:rPr>
          <w:rFonts w:hint="eastAsia" w:ascii="黑体" w:eastAsia="黑体"/>
          <w:kern w:val="0"/>
          <w:szCs w:val="21"/>
        </w:rPr>
        <w:t>经济成效监测指标体系</w:t>
      </w:r>
      <w:bookmarkEnd w:id="65"/>
    </w:p>
    <w:p w14:paraId="094DE8FA">
      <w:pPr>
        <w:adjustRightInd w:val="0"/>
        <w:snapToGrid w:val="0"/>
        <w:ind w:firstLine="420" w:firstLineChars="200"/>
        <w:rPr>
          <w:color w:val="000000"/>
          <w:kern w:val="0"/>
          <w:szCs w:val="20"/>
        </w:rPr>
      </w:pPr>
      <w:r>
        <w:rPr>
          <w:rFonts w:hint="eastAsia"/>
          <w:color w:val="000000"/>
          <w:kern w:val="0"/>
          <w:szCs w:val="20"/>
        </w:rPr>
        <w:t>经济成效监测指标体系包含2类一级指标，5类二级指标，6类三级指标。详见表3。</w:t>
      </w:r>
    </w:p>
    <w:p w14:paraId="0CEF83D5">
      <w:pPr>
        <w:widowControl/>
        <w:adjustRightInd w:val="0"/>
        <w:snapToGrid w:val="0"/>
        <w:spacing w:before="156" w:beforeLines="50" w:after="156" w:afterLines="50"/>
        <w:jc w:val="center"/>
        <w:rPr>
          <w:color w:val="000000"/>
          <w:kern w:val="0"/>
          <w:szCs w:val="20"/>
        </w:rPr>
      </w:pPr>
      <w:r>
        <w:rPr>
          <w:rFonts w:hint="eastAsia" w:ascii="黑体" w:hAnsi="黑体" w:eastAsia="黑体"/>
          <w:color w:val="000000"/>
          <w:kern w:val="0"/>
          <w:szCs w:val="20"/>
        </w:rPr>
        <w:t>表3 经济成效监测指标体系</w:t>
      </w:r>
    </w:p>
    <w:tbl>
      <w:tblPr>
        <w:tblStyle w:val="42"/>
        <w:tblW w:w="86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8"/>
        <w:gridCol w:w="1384"/>
        <w:gridCol w:w="1938"/>
        <w:gridCol w:w="2059"/>
        <w:gridCol w:w="1033"/>
        <w:gridCol w:w="1165"/>
      </w:tblGrid>
      <w:tr w14:paraId="2A747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jc w:val="center"/>
        </w:trPr>
        <w:tc>
          <w:tcPr>
            <w:tcW w:w="1098" w:type="dxa"/>
            <w:vAlign w:val="center"/>
          </w:tcPr>
          <w:p w14:paraId="5BA14105">
            <w:pPr>
              <w:keepNext/>
              <w:widowControl/>
              <w:snapToGrid w:val="0"/>
              <w:jc w:val="center"/>
              <w:rPr>
                <w:rFonts w:hint="eastAsia" w:ascii="宋体" w:hAnsi="宋体"/>
                <w:color w:val="000000"/>
                <w:kern w:val="0"/>
                <w:sz w:val="18"/>
                <w:szCs w:val="18"/>
              </w:rPr>
            </w:pPr>
            <w:r>
              <w:rPr>
                <w:rFonts w:hint="eastAsia" w:ascii="宋体" w:hAnsi="宋体"/>
                <w:color w:val="000000"/>
                <w:kern w:val="0"/>
                <w:sz w:val="18"/>
                <w:szCs w:val="18"/>
              </w:rPr>
              <w:t>一级指标</w:t>
            </w:r>
          </w:p>
        </w:tc>
        <w:tc>
          <w:tcPr>
            <w:tcW w:w="1384" w:type="dxa"/>
            <w:vAlign w:val="center"/>
          </w:tcPr>
          <w:p w14:paraId="544830F6">
            <w:pPr>
              <w:keepNext/>
              <w:widowControl/>
              <w:snapToGrid w:val="0"/>
              <w:jc w:val="center"/>
              <w:rPr>
                <w:rFonts w:hint="eastAsia" w:ascii="宋体" w:hAnsi="宋体"/>
                <w:color w:val="000000"/>
                <w:kern w:val="0"/>
                <w:sz w:val="18"/>
                <w:szCs w:val="18"/>
              </w:rPr>
            </w:pPr>
            <w:r>
              <w:rPr>
                <w:rFonts w:hint="eastAsia" w:ascii="宋体" w:hAnsi="宋体"/>
                <w:color w:val="000000"/>
                <w:kern w:val="0"/>
                <w:sz w:val="18"/>
                <w:szCs w:val="18"/>
              </w:rPr>
              <w:t>二级指标</w:t>
            </w:r>
          </w:p>
        </w:tc>
        <w:tc>
          <w:tcPr>
            <w:tcW w:w="1938" w:type="dxa"/>
            <w:vAlign w:val="center"/>
          </w:tcPr>
          <w:p w14:paraId="708B2687">
            <w:pPr>
              <w:keepNext/>
              <w:widowControl/>
              <w:snapToGrid w:val="0"/>
              <w:jc w:val="center"/>
              <w:rPr>
                <w:rFonts w:hint="eastAsia" w:ascii="宋体" w:hAnsi="宋体"/>
                <w:color w:val="000000"/>
                <w:kern w:val="0"/>
                <w:sz w:val="18"/>
                <w:szCs w:val="18"/>
              </w:rPr>
            </w:pPr>
            <w:r>
              <w:rPr>
                <w:rFonts w:hint="eastAsia" w:ascii="宋体" w:hAnsi="宋体"/>
                <w:color w:val="000000"/>
                <w:kern w:val="0"/>
                <w:sz w:val="18"/>
                <w:szCs w:val="18"/>
              </w:rPr>
              <w:t>三级指标</w:t>
            </w:r>
          </w:p>
        </w:tc>
        <w:tc>
          <w:tcPr>
            <w:tcW w:w="2059" w:type="dxa"/>
            <w:vAlign w:val="center"/>
          </w:tcPr>
          <w:p w14:paraId="25520F17">
            <w:pPr>
              <w:widowControl/>
              <w:jc w:val="center"/>
              <w:rPr>
                <w:rFonts w:hint="eastAsia" w:ascii="宋体" w:hAnsi="宋体"/>
                <w:color w:val="000000"/>
                <w:kern w:val="0"/>
                <w:sz w:val="18"/>
                <w:szCs w:val="18"/>
              </w:rPr>
            </w:pPr>
            <w:r>
              <w:rPr>
                <w:rFonts w:hint="eastAsia" w:ascii="宋体" w:hAnsi="宋体"/>
                <w:color w:val="000000"/>
                <w:kern w:val="0"/>
                <w:sz w:val="18"/>
                <w:szCs w:val="18"/>
              </w:rPr>
              <w:t>监测方法</w:t>
            </w:r>
          </w:p>
        </w:tc>
        <w:tc>
          <w:tcPr>
            <w:tcW w:w="1033" w:type="dxa"/>
            <w:vAlign w:val="center"/>
          </w:tcPr>
          <w:p w14:paraId="5819BD8C">
            <w:pPr>
              <w:widowControl/>
              <w:jc w:val="center"/>
              <w:rPr>
                <w:rFonts w:hint="eastAsia" w:ascii="宋体" w:hAnsi="宋体"/>
                <w:color w:val="000000"/>
                <w:kern w:val="0"/>
                <w:sz w:val="18"/>
                <w:szCs w:val="18"/>
              </w:rPr>
            </w:pPr>
            <w:r>
              <w:rPr>
                <w:rFonts w:hint="eastAsia" w:ascii="宋体" w:hAnsi="宋体"/>
                <w:color w:val="000000"/>
                <w:kern w:val="0"/>
                <w:sz w:val="18"/>
                <w:szCs w:val="18"/>
              </w:rPr>
              <w:t>监测范围</w:t>
            </w:r>
          </w:p>
        </w:tc>
        <w:tc>
          <w:tcPr>
            <w:tcW w:w="1165" w:type="dxa"/>
            <w:vAlign w:val="center"/>
          </w:tcPr>
          <w:p w14:paraId="6E8975AE">
            <w:pPr>
              <w:widowControl/>
              <w:jc w:val="center"/>
              <w:rPr>
                <w:rFonts w:hint="eastAsia" w:ascii="宋体" w:hAnsi="宋体"/>
                <w:color w:val="000000"/>
                <w:kern w:val="0"/>
                <w:sz w:val="18"/>
                <w:szCs w:val="18"/>
              </w:rPr>
            </w:pPr>
            <w:r>
              <w:rPr>
                <w:rFonts w:hint="eastAsia" w:ascii="宋体" w:hAnsi="宋体"/>
                <w:color w:val="000000"/>
                <w:kern w:val="0"/>
                <w:sz w:val="18"/>
                <w:szCs w:val="18"/>
              </w:rPr>
              <w:t>指标类型</w:t>
            </w:r>
          </w:p>
        </w:tc>
      </w:tr>
      <w:tr w14:paraId="20053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1098" w:type="dxa"/>
            <w:vAlign w:val="center"/>
          </w:tcPr>
          <w:p w14:paraId="51B42331">
            <w:pPr>
              <w:keepNext/>
              <w:widowControl/>
              <w:snapToGrid w:val="0"/>
              <w:jc w:val="center"/>
              <w:rPr>
                <w:rFonts w:hint="eastAsia" w:ascii="宋体" w:hAnsi="宋体"/>
                <w:color w:val="000000"/>
                <w:kern w:val="0"/>
                <w:sz w:val="18"/>
                <w:szCs w:val="18"/>
              </w:rPr>
            </w:pPr>
            <w:r>
              <w:rPr>
                <w:rFonts w:hint="eastAsia" w:ascii="宋体" w:hAnsi="宋体"/>
                <w:color w:val="000000"/>
                <w:kern w:val="0"/>
                <w:sz w:val="18"/>
                <w:szCs w:val="18"/>
              </w:rPr>
              <w:t>居民收入情况</w:t>
            </w:r>
          </w:p>
        </w:tc>
        <w:tc>
          <w:tcPr>
            <w:tcW w:w="1384" w:type="dxa"/>
            <w:vAlign w:val="center"/>
          </w:tcPr>
          <w:p w14:paraId="06B6E246">
            <w:pPr>
              <w:keepNext/>
              <w:widowControl/>
              <w:snapToGrid w:val="0"/>
              <w:jc w:val="center"/>
              <w:rPr>
                <w:rFonts w:hint="eastAsia" w:ascii="宋体" w:hAnsi="宋体"/>
                <w:color w:val="000000"/>
                <w:kern w:val="0"/>
                <w:sz w:val="18"/>
                <w:szCs w:val="18"/>
              </w:rPr>
            </w:pPr>
            <w:r>
              <w:rPr>
                <w:rFonts w:hint="eastAsia" w:ascii="宋体" w:hAnsi="宋体"/>
                <w:color w:val="000000"/>
                <w:kern w:val="0"/>
                <w:sz w:val="18"/>
                <w:szCs w:val="18"/>
              </w:rPr>
              <w:t>本地居民收入提升情况</w:t>
            </w:r>
          </w:p>
        </w:tc>
        <w:tc>
          <w:tcPr>
            <w:tcW w:w="1938" w:type="dxa"/>
            <w:vAlign w:val="center"/>
          </w:tcPr>
          <w:p w14:paraId="3113583E">
            <w:pPr>
              <w:keepNext/>
              <w:widowControl/>
              <w:snapToGrid w:val="0"/>
              <w:jc w:val="center"/>
              <w:rPr>
                <w:rFonts w:hint="eastAsia" w:ascii="宋体" w:hAnsi="宋体"/>
                <w:color w:val="000000"/>
                <w:kern w:val="0"/>
                <w:sz w:val="18"/>
                <w:szCs w:val="18"/>
              </w:rPr>
            </w:pPr>
            <w:r>
              <w:rPr>
                <w:rFonts w:hint="eastAsia" w:ascii="宋体" w:hAnsi="宋体"/>
                <w:color w:val="000000"/>
                <w:kern w:val="0"/>
                <w:sz w:val="18"/>
                <w:szCs w:val="18"/>
              </w:rPr>
              <w:t>本地居民人均可支配收入</w:t>
            </w:r>
          </w:p>
        </w:tc>
        <w:tc>
          <w:tcPr>
            <w:tcW w:w="2059" w:type="dxa"/>
            <w:vAlign w:val="center"/>
          </w:tcPr>
          <w:p w14:paraId="4E2D20EF">
            <w:pPr>
              <w:keepNext/>
              <w:widowControl/>
              <w:snapToGrid w:val="0"/>
              <w:jc w:val="center"/>
              <w:rPr>
                <w:rFonts w:hint="eastAsia" w:ascii="宋体" w:hAnsi="宋体"/>
                <w:color w:val="000000"/>
                <w:kern w:val="0"/>
                <w:sz w:val="18"/>
                <w:szCs w:val="18"/>
              </w:rPr>
            </w:pPr>
            <w:r>
              <w:rPr>
                <w:rFonts w:hint="eastAsia" w:ascii="宋体" w:hAnsi="宋体"/>
                <w:color w:val="000000"/>
                <w:kern w:val="0"/>
                <w:sz w:val="18"/>
                <w:szCs w:val="18"/>
              </w:rPr>
              <w:t>实地调查、统计</w:t>
            </w:r>
          </w:p>
        </w:tc>
        <w:tc>
          <w:tcPr>
            <w:tcW w:w="1033" w:type="dxa"/>
            <w:vMerge w:val="restart"/>
            <w:vAlign w:val="center"/>
          </w:tcPr>
          <w:p w14:paraId="34554592">
            <w:pPr>
              <w:keepNext/>
              <w:widowControl/>
              <w:snapToGrid w:val="0"/>
              <w:jc w:val="center"/>
              <w:rPr>
                <w:rFonts w:hint="eastAsia" w:ascii="宋体" w:hAnsi="宋体"/>
                <w:color w:val="000000"/>
                <w:kern w:val="0"/>
                <w:sz w:val="18"/>
                <w:szCs w:val="18"/>
              </w:rPr>
            </w:pPr>
            <w:r>
              <w:rPr>
                <w:rFonts w:hint="eastAsia" w:ascii="宋体" w:hAnsi="宋体"/>
                <w:color w:val="000000"/>
                <w:kern w:val="0"/>
                <w:sz w:val="18"/>
                <w:szCs w:val="18"/>
              </w:rPr>
              <w:t>子项目、生态保护修复单元、工程范围</w:t>
            </w:r>
          </w:p>
        </w:tc>
        <w:tc>
          <w:tcPr>
            <w:tcW w:w="1165" w:type="dxa"/>
            <w:vAlign w:val="center"/>
          </w:tcPr>
          <w:p w14:paraId="465AB639">
            <w:pPr>
              <w:keepNext/>
              <w:widowControl/>
              <w:snapToGrid w:val="0"/>
              <w:jc w:val="center"/>
              <w:rPr>
                <w:rFonts w:hint="eastAsia" w:ascii="宋体" w:hAnsi="宋体"/>
                <w:color w:val="000000"/>
                <w:kern w:val="0"/>
                <w:sz w:val="18"/>
                <w:szCs w:val="18"/>
              </w:rPr>
            </w:pPr>
            <w:r>
              <w:rPr>
                <w:rFonts w:hint="eastAsia" w:ascii="宋体" w:hAnsi="宋体"/>
                <w:color w:val="000000"/>
                <w:kern w:val="0"/>
                <w:sz w:val="18"/>
                <w:szCs w:val="18"/>
              </w:rPr>
              <w:t>共性指标</w:t>
            </w:r>
          </w:p>
          <w:p w14:paraId="210D8DCA">
            <w:pPr>
              <w:keepNext/>
              <w:widowControl/>
              <w:snapToGrid w:val="0"/>
              <w:jc w:val="center"/>
              <w:rPr>
                <w:rFonts w:hint="eastAsia" w:ascii="宋体" w:hAnsi="宋体"/>
                <w:color w:val="000000"/>
                <w:kern w:val="0"/>
                <w:sz w:val="18"/>
                <w:szCs w:val="18"/>
              </w:rPr>
            </w:pPr>
            <w:r>
              <w:rPr>
                <w:rFonts w:hint="eastAsia" w:ascii="宋体" w:hAnsi="宋体"/>
                <w:color w:val="000000"/>
                <w:kern w:val="0"/>
                <w:sz w:val="18"/>
                <w:szCs w:val="18"/>
              </w:rPr>
              <w:t>必选</w:t>
            </w:r>
          </w:p>
        </w:tc>
      </w:tr>
      <w:tr w14:paraId="7DEA4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1098" w:type="dxa"/>
            <w:vMerge w:val="restart"/>
            <w:vAlign w:val="center"/>
          </w:tcPr>
          <w:p w14:paraId="02877466">
            <w:pPr>
              <w:keepNext/>
              <w:widowControl/>
              <w:snapToGrid w:val="0"/>
              <w:jc w:val="center"/>
              <w:rPr>
                <w:rFonts w:hint="eastAsia" w:ascii="宋体" w:hAnsi="宋体"/>
                <w:color w:val="000000"/>
                <w:kern w:val="0"/>
                <w:sz w:val="18"/>
                <w:szCs w:val="18"/>
              </w:rPr>
            </w:pPr>
            <w:r>
              <w:rPr>
                <w:rFonts w:hint="eastAsia" w:ascii="宋体" w:hAnsi="宋体"/>
                <w:color w:val="000000"/>
                <w:kern w:val="0"/>
                <w:sz w:val="18"/>
                <w:szCs w:val="18"/>
              </w:rPr>
              <w:t>产业收益情况</w:t>
            </w:r>
          </w:p>
        </w:tc>
        <w:tc>
          <w:tcPr>
            <w:tcW w:w="1384" w:type="dxa"/>
            <w:vAlign w:val="center"/>
          </w:tcPr>
          <w:p w14:paraId="218926C0">
            <w:pPr>
              <w:keepNext/>
              <w:widowControl/>
              <w:snapToGrid w:val="0"/>
              <w:jc w:val="center"/>
              <w:rPr>
                <w:rFonts w:hint="eastAsia" w:ascii="宋体" w:hAnsi="宋体"/>
                <w:color w:val="000000"/>
                <w:kern w:val="0"/>
                <w:sz w:val="18"/>
                <w:szCs w:val="18"/>
              </w:rPr>
            </w:pPr>
            <w:r>
              <w:rPr>
                <w:rFonts w:hint="eastAsia" w:ascii="宋体" w:hAnsi="宋体"/>
                <w:color w:val="000000"/>
                <w:kern w:val="0"/>
                <w:sz w:val="18"/>
                <w:szCs w:val="18"/>
              </w:rPr>
              <w:t>直接经济效益情况</w:t>
            </w:r>
          </w:p>
        </w:tc>
        <w:tc>
          <w:tcPr>
            <w:tcW w:w="1938" w:type="dxa"/>
            <w:vAlign w:val="center"/>
          </w:tcPr>
          <w:p w14:paraId="25A06859">
            <w:pPr>
              <w:keepNext/>
              <w:widowControl/>
              <w:snapToGrid w:val="0"/>
              <w:jc w:val="center"/>
              <w:rPr>
                <w:rFonts w:hint="eastAsia" w:ascii="宋体" w:hAnsi="宋体"/>
                <w:color w:val="000000"/>
                <w:kern w:val="0"/>
                <w:sz w:val="18"/>
                <w:szCs w:val="18"/>
              </w:rPr>
            </w:pPr>
            <w:r>
              <w:rPr>
                <w:rFonts w:hint="eastAsia" w:ascii="宋体" w:hAnsi="宋体"/>
                <w:color w:val="000000"/>
                <w:kern w:val="0"/>
                <w:sz w:val="18"/>
                <w:szCs w:val="18"/>
              </w:rPr>
              <w:t>本地农林牧渔业总产值</w:t>
            </w:r>
          </w:p>
        </w:tc>
        <w:tc>
          <w:tcPr>
            <w:tcW w:w="2059" w:type="dxa"/>
            <w:vAlign w:val="center"/>
          </w:tcPr>
          <w:p w14:paraId="15CFEB96">
            <w:pPr>
              <w:widowControl/>
              <w:jc w:val="center"/>
              <w:rPr>
                <w:rFonts w:hint="eastAsia" w:ascii="宋体" w:hAnsi="宋体"/>
                <w:color w:val="000000"/>
                <w:kern w:val="0"/>
                <w:sz w:val="18"/>
                <w:szCs w:val="18"/>
              </w:rPr>
            </w:pPr>
            <w:r>
              <w:rPr>
                <w:rFonts w:hint="eastAsia" w:ascii="宋体" w:hAnsi="宋体"/>
                <w:color w:val="000000"/>
                <w:kern w:val="0"/>
                <w:sz w:val="18"/>
                <w:szCs w:val="18"/>
              </w:rPr>
              <w:t>实地调查、统计</w:t>
            </w:r>
          </w:p>
        </w:tc>
        <w:tc>
          <w:tcPr>
            <w:tcW w:w="1033" w:type="dxa"/>
            <w:vMerge w:val="continue"/>
            <w:vAlign w:val="center"/>
          </w:tcPr>
          <w:p w14:paraId="648D9762">
            <w:pPr>
              <w:keepNext/>
              <w:widowControl/>
              <w:snapToGrid w:val="0"/>
              <w:jc w:val="center"/>
              <w:rPr>
                <w:rFonts w:hint="eastAsia" w:ascii="宋体" w:hAnsi="宋体"/>
                <w:color w:val="000000"/>
                <w:kern w:val="0"/>
                <w:sz w:val="18"/>
                <w:szCs w:val="18"/>
              </w:rPr>
            </w:pPr>
          </w:p>
        </w:tc>
        <w:tc>
          <w:tcPr>
            <w:tcW w:w="1165" w:type="dxa"/>
            <w:vAlign w:val="center"/>
          </w:tcPr>
          <w:p w14:paraId="26F565CB">
            <w:pPr>
              <w:keepNext/>
              <w:widowControl/>
              <w:snapToGrid w:val="0"/>
              <w:jc w:val="center"/>
              <w:rPr>
                <w:rFonts w:hint="eastAsia" w:ascii="宋体" w:hAnsi="宋体"/>
                <w:color w:val="000000"/>
                <w:kern w:val="0"/>
                <w:sz w:val="18"/>
                <w:szCs w:val="18"/>
              </w:rPr>
            </w:pPr>
            <w:r>
              <w:rPr>
                <w:rFonts w:hint="eastAsia" w:ascii="宋体" w:hAnsi="宋体"/>
                <w:color w:val="000000"/>
                <w:kern w:val="0"/>
                <w:sz w:val="18"/>
                <w:szCs w:val="18"/>
              </w:rPr>
              <w:t>共性指标</w:t>
            </w:r>
          </w:p>
          <w:p w14:paraId="2F4ED265">
            <w:pPr>
              <w:keepNext/>
              <w:widowControl/>
              <w:snapToGrid w:val="0"/>
              <w:jc w:val="center"/>
              <w:rPr>
                <w:rFonts w:hint="eastAsia" w:ascii="宋体" w:hAnsi="宋体"/>
                <w:color w:val="000000"/>
                <w:kern w:val="0"/>
                <w:sz w:val="18"/>
                <w:szCs w:val="18"/>
              </w:rPr>
            </w:pPr>
            <w:r>
              <w:rPr>
                <w:rFonts w:hint="eastAsia" w:ascii="宋体" w:hAnsi="宋体"/>
                <w:color w:val="000000"/>
                <w:kern w:val="0"/>
                <w:sz w:val="18"/>
                <w:szCs w:val="18"/>
              </w:rPr>
              <w:t>必选</w:t>
            </w:r>
          </w:p>
        </w:tc>
      </w:tr>
      <w:tr w14:paraId="07FCE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jc w:val="center"/>
        </w:trPr>
        <w:tc>
          <w:tcPr>
            <w:tcW w:w="1098" w:type="dxa"/>
            <w:vMerge w:val="continue"/>
            <w:vAlign w:val="center"/>
          </w:tcPr>
          <w:p w14:paraId="1FF11D76">
            <w:pPr>
              <w:keepNext/>
              <w:widowControl/>
              <w:snapToGrid w:val="0"/>
              <w:jc w:val="center"/>
              <w:rPr>
                <w:rFonts w:hint="eastAsia" w:ascii="宋体" w:hAnsi="宋体"/>
                <w:color w:val="000000"/>
                <w:kern w:val="0"/>
                <w:sz w:val="18"/>
                <w:szCs w:val="18"/>
              </w:rPr>
            </w:pPr>
          </w:p>
        </w:tc>
        <w:tc>
          <w:tcPr>
            <w:tcW w:w="1384" w:type="dxa"/>
            <w:vAlign w:val="center"/>
          </w:tcPr>
          <w:p w14:paraId="0003EABF">
            <w:pPr>
              <w:keepNext/>
              <w:widowControl/>
              <w:snapToGrid w:val="0"/>
              <w:jc w:val="center"/>
              <w:rPr>
                <w:rFonts w:hint="eastAsia" w:ascii="宋体" w:hAnsi="宋体"/>
                <w:color w:val="000000"/>
                <w:kern w:val="0"/>
                <w:sz w:val="18"/>
                <w:szCs w:val="18"/>
              </w:rPr>
            </w:pPr>
            <w:r>
              <w:rPr>
                <w:rFonts w:hint="eastAsia" w:ascii="宋体" w:hAnsi="宋体"/>
                <w:color w:val="000000"/>
                <w:kern w:val="0"/>
                <w:sz w:val="18"/>
                <w:szCs w:val="18"/>
              </w:rPr>
              <w:t>农产品服务情况</w:t>
            </w:r>
          </w:p>
        </w:tc>
        <w:tc>
          <w:tcPr>
            <w:tcW w:w="1938" w:type="dxa"/>
            <w:vAlign w:val="center"/>
          </w:tcPr>
          <w:p w14:paraId="315161AD">
            <w:pPr>
              <w:keepNext/>
              <w:widowControl/>
              <w:snapToGrid w:val="0"/>
              <w:jc w:val="center"/>
              <w:rPr>
                <w:rFonts w:hint="eastAsia" w:ascii="宋体" w:hAnsi="宋体"/>
                <w:color w:val="000000"/>
                <w:kern w:val="0"/>
                <w:sz w:val="18"/>
                <w:szCs w:val="18"/>
              </w:rPr>
            </w:pPr>
            <w:r>
              <w:rPr>
                <w:rFonts w:hint="eastAsia" w:ascii="宋体" w:hAnsi="宋体"/>
                <w:color w:val="000000"/>
                <w:kern w:val="0"/>
                <w:sz w:val="18"/>
                <w:szCs w:val="18"/>
              </w:rPr>
              <w:t>农产品生产价值</w:t>
            </w:r>
          </w:p>
        </w:tc>
        <w:tc>
          <w:tcPr>
            <w:tcW w:w="2059" w:type="dxa"/>
            <w:vAlign w:val="center"/>
          </w:tcPr>
          <w:p w14:paraId="1A1CFDD9">
            <w:pPr>
              <w:widowControl/>
              <w:jc w:val="center"/>
              <w:rPr>
                <w:rFonts w:hint="eastAsia" w:ascii="宋体" w:hAnsi="宋体"/>
                <w:color w:val="000000"/>
                <w:kern w:val="0"/>
                <w:sz w:val="18"/>
                <w:szCs w:val="18"/>
              </w:rPr>
            </w:pPr>
            <w:r>
              <w:rPr>
                <w:rFonts w:hint="eastAsia" w:ascii="宋体" w:hAnsi="宋体"/>
                <w:color w:val="000000"/>
                <w:kern w:val="0"/>
                <w:sz w:val="18"/>
                <w:szCs w:val="18"/>
              </w:rPr>
              <w:t>实地调查、统计</w:t>
            </w:r>
          </w:p>
        </w:tc>
        <w:tc>
          <w:tcPr>
            <w:tcW w:w="1033" w:type="dxa"/>
            <w:vMerge w:val="continue"/>
            <w:vAlign w:val="center"/>
          </w:tcPr>
          <w:p w14:paraId="65432085">
            <w:pPr>
              <w:keepNext/>
              <w:widowControl/>
              <w:snapToGrid w:val="0"/>
              <w:jc w:val="center"/>
              <w:rPr>
                <w:rFonts w:hint="eastAsia" w:ascii="宋体" w:hAnsi="宋体"/>
                <w:color w:val="000000"/>
                <w:kern w:val="0"/>
                <w:sz w:val="18"/>
                <w:szCs w:val="18"/>
              </w:rPr>
            </w:pPr>
          </w:p>
        </w:tc>
        <w:tc>
          <w:tcPr>
            <w:tcW w:w="1165" w:type="dxa"/>
            <w:vAlign w:val="center"/>
          </w:tcPr>
          <w:p w14:paraId="5B4376BA">
            <w:pPr>
              <w:keepNext/>
              <w:widowControl/>
              <w:snapToGrid w:val="0"/>
              <w:jc w:val="center"/>
              <w:rPr>
                <w:rFonts w:hint="eastAsia" w:ascii="宋体" w:hAnsi="宋体"/>
                <w:color w:val="000000"/>
                <w:kern w:val="0"/>
                <w:sz w:val="18"/>
                <w:szCs w:val="18"/>
              </w:rPr>
            </w:pPr>
            <w:r>
              <w:rPr>
                <w:rFonts w:hint="eastAsia" w:ascii="宋体" w:hAnsi="宋体"/>
                <w:color w:val="000000"/>
                <w:kern w:val="0"/>
                <w:sz w:val="18"/>
                <w:szCs w:val="18"/>
              </w:rPr>
              <w:t>个性指标</w:t>
            </w:r>
          </w:p>
          <w:p w14:paraId="462EAF03">
            <w:pPr>
              <w:keepNext/>
              <w:widowControl/>
              <w:snapToGrid w:val="0"/>
              <w:jc w:val="center"/>
              <w:rPr>
                <w:rFonts w:hint="eastAsia" w:ascii="宋体" w:hAnsi="宋体"/>
                <w:color w:val="000000"/>
                <w:kern w:val="0"/>
                <w:sz w:val="18"/>
                <w:szCs w:val="18"/>
              </w:rPr>
            </w:pPr>
            <w:r>
              <w:rPr>
                <w:rFonts w:hint="eastAsia" w:ascii="宋体" w:hAnsi="宋体"/>
                <w:color w:val="000000"/>
                <w:kern w:val="0"/>
                <w:sz w:val="18"/>
                <w:szCs w:val="18"/>
              </w:rPr>
              <w:t>可选</w:t>
            </w:r>
          </w:p>
        </w:tc>
      </w:tr>
      <w:tr w14:paraId="2D7C3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jc w:val="center"/>
        </w:trPr>
        <w:tc>
          <w:tcPr>
            <w:tcW w:w="1098" w:type="dxa"/>
            <w:vMerge w:val="continue"/>
            <w:vAlign w:val="center"/>
          </w:tcPr>
          <w:p w14:paraId="0B2D3EE1">
            <w:pPr>
              <w:keepNext/>
              <w:widowControl/>
              <w:snapToGrid w:val="0"/>
              <w:jc w:val="center"/>
              <w:rPr>
                <w:rFonts w:hint="eastAsia" w:ascii="宋体" w:hAnsi="宋体"/>
                <w:color w:val="000000"/>
                <w:kern w:val="0"/>
                <w:sz w:val="18"/>
                <w:szCs w:val="18"/>
              </w:rPr>
            </w:pPr>
          </w:p>
        </w:tc>
        <w:tc>
          <w:tcPr>
            <w:tcW w:w="1384" w:type="dxa"/>
            <w:vAlign w:val="center"/>
          </w:tcPr>
          <w:p w14:paraId="61D1E885">
            <w:pPr>
              <w:keepNext/>
              <w:widowControl/>
              <w:snapToGrid w:val="0"/>
              <w:jc w:val="center"/>
              <w:rPr>
                <w:rFonts w:hint="eastAsia" w:ascii="宋体" w:hAnsi="宋体"/>
                <w:color w:val="000000"/>
                <w:kern w:val="0"/>
                <w:sz w:val="18"/>
                <w:szCs w:val="18"/>
              </w:rPr>
            </w:pPr>
            <w:r>
              <w:rPr>
                <w:rFonts w:hint="eastAsia" w:ascii="宋体" w:hAnsi="宋体"/>
                <w:color w:val="000000"/>
                <w:kern w:val="0"/>
                <w:sz w:val="18"/>
                <w:szCs w:val="18"/>
              </w:rPr>
              <w:t>土地增值效益</w:t>
            </w:r>
          </w:p>
        </w:tc>
        <w:tc>
          <w:tcPr>
            <w:tcW w:w="1938" w:type="dxa"/>
            <w:vAlign w:val="center"/>
          </w:tcPr>
          <w:p w14:paraId="4CD22BA7">
            <w:pPr>
              <w:keepNext/>
              <w:widowControl/>
              <w:snapToGrid w:val="0"/>
              <w:jc w:val="center"/>
              <w:rPr>
                <w:rFonts w:hint="eastAsia" w:ascii="宋体" w:hAnsi="宋体"/>
                <w:color w:val="000000"/>
                <w:kern w:val="0"/>
                <w:sz w:val="18"/>
                <w:szCs w:val="18"/>
              </w:rPr>
            </w:pPr>
            <w:r>
              <w:rPr>
                <w:rFonts w:hint="eastAsia" w:ascii="宋体" w:hAnsi="宋体"/>
                <w:color w:val="000000"/>
                <w:kern w:val="0"/>
                <w:sz w:val="18"/>
                <w:szCs w:val="18"/>
              </w:rPr>
              <w:t>修复区土地单价</w:t>
            </w:r>
          </w:p>
        </w:tc>
        <w:tc>
          <w:tcPr>
            <w:tcW w:w="2059" w:type="dxa"/>
            <w:vAlign w:val="center"/>
          </w:tcPr>
          <w:p w14:paraId="35E190BE">
            <w:pPr>
              <w:widowControl/>
              <w:jc w:val="center"/>
              <w:rPr>
                <w:rFonts w:hint="eastAsia" w:ascii="宋体" w:hAnsi="宋体"/>
                <w:color w:val="000000"/>
                <w:kern w:val="0"/>
                <w:sz w:val="18"/>
                <w:szCs w:val="18"/>
              </w:rPr>
            </w:pPr>
            <w:r>
              <w:rPr>
                <w:rFonts w:hint="eastAsia" w:ascii="宋体" w:hAnsi="宋体"/>
                <w:color w:val="000000"/>
                <w:kern w:val="0"/>
                <w:sz w:val="18"/>
                <w:szCs w:val="18"/>
              </w:rPr>
              <w:t>实地调查、统计</w:t>
            </w:r>
          </w:p>
        </w:tc>
        <w:tc>
          <w:tcPr>
            <w:tcW w:w="1033" w:type="dxa"/>
            <w:vMerge w:val="continue"/>
            <w:vAlign w:val="center"/>
          </w:tcPr>
          <w:p w14:paraId="297A9228">
            <w:pPr>
              <w:keepNext/>
              <w:widowControl/>
              <w:snapToGrid w:val="0"/>
              <w:jc w:val="center"/>
              <w:rPr>
                <w:rFonts w:hint="eastAsia" w:ascii="宋体" w:hAnsi="宋体"/>
                <w:color w:val="000000"/>
                <w:kern w:val="0"/>
                <w:sz w:val="18"/>
                <w:szCs w:val="18"/>
              </w:rPr>
            </w:pPr>
          </w:p>
        </w:tc>
        <w:tc>
          <w:tcPr>
            <w:tcW w:w="1165" w:type="dxa"/>
            <w:vAlign w:val="center"/>
          </w:tcPr>
          <w:p w14:paraId="5E45C6CC">
            <w:pPr>
              <w:keepNext/>
              <w:widowControl/>
              <w:snapToGrid w:val="0"/>
              <w:jc w:val="center"/>
              <w:rPr>
                <w:rFonts w:hint="eastAsia" w:ascii="宋体" w:hAnsi="宋体"/>
                <w:color w:val="000000"/>
                <w:kern w:val="0"/>
                <w:sz w:val="18"/>
                <w:szCs w:val="18"/>
              </w:rPr>
            </w:pPr>
            <w:r>
              <w:rPr>
                <w:rFonts w:hint="eastAsia" w:ascii="宋体" w:hAnsi="宋体"/>
                <w:color w:val="000000"/>
                <w:kern w:val="0"/>
                <w:sz w:val="18"/>
                <w:szCs w:val="18"/>
              </w:rPr>
              <w:t>个性指标</w:t>
            </w:r>
          </w:p>
          <w:p w14:paraId="35E857C7">
            <w:pPr>
              <w:keepNext/>
              <w:widowControl/>
              <w:snapToGrid w:val="0"/>
              <w:jc w:val="center"/>
              <w:rPr>
                <w:rFonts w:hint="eastAsia" w:ascii="宋体" w:hAnsi="宋体"/>
                <w:color w:val="000000"/>
                <w:kern w:val="0"/>
                <w:sz w:val="18"/>
                <w:szCs w:val="18"/>
              </w:rPr>
            </w:pPr>
            <w:r>
              <w:rPr>
                <w:rFonts w:hint="eastAsia" w:ascii="宋体" w:hAnsi="宋体"/>
                <w:color w:val="000000"/>
                <w:kern w:val="0"/>
                <w:sz w:val="18"/>
                <w:szCs w:val="18"/>
              </w:rPr>
              <w:t>可选</w:t>
            </w:r>
          </w:p>
        </w:tc>
      </w:tr>
      <w:tr w14:paraId="54C55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jc w:val="center"/>
        </w:trPr>
        <w:tc>
          <w:tcPr>
            <w:tcW w:w="1098" w:type="dxa"/>
            <w:vMerge w:val="continue"/>
            <w:vAlign w:val="center"/>
          </w:tcPr>
          <w:p w14:paraId="10FE94D7">
            <w:pPr>
              <w:keepNext/>
              <w:widowControl/>
              <w:snapToGrid w:val="0"/>
              <w:jc w:val="center"/>
              <w:rPr>
                <w:rFonts w:hint="eastAsia" w:ascii="宋体" w:hAnsi="宋体"/>
                <w:color w:val="000000"/>
                <w:kern w:val="0"/>
                <w:sz w:val="18"/>
                <w:szCs w:val="18"/>
              </w:rPr>
            </w:pPr>
          </w:p>
        </w:tc>
        <w:tc>
          <w:tcPr>
            <w:tcW w:w="1384" w:type="dxa"/>
            <w:vMerge w:val="restart"/>
            <w:vAlign w:val="center"/>
          </w:tcPr>
          <w:p w14:paraId="11A0BF78">
            <w:pPr>
              <w:keepNext/>
              <w:widowControl/>
              <w:snapToGrid w:val="0"/>
              <w:jc w:val="center"/>
              <w:rPr>
                <w:rFonts w:hint="eastAsia" w:ascii="宋体" w:hAnsi="宋体"/>
                <w:color w:val="000000"/>
                <w:kern w:val="0"/>
                <w:sz w:val="18"/>
                <w:szCs w:val="18"/>
              </w:rPr>
            </w:pPr>
            <w:r>
              <w:rPr>
                <w:rFonts w:hint="eastAsia" w:ascii="宋体" w:hAnsi="宋体"/>
                <w:color w:val="000000"/>
                <w:kern w:val="0"/>
                <w:sz w:val="18"/>
                <w:szCs w:val="18"/>
              </w:rPr>
              <w:t>生态衍生产业产值情况</w:t>
            </w:r>
          </w:p>
        </w:tc>
        <w:tc>
          <w:tcPr>
            <w:tcW w:w="1938" w:type="dxa"/>
            <w:vAlign w:val="center"/>
          </w:tcPr>
          <w:p w14:paraId="5EDE1D62">
            <w:pPr>
              <w:keepNext/>
              <w:widowControl/>
              <w:snapToGrid w:val="0"/>
              <w:jc w:val="center"/>
              <w:rPr>
                <w:rFonts w:hint="eastAsia" w:ascii="宋体" w:hAnsi="宋体"/>
                <w:color w:val="000000"/>
                <w:kern w:val="0"/>
                <w:sz w:val="18"/>
                <w:szCs w:val="18"/>
              </w:rPr>
            </w:pPr>
            <w:r>
              <w:rPr>
                <w:rFonts w:hint="eastAsia" w:ascii="宋体" w:hAnsi="宋体"/>
                <w:color w:val="000000"/>
                <w:kern w:val="0"/>
                <w:sz w:val="18"/>
                <w:szCs w:val="18"/>
              </w:rPr>
              <w:t>生态旅游收益</w:t>
            </w:r>
          </w:p>
        </w:tc>
        <w:tc>
          <w:tcPr>
            <w:tcW w:w="2059" w:type="dxa"/>
            <w:vMerge w:val="restart"/>
            <w:vAlign w:val="center"/>
          </w:tcPr>
          <w:p w14:paraId="0A1A1AB0">
            <w:pPr>
              <w:widowControl/>
              <w:jc w:val="center"/>
              <w:rPr>
                <w:rFonts w:hint="eastAsia" w:ascii="宋体" w:hAnsi="宋体"/>
                <w:color w:val="000000"/>
                <w:kern w:val="0"/>
                <w:sz w:val="18"/>
                <w:szCs w:val="18"/>
              </w:rPr>
            </w:pPr>
            <w:r>
              <w:rPr>
                <w:rFonts w:hint="eastAsia" w:ascii="宋体" w:hAnsi="宋体"/>
                <w:color w:val="000000"/>
                <w:kern w:val="0"/>
                <w:sz w:val="18"/>
                <w:szCs w:val="18"/>
              </w:rPr>
              <w:t>实地调查、统计</w:t>
            </w:r>
          </w:p>
        </w:tc>
        <w:tc>
          <w:tcPr>
            <w:tcW w:w="1033" w:type="dxa"/>
            <w:vMerge w:val="continue"/>
            <w:vAlign w:val="center"/>
          </w:tcPr>
          <w:p w14:paraId="267E7C80">
            <w:pPr>
              <w:keepNext/>
              <w:widowControl/>
              <w:snapToGrid w:val="0"/>
              <w:jc w:val="center"/>
              <w:rPr>
                <w:rFonts w:hint="eastAsia" w:ascii="宋体" w:hAnsi="宋体"/>
                <w:color w:val="000000"/>
                <w:kern w:val="0"/>
                <w:sz w:val="18"/>
                <w:szCs w:val="18"/>
              </w:rPr>
            </w:pPr>
          </w:p>
        </w:tc>
        <w:tc>
          <w:tcPr>
            <w:tcW w:w="1165" w:type="dxa"/>
            <w:vAlign w:val="center"/>
          </w:tcPr>
          <w:p w14:paraId="5D7AF491">
            <w:pPr>
              <w:keepNext/>
              <w:widowControl/>
              <w:snapToGrid w:val="0"/>
              <w:jc w:val="center"/>
              <w:rPr>
                <w:rFonts w:hint="eastAsia" w:ascii="宋体" w:hAnsi="宋体"/>
                <w:color w:val="000000"/>
                <w:kern w:val="0"/>
                <w:sz w:val="18"/>
                <w:szCs w:val="18"/>
              </w:rPr>
            </w:pPr>
            <w:r>
              <w:rPr>
                <w:rFonts w:hint="eastAsia" w:ascii="宋体" w:hAnsi="宋体"/>
                <w:color w:val="000000"/>
                <w:kern w:val="0"/>
                <w:sz w:val="18"/>
                <w:szCs w:val="18"/>
              </w:rPr>
              <w:t>个性指标</w:t>
            </w:r>
          </w:p>
          <w:p w14:paraId="5105561C">
            <w:pPr>
              <w:keepNext/>
              <w:widowControl/>
              <w:snapToGrid w:val="0"/>
              <w:jc w:val="center"/>
              <w:rPr>
                <w:rFonts w:hint="eastAsia" w:ascii="宋体" w:hAnsi="宋体"/>
                <w:color w:val="000000"/>
                <w:kern w:val="0"/>
                <w:sz w:val="18"/>
                <w:szCs w:val="18"/>
              </w:rPr>
            </w:pPr>
            <w:r>
              <w:rPr>
                <w:rFonts w:hint="eastAsia" w:ascii="宋体" w:hAnsi="宋体"/>
                <w:color w:val="000000"/>
                <w:kern w:val="0"/>
                <w:sz w:val="18"/>
                <w:szCs w:val="18"/>
              </w:rPr>
              <w:t>可选</w:t>
            </w:r>
          </w:p>
        </w:tc>
      </w:tr>
      <w:tr w14:paraId="6009C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jc w:val="center"/>
        </w:trPr>
        <w:tc>
          <w:tcPr>
            <w:tcW w:w="1098" w:type="dxa"/>
            <w:vMerge w:val="continue"/>
            <w:vAlign w:val="center"/>
          </w:tcPr>
          <w:p w14:paraId="32C8C354">
            <w:pPr>
              <w:keepNext/>
              <w:widowControl/>
              <w:snapToGrid w:val="0"/>
              <w:jc w:val="center"/>
            </w:pPr>
          </w:p>
        </w:tc>
        <w:tc>
          <w:tcPr>
            <w:tcW w:w="1384" w:type="dxa"/>
            <w:vMerge w:val="continue"/>
            <w:vAlign w:val="center"/>
          </w:tcPr>
          <w:p w14:paraId="5AFA3645">
            <w:pPr>
              <w:keepNext/>
              <w:widowControl/>
              <w:snapToGrid w:val="0"/>
              <w:jc w:val="center"/>
            </w:pPr>
          </w:p>
        </w:tc>
        <w:tc>
          <w:tcPr>
            <w:tcW w:w="1938" w:type="dxa"/>
            <w:vAlign w:val="center"/>
          </w:tcPr>
          <w:p w14:paraId="4C00DD37">
            <w:pPr>
              <w:keepNext/>
              <w:widowControl/>
              <w:snapToGrid w:val="0"/>
              <w:jc w:val="center"/>
              <w:rPr>
                <w:rFonts w:hint="eastAsia" w:ascii="宋体" w:hAnsi="宋体"/>
                <w:color w:val="000000"/>
                <w:kern w:val="0"/>
                <w:sz w:val="18"/>
                <w:szCs w:val="18"/>
              </w:rPr>
            </w:pPr>
            <w:r>
              <w:rPr>
                <w:rFonts w:hint="eastAsia" w:ascii="宋体" w:hAnsi="宋体"/>
                <w:color w:val="000000"/>
                <w:kern w:val="0"/>
                <w:sz w:val="18"/>
                <w:szCs w:val="18"/>
              </w:rPr>
              <w:t>碳汇交易收益</w:t>
            </w:r>
          </w:p>
        </w:tc>
        <w:tc>
          <w:tcPr>
            <w:tcW w:w="2059" w:type="dxa"/>
            <w:vMerge w:val="continue"/>
            <w:vAlign w:val="center"/>
          </w:tcPr>
          <w:p w14:paraId="58337340">
            <w:pPr>
              <w:keepNext/>
              <w:widowControl/>
              <w:snapToGrid w:val="0"/>
              <w:jc w:val="center"/>
              <w:rPr>
                <w:rFonts w:hint="eastAsia" w:ascii="宋体" w:hAnsi="宋体"/>
                <w:color w:val="000000"/>
                <w:kern w:val="0"/>
                <w:sz w:val="18"/>
                <w:szCs w:val="18"/>
              </w:rPr>
            </w:pPr>
          </w:p>
        </w:tc>
        <w:tc>
          <w:tcPr>
            <w:tcW w:w="1033" w:type="dxa"/>
            <w:vMerge w:val="continue"/>
            <w:vAlign w:val="center"/>
          </w:tcPr>
          <w:p w14:paraId="48D94A26">
            <w:pPr>
              <w:keepNext/>
              <w:widowControl/>
              <w:snapToGrid w:val="0"/>
              <w:jc w:val="center"/>
              <w:rPr>
                <w:rFonts w:hint="eastAsia" w:ascii="宋体" w:hAnsi="宋体"/>
                <w:color w:val="000000"/>
                <w:kern w:val="0"/>
                <w:sz w:val="18"/>
                <w:szCs w:val="18"/>
              </w:rPr>
            </w:pPr>
          </w:p>
        </w:tc>
        <w:tc>
          <w:tcPr>
            <w:tcW w:w="1165" w:type="dxa"/>
            <w:vAlign w:val="center"/>
          </w:tcPr>
          <w:p w14:paraId="52FE5CDC">
            <w:pPr>
              <w:keepNext/>
              <w:widowControl/>
              <w:snapToGrid w:val="0"/>
              <w:jc w:val="center"/>
              <w:rPr>
                <w:rFonts w:hint="eastAsia" w:ascii="宋体" w:hAnsi="宋体"/>
                <w:color w:val="000000"/>
                <w:kern w:val="0"/>
                <w:sz w:val="18"/>
                <w:szCs w:val="18"/>
              </w:rPr>
            </w:pPr>
            <w:r>
              <w:rPr>
                <w:rFonts w:hint="eastAsia" w:ascii="宋体" w:hAnsi="宋体"/>
                <w:color w:val="000000"/>
                <w:kern w:val="0"/>
                <w:sz w:val="18"/>
                <w:szCs w:val="18"/>
              </w:rPr>
              <w:t>个性指标</w:t>
            </w:r>
          </w:p>
          <w:p w14:paraId="033D4196">
            <w:pPr>
              <w:keepNext/>
              <w:widowControl/>
              <w:snapToGrid w:val="0"/>
              <w:jc w:val="center"/>
              <w:rPr>
                <w:rFonts w:hint="eastAsia" w:ascii="宋体" w:hAnsi="宋体"/>
                <w:color w:val="000000"/>
                <w:kern w:val="0"/>
                <w:sz w:val="18"/>
                <w:szCs w:val="18"/>
              </w:rPr>
            </w:pPr>
            <w:r>
              <w:rPr>
                <w:rFonts w:hint="eastAsia" w:ascii="宋体" w:hAnsi="宋体"/>
                <w:color w:val="000000"/>
                <w:kern w:val="0"/>
                <w:sz w:val="18"/>
                <w:szCs w:val="18"/>
              </w:rPr>
              <w:t>可选</w:t>
            </w:r>
          </w:p>
        </w:tc>
      </w:tr>
      <w:tr w14:paraId="728CD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8677" w:type="dxa"/>
            <w:gridSpan w:val="6"/>
            <w:vAlign w:val="center"/>
          </w:tcPr>
          <w:p w14:paraId="73071A67">
            <w:pPr>
              <w:pStyle w:val="123"/>
              <w:numPr>
                <w:ilvl w:val="0"/>
                <w:numId w:val="19"/>
              </w:numPr>
              <w:rPr>
                <w:rFonts w:hint="eastAsia" w:hAnsi="宋体"/>
                <w:color w:val="000000"/>
              </w:rPr>
            </w:pPr>
            <w:r>
              <w:rPr>
                <w:rFonts w:hint="eastAsia"/>
              </w:rPr>
              <w:t>“可选”指标一是根据一体化生态保护与修复项目的具体情况选取，二是根据子项目、生态保护修复单元、工程范围不同尺度的具体情况针对性选取。</w:t>
            </w:r>
          </w:p>
        </w:tc>
      </w:tr>
    </w:tbl>
    <w:p w14:paraId="208A902A">
      <w:pPr>
        <w:numPr>
          <w:ilvl w:val="0"/>
          <w:numId w:val="1"/>
        </w:numPr>
        <w:spacing w:before="312" w:beforeLines="100" w:after="312" w:afterLines="100"/>
        <w:outlineLvl w:val="1"/>
        <w:rPr>
          <w:rFonts w:ascii="黑体" w:eastAsia="黑体"/>
          <w:kern w:val="0"/>
          <w:szCs w:val="20"/>
        </w:rPr>
      </w:pPr>
      <w:bookmarkStart w:id="66" w:name="_Toc14954"/>
      <w:r>
        <w:rPr>
          <w:rFonts w:hint="eastAsia" w:ascii="黑体" w:eastAsia="黑体"/>
          <w:kern w:val="0"/>
          <w:szCs w:val="20"/>
        </w:rPr>
        <w:t>监测方法</w:t>
      </w:r>
      <w:bookmarkEnd w:id="66"/>
    </w:p>
    <w:p w14:paraId="7EC96702">
      <w:pPr>
        <w:numPr>
          <w:ilvl w:val="1"/>
          <w:numId w:val="1"/>
        </w:numPr>
        <w:spacing w:before="156" w:beforeLines="50" w:after="156" w:afterLines="50"/>
        <w:outlineLvl w:val="1"/>
        <w:rPr>
          <w:rFonts w:ascii="黑体" w:eastAsia="黑体"/>
          <w:kern w:val="21"/>
          <w:szCs w:val="20"/>
        </w:rPr>
      </w:pPr>
      <w:bookmarkStart w:id="67" w:name="_Toc1462"/>
      <w:bookmarkStart w:id="68" w:name="_Toc14867"/>
      <w:bookmarkStart w:id="69" w:name="_Toc31185"/>
      <w:r>
        <w:rPr>
          <w:rFonts w:hint="eastAsia" w:ascii="黑体" w:hAnsi="黑体" w:eastAsia="黑体"/>
          <w:color w:val="000000"/>
          <w:kern w:val="0"/>
          <w:szCs w:val="20"/>
        </w:rPr>
        <w:t>遥感监测技术方法</w:t>
      </w:r>
      <w:bookmarkEnd w:id="67"/>
      <w:bookmarkEnd w:id="68"/>
      <w:bookmarkEnd w:id="69"/>
    </w:p>
    <w:p w14:paraId="0F81AA12">
      <w:pPr>
        <w:widowControl/>
        <w:tabs>
          <w:tab w:val="left" w:pos="5670"/>
        </w:tabs>
        <w:ind w:firstLine="420" w:firstLineChars="200"/>
        <w:jc w:val="left"/>
        <w:rPr>
          <w:rFonts w:hint="eastAsia" w:ascii="宋体" w:hAnsi="宋体" w:cs="宋体"/>
          <w:color w:val="000000"/>
          <w:kern w:val="0"/>
          <w:szCs w:val="21"/>
        </w:rPr>
      </w:pPr>
      <w:r>
        <w:rPr>
          <w:rFonts w:hint="eastAsia" w:ascii="宋体" w:hAnsi="宋体" w:cs="宋体"/>
          <w:color w:val="000000"/>
          <w:kern w:val="0"/>
          <w:szCs w:val="21"/>
        </w:rPr>
        <w:t>遥感监测指通过卫星遥感、无人机和有人机等方法监测获得相关数据，主要用于直接或间接获取宏观层面和地表以上的监测指标。具体内容参照HJ 1340、HJ 1166执行。</w:t>
      </w:r>
    </w:p>
    <w:p w14:paraId="7C662F34">
      <w:pPr>
        <w:numPr>
          <w:ilvl w:val="2"/>
          <w:numId w:val="1"/>
        </w:numPr>
        <w:spacing w:before="156" w:beforeLines="50" w:after="156" w:afterLines="50"/>
        <w:rPr>
          <w:rFonts w:ascii="黑体" w:eastAsia="黑体"/>
          <w:kern w:val="0"/>
          <w:szCs w:val="21"/>
        </w:rPr>
      </w:pPr>
      <w:r>
        <w:rPr>
          <w:rFonts w:hint="eastAsia" w:ascii="黑体" w:eastAsia="黑体"/>
          <w:kern w:val="0"/>
          <w:szCs w:val="21"/>
        </w:rPr>
        <w:t>基于卫星遥感的生态系统类型及干扰信息提取</w:t>
      </w:r>
    </w:p>
    <w:p w14:paraId="772DE6B5">
      <w:pPr>
        <w:widowControl/>
        <w:tabs>
          <w:tab w:val="left" w:pos="5670"/>
        </w:tabs>
        <w:ind w:firstLine="420" w:firstLineChars="200"/>
        <w:jc w:val="left"/>
        <w:rPr>
          <w:rFonts w:hint="eastAsia" w:ascii="宋体" w:hAnsi="宋体" w:cs="宋体"/>
          <w:color w:val="000000"/>
          <w:kern w:val="0"/>
          <w:szCs w:val="21"/>
        </w:rPr>
      </w:pPr>
      <w:r>
        <w:rPr>
          <w:rFonts w:hint="eastAsia" w:ascii="宋体" w:hAnsi="宋体" w:cs="宋体"/>
          <w:color w:val="000000"/>
          <w:kern w:val="0"/>
          <w:szCs w:val="21"/>
        </w:rPr>
        <w:t>利用卫星遥感影像开展生态系统基本状况和人类活动干扰信息提取。建立生态系统分类解译标志或分类规则集，采用人机交互方式或自动识别方法，提取监测范围内生态系统类型及其面积，人类活动类型及其面积等方面的信息。</w:t>
      </w:r>
    </w:p>
    <w:p w14:paraId="36F8A1AB">
      <w:pPr>
        <w:numPr>
          <w:ilvl w:val="2"/>
          <w:numId w:val="1"/>
        </w:numPr>
        <w:spacing w:before="156" w:beforeLines="50" w:after="156" w:afterLines="50"/>
        <w:rPr>
          <w:rFonts w:ascii="黑体" w:eastAsia="黑体"/>
          <w:kern w:val="0"/>
          <w:szCs w:val="21"/>
        </w:rPr>
      </w:pPr>
      <w:r>
        <w:rPr>
          <w:rFonts w:hint="eastAsia" w:ascii="黑体" w:eastAsia="黑体"/>
          <w:kern w:val="0"/>
          <w:szCs w:val="21"/>
        </w:rPr>
        <w:t>基于卫星遥感的生态系统状况关键参数定量反演</w:t>
      </w:r>
    </w:p>
    <w:p w14:paraId="7B5EF6F5">
      <w:pPr>
        <w:widowControl/>
        <w:tabs>
          <w:tab w:val="left" w:pos="5670"/>
        </w:tabs>
        <w:ind w:firstLine="420" w:firstLineChars="200"/>
        <w:jc w:val="left"/>
        <w:rPr>
          <w:rFonts w:hint="eastAsia" w:ascii="宋体" w:hAnsi="宋体" w:cs="宋体"/>
          <w:color w:val="000000"/>
          <w:kern w:val="0"/>
          <w:szCs w:val="21"/>
        </w:rPr>
      </w:pPr>
      <w:r>
        <w:rPr>
          <w:rFonts w:hint="eastAsia" w:ascii="宋体" w:hAnsi="宋体" w:cs="宋体"/>
          <w:color w:val="000000"/>
          <w:kern w:val="0"/>
          <w:szCs w:val="21"/>
        </w:rPr>
        <w:t>综合利用地面观测获取的波谱数据，卫星遥感数据和野外调查数据，建立生态系统状况关键参数反演模型，对监测范围内生态系统的植被状况，生态系统服务等指标开展周期性观测。植被覆盖度指数等核心生态指标采用优于30m分辨率数据；生态系统类型识别可采用250m分辨率数据；地质安全隐患、退化土地边界等精细化监测需采用优于10m分辨率数据。</w:t>
      </w:r>
    </w:p>
    <w:p w14:paraId="05350D0B">
      <w:pPr>
        <w:numPr>
          <w:ilvl w:val="2"/>
          <w:numId w:val="1"/>
        </w:numPr>
        <w:spacing w:before="156" w:beforeLines="50" w:after="156" w:afterLines="50"/>
        <w:rPr>
          <w:rFonts w:ascii="黑体" w:eastAsia="黑体"/>
          <w:kern w:val="0"/>
          <w:szCs w:val="21"/>
        </w:rPr>
      </w:pPr>
      <w:r>
        <w:rPr>
          <w:rFonts w:hint="eastAsia" w:ascii="黑体" w:eastAsia="黑体"/>
          <w:kern w:val="0"/>
          <w:szCs w:val="21"/>
        </w:rPr>
        <w:t>基于航空遥感的特定生态环境目标精细化提取</w:t>
      </w:r>
    </w:p>
    <w:p w14:paraId="5F42122C">
      <w:pPr>
        <w:widowControl/>
        <w:tabs>
          <w:tab w:val="left" w:pos="5670"/>
        </w:tabs>
        <w:ind w:firstLine="420" w:firstLineChars="200"/>
        <w:jc w:val="left"/>
        <w:rPr>
          <w:rFonts w:hint="eastAsia" w:ascii="宋体" w:hAnsi="宋体" w:cs="宋体"/>
          <w:color w:val="000000"/>
          <w:kern w:val="0"/>
          <w:szCs w:val="21"/>
        </w:rPr>
      </w:pPr>
      <w:r>
        <w:rPr>
          <w:rFonts w:hint="eastAsia" w:ascii="宋体" w:hAnsi="宋体" w:cs="宋体"/>
          <w:color w:val="000000"/>
          <w:kern w:val="0"/>
          <w:szCs w:val="21"/>
        </w:rPr>
        <w:t>基于无人机、飞艇等航空遥感平台，运用高光谱、热红外等传感器，对监测范围内特定生态环境目标进行精细化提取。</w:t>
      </w:r>
    </w:p>
    <w:p w14:paraId="04BFFE26">
      <w:pPr>
        <w:numPr>
          <w:ilvl w:val="1"/>
          <w:numId w:val="1"/>
        </w:numPr>
        <w:spacing w:before="156" w:beforeLines="50" w:after="156" w:afterLines="50"/>
        <w:outlineLvl w:val="1"/>
        <w:rPr>
          <w:rFonts w:ascii="黑体" w:eastAsia="黑体"/>
          <w:kern w:val="0"/>
          <w:szCs w:val="21"/>
        </w:rPr>
      </w:pPr>
      <w:bookmarkStart w:id="70" w:name="_Toc9380"/>
      <w:r>
        <w:rPr>
          <w:rFonts w:hint="eastAsia" w:ascii="黑体" w:eastAsia="黑体"/>
          <w:kern w:val="0"/>
          <w:szCs w:val="21"/>
        </w:rPr>
        <w:t>地面观测与实地调查技术方法</w:t>
      </w:r>
      <w:bookmarkEnd w:id="70"/>
    </w:p>
    <w:p w14:paraId="5485BB50">
      <w:pPr>
        <w:widowControl/>
        <w:tabs>
          <w:tab w:val="left" w:pos="5670"/>
        </w:tabs>
        <w:ind w:firstLine="420" w:firstLineChars="200"/>
        <w:jc w:val="left"/>
        <w:rPr>
          <w:rFonts w:hint="eastAsia" w:ascii="宋体" w:hAnsi="宋体" w:cs="宋体"/>
          <w:color w:val="000000"/>
          <w:kern w:val="0"/>
          <w:szCs w:val="21"/>
        </w:rPr>
      </w:pPr>
      <w:r>
        <w:rPr>
          <w:rFonts w:hint="eastAsia" w:ascii="宋体" w:hAnsi="宋体" w:cs="宋体"/>
          <w:color w:val="000000"/>
          <w:kern w:val="0"/>
          <w:szCs w:val="21"/>
        </w:rPr>
        <w:t>地面观测主要指利用地面上的传感器、观测设备、综合台站开展观测，通常设置相对长期、固定的观测站点，对环境质量、气象条件、水文条件等方面指标进行定期或连续观测。</w:t>
      </w:r>
    </w:p>
    <w:p w14:paraId="296FDF27">
      <w:pPr>
        <w:widowControl/>
        <w:tabs>
          <w:tab w:val="left" w:pos="5670"/>
        </w:tabs>
        <w:ind w:firstLine="420" w:firstLineChars="200"/>
        <w:jc w:val="left"/>
        <w:rPr>
          <w:rFonts w:hint="eastAsia" w:ascii="宋体" w:hAnsi="宋体" w:cs="宋体"/>
          <w:color w:val="000000"/>
          <w:kern w:val="0"/>
          <w:szCs w:val="21"/>
        </w:rPr>
      </w:pPr>
      <w:r>
        <w:rPr>
          <w:rFonts w:hint="eastAsia" w:ascii="宋体" w:hAnsi="宋体" w:cs="宋体"/>
          <w:color w:val="000000"/>
          <w:kern w:val="0"/>
          <w:szCs w:val="21"/>
        </w:rPr>
        <w:t>实地调查主要采用固定、半固定的样地/样方/样线的方式，对调查目标进行观测，主要用于对物种、植被状况等相关指标的定期调查与观测。样地布设应遵循随机与典型相结合的原则，覆盖监测范围内不同生态系统类型、不同修复措施区域，样地数量根据监测尺度确定。</w:t>
      </w:r>
    </w:p>
    <w:p w14:paraId="43D0B502">
      <w:pPr>
        <w:widowControl/>
        <w:tabs>
          <w:tab w:val="left" w:pos="5670"/>
        </w:tabs>
        <w:ind w:firstLine="420" w:firstLineChars="200"/>
        <w:jc w:val="left"/>
        <w:rPr>
          <w:rFonts w:hint="eastAsia" w:ascii="宋体" w:hAnsi="宋体" w:cs="宋体"/>
          <w:color w:val="000000"/>
          <w:kern w:val="0"/>
          <w:szCs w:val="21"/>
        </w:rPr>
      </w:pPr>
      <w:r>
        <w:rPr>
          <w:rFonts w:hint="eastAsia" w:ascii="宋体" w:hAnsi="宋体" w:cs="宋体"/>
          <w:color w:val="000000"/>
          <w:kern w:val="0"/>
          <w:szCs w:val="21"/>
        </w:rPr>
        <w:t>具体内容参照HJ 1311执行。</w:t>
      </w:r>
    </w:p>
    <w:p w14:paraId="38BCDF66">
      <w:pPr>
        <w:numPr>
          <w:ilvl w:val="1"/>
          <w:numId w:val="1"/>
        </w:numPr>
        <w:spacing w:before="156" w:beforeLines="50" w:after="156" w:afterLines="50"/>
        <w:outlineLvl w:val="1"/>
        <w:rPr>
          <w:rFonts w:ascii="黑体" w:eastAsia="黑体"/>
          <w:kern w:val="0"/>
          <w:szCs w:val="21"/>
        </w:rPr>
      </w:pPr>
      <w:bookmarkStart w:id="71" w:name="_Toc22807"/>
      <w:bookmarkStart w:id="72" w:name="_Toc17121"/>
      <w:bookmarkStart w:id="73" w:name="_Toc8207"/>
      <w:r>
        <w:rPr>
          <w:rFonts w:hint="eastAsia" w:ascii="黑体" w:eastAsia="黑体"/>
          <w:kern w:val="0"/>
          <w:szCs w:val="21"/>
        </w:rPr>
        <w:t>资料收集与调查统计方法</w:t>
      </w:r>
      <w:bookmarkEnd w:id="71"/>
      <w:bookmarkEnd w:id="72"/>
      <w:bookmarkEnd w:id="73"/>
    </w:p>
    <w:p w14:paraId="40D32572">
      <w:pPr>
        <w:widowControl/>
        <w:ind w:firstLine="420" w:firstLineChars="200"/>
        <w:jc w:val="left"/>
        <w:rPr>
          <w:rFonts w:hint="eastAsia" w:ascii="宋体" w:hAnsi="宋体" w:cs="宋体"/>
          <w:color w:val="000000"/>
          <w:kern w:val="0"/>
          <w:szCs w:val="21"/>
        </w:rPr>
      </w:pPr>
      <w:r>
        <w:rPr>
          <w:rFonts w:hint="eastAsia" w:ascii="宋体" w:hAnsi="宋体" w:cs="宋体"/>
          <w:color w:val="000000"/>
          <w:kern w:val="0"/>
          <w:szCs w:val="21"/>
        </w:rPr>
        <w:t>资料收集和调查统计方法主要是通过资料收集、问卷、问询、座谈等方式收集资料。包括（1）项目实施全周期工程范围、生态保护修复单元、子项目的生态环境背景条件和生态环境问题的有关资料,包括区位条件、气象水文、生态环境、人口经济社会、土地利用等数据资料；（2）相关部门已有的野生动植物调查、国土调查、林草水湿专项调查等自然资源调查监测数据。</w:t>
      </w:r>
    </w:p>
    <w:p w14:paraId="7F5054A3">
      <w:pPr>
        <w:widowControl/>
        <w:ind w:firstLine="420" w:firstLineChars="200"/>
        <w:jc w:val="left"/>
        <w:rPr>
          <w:rFonts w:hint="eastAsia" w:ascii="宋体" w:hAnsi="宋体" w:cs="宋体"/>
          <w:color w:val="000000"/>
          <w:kern w:val="0"/>
          <w:szCs w:val="21"/>
        </w:rPr>
      </w:pPr>
      <w:r>
        <w:rPr>
          <w:rFonts w:hint="eastAsia" w:ascii="宋体" w:hAnsi="宋体" w:cs="宋体"/>
          <w:color w:val="000000"/>
          <w:kern w:val="0"/>
          <w:szCs w:val="21"/>
        </w:rPr>
        <w:t>利用归纳分析方法对收集的资料信息进行统计分析。</w:t>
      </w:r>
    </w:p>
    <w:p w14:paraId="47CBE355">
      <w:pPr>
        <w:numPr>
          <w:ilvl w:val="0"/>
          <w:numId w:val="1"/>
        </w:numPr>
        <w:spacing w:before="312" w:beforeLines="100" w:after="312" w:afterLines="100"/>
        <w:outlineLvl w:val="1"/>
        <w:rPr>
          <w:rFonts w:hint="eastAsia" w:ascii="宋体" w:hAnsi="宋体" w:cs="宋体"/>
          <w:color w:val="000000"/>
          <w:kern w:val="0"/>
          <w:szCs w:val="21"/>
        </w:rPr>
      </w:pPr>
      <w:bookmarkStart w:id="74" w:name="_Toc3320"/>
      <w:r>
        <w:rPr>
          <w:rFonts w:hint="eastAsia" w:ascii="黑体" w:eastAsia="黑体"/>
          <w:kern w:val="0"/>
          <w:szCs w:val="20"/>
        </w:rPr>
        <w:t>质量控制</w:t>
      </w:r>
      <w:bookmarkEnd w:id="74"/>
    </w:p>
    <w:p w14:paraId="73DCFFEE">
      <w:pPr>
        <w:widowControl/>
        <w:ind w:firstLine="420" w:firstLineChars="200"/>
        <w:jc w:val="left"/>
        <w:rPr>
          <w:rFonts w:hint="eastAsia" w:ascii="宋体" w:hAnsi="宋体" w:cs="宋体"/>
          <w:color w:val="000000"/>
          <w:kern w:val="0"/>
          <w:szCs w:val="21"/>
        </w:rPr>
      </w:pPr>
      <w:r>
        <w:rPr>
          <w:rFonts w:hint="eastAsia" w:ascii="宋体" w:hAnsi="宋体" w:cs="宋体"/>
          <w:color w:val="000000"/>
          <w:kern w:val="0"/>
          <w:szCs w:val="21"/>
        </w:rPr>
        <w:t>山水林田湖草沙一体化生态保护与修复成效监测中，遥感监测质量控制按照HJ 1340、HJ 1166要求执行，遥感监测质量控制主要包括影响卫星遥感、航空遥感等方面。地面调查监测质量控制按照HJ 1311要求执行。实地调查样点抽检比例不低于10%，样点重复监测误差需小于5%。收集资料需标注数据时效，近3年数据占比不低于80%，资料收集的质量控制要求真实、准确、完整，且时效性强。</w:t>
      </w:r>
    </w:p>
    <w:p w14:paraId="00533551">
      <w:pPr>
        <w:numPr>
          <w:ilvl w:val="0"/>
          <w:numId w:val="1"/>
        </w:numPr>
        <w:spacing w:before="312" w:beforeLines="100" w:after="312" w:afterLines="100"/>
        <w:outlineLvl w:val="1"/>
        <w:rPr>
          <w:rFonts w:ascii="黑体" w:eastAsia="黑体"/>
          <w:kern w:val="0"/>
          <w:szCs w:val="20"/>
        </w:rPr>
      </w:pPr>
      <w:bookmarkStart w:id="75" w:name="_Toc11989"/>
      <w:r>
        <w:rPr>
          <w:rFonts w:hint="eastAsia" w:ascii="黑体" w:eastAsia="黑体"/>
          <w:kern w:val="0"/>
          <w:szCs w:val="20"/>
        </w:rPr>
        <w:t>监测成果</w:t>
      </w:r>
      <w:bookmarkEnd w:id="63"/>
      <w:bookmarkEnd w:id="64"/>
      <w:bookmarkEnd w:id="75"/>
    </w:p>
    <w:p w14:paraId="13310E9D">
      <w:pPr>
        <w:numPr>
          <w:ilvl w:val="1"/>
          <w:numId w:val="1"/>
        </w:numPr>
        <w:spacing w:before="156" w:beforeLines="50" w:after="156" w:afterLines="50"/>
        <w:outlineLvl w:val="1"/>
        <w:rPr>
          <w:rFonts w:ascii="黑体" w:eastAsia="黑体"/>
          <w:kern w:val="0"/>
          <w:szCs w:val="21"/>
        </w:rPr>
      </w:pPr>
      <w:bookmarkStart w:id="76" w:name="_Toc15662"/>
      <w:bookmarkStart w:id="77" w:name="_Toc11969"/>
      <w:bookmarkStart w:id="78" w:name="_Toc6910"/>
      <w:r>
        <w:rPr>
          <w:rFonts w:hint="eastAsia" w:ascii="黑体" w:eastAsia="黑体"/>
          <w:kern w:val="0"/>
          <w:szCs w:val="21"/>
        </w:rPr>
        <w:t>地理信息数据</w:t>
      </w:r>
      <w:bookmarkEnd w:id="76"/>
      <w:bookmarkEnd w:id="77"/>
      <w:bookmarkEnd w:id="78"/>
    </w:p>
    <w:p w14:paraId="5C0A5AA0">
      <w:pPr>
        <w:spacing w:before="156" w:beforeLines="50" w:after="156" w:afterLines="50"/>
        <w:ind w:left="2" w:firstLine="420" w:firstLineChars="200"/>
        <w:rPr>
          <w:rFonts w:ascii="黑体" w:eastAsia="黑体"/>
          <w:kern w:val="0"/>
          <w:szCs w:val="21"/>
        </w:rPr>
      </w:pPr>
      <w:bookmarkStart w:id="79" w:name="_Toc26318"/>
      <w:bookmarkStart w:id="80" w:name="_Toc14829"/>
      <w:r>
        <w:rPr>
          <w:rFonts w:hint="eastAsia"/>
          <w:color w:val="000000"/>
          <w:kern w:val="0"/>
          <w:szCs w:val="20"/>
        </w:rPr>
        <w:t>地理信息数据</w:t>
      </w:r>
      <w:r>
        <w:rPr>
          <w:color w:val="000000"/>
          <w:kern w:val="0"/>
          <w:szCs w:val="20"/>
        </w:rPr>
        <w:t>按SHP、GeoTIFF等通用格式提供，空间坐标采用2000国家大地坐标、高斯-克吕格3°分带，高程采用1985国家高程基准，统一数据标准。</w:t>
      </w:r>
      <w:bookmarkEnd w:id="79"/>
      <w:bookmarkEnd w:id="80"/>
    </w:p>
    <w:p w14:paraId="1443A02C">
      <w:pPr>
        <w:numPr>
          <w:ilvl w:val="1"/>
          <w:numId w:val="1"/>
        </w:numPr>
        <w:spacing w:before="156" w:beforeLines="50" w:after="156" w:afterLines="50"/>
        <w:outlineLvl w:val="1"/>
        <w:rPr>
          <w:rFonts w:ascii="黑体" w:eastAsia="黑体"/>
          <w:kern w:val="0"/>
          <w:szCs w:val="21"/>
        </w:rPr>
      </w:pPr>
      <w:bookmarkStart w:id="81" w:name="_Toc28933"/>
      <w:r>
        <w:rPr>
          <w:rFonts w:hint="eastAsia" w:ascii="黑体" w:eastAsia="黑体"/>
          <w:kern w:val="0"/>
          <w:szCs w:val="21"/>
        </w:rPr>
        <w:t>监测数据</w:t>
      </w:r>
      <w:bookmarkEnd w:id="81"/>
    </w:p>
    <w:p w14:paraId="01648132">
      <w:pPr>
        <w:adjustRightInd w:val="0"/>
        <w:snapToGrid w:val="0"/>
        <w:ind w:firstLine="420" w:firstLineChars="200"/>
        <w:rPr>
          <w:color w:val="000000"/>
          <w:kern w:val="0"/>
          <w:szCs w:val="20"/>
        </w:rPr>
      </w:pPr>
      <w:r>
        <w:rPr>
          <w:rFonts w:hint="eastAsia"/>
          <w:color w:val="000000"/>
          <w:kern w:val="0"/>
          <w:szCs w:val="20"/>
        </w:rPr>
        <w:t>监测数据包括：</w:t>
      </w:r>
    </w:p>
    <w:p w14:paraId="07BCFA0A">
      <w:pPr>
        <w:adjustRightInd w:val="0"/>
        <w:snapToGrid w:val="0"/>
        <w:ind w:firstLine="420" w:firstLineChars="200"/>
        <w:rPr>
          <w:color w:val="000000"/>
          <w:kern w:val="0"/>
          <w:szCs w:val="20"/>
        </w:rPr>
      </w:pPr>
      <w:r>
        <w:rPr>
          <w:rFonts w:hint="eastAsia"/>
          <w:color w:val="000000"/>
          <w:kern w:val="0"/>
          <w:szCs w:val="20"/>
        </w:rPr>
        <w:t>a）基础数据，通过向气象、水利、环境等相关部门收集，获得的区域范围的气象数据：降雨量、气温、风速、风向、湿度、辐射、日照时数等；水文数据，包括流量、地表径流量、潜在/实际蒸散发等；土壤数据，包括土壤类型、土壤质地、土壤含水量、土壤PH、土壤容重；地质背景材料等。</w:t>
      </w:r>
    </w:p>
    <w:p w14:paraId="77D0FED0">
      <w:pPr>
        <w:adjustRightInd w:val="0"/>
        <w:snapToGrid w:val="0"/>
        <w:ind w:firstLine="420" w:firstLineChars="200"/>
        <w:rPr>
          <w:color w:val="000000"/>
          <w:kern w:val="0"/>
          <w:szCs w:val="20"/>
        </w:rPr>
      </w:pPr>
      <w:r>
        <w:rPr>
          <w:rFonts w:hint="eastAsia"/>
          <w:color w:val="000000"/>
          <w:kern w:val="0"/>
          <w:szCs w:val="20"/>
        </w:rPr>
        <w:t>b）生态成效监测数据，包括反映景观格局、生态系统质量、生态系统服务、生态胁迫、工程监测管护等方面的数据指标。空间尺度上包括子项目、生态保护修复单元、工程范围三个尺度，时间尺度上包括工程前（基期）、工程结束后（验收期），工程验收后两~三年（管护期）、工程验收后每五年数据（常态化期），根据具体情况有所差异。</w:t>
      </w:r>
    </w:p>
    <w:p w14:paraId="27CC6B36">
      <w:pPr>
        <w:adjustRightInd w:val="0"/>
        <w:snapToGrid w:val="0"/>
        <w:ind w:firstLine="420" w:firstLineChars="200"/>
        <w:rPr>
          <w:color w:val="000000"/>
          <w:kern w:val="0"/>
          <w:szCs w:val="20"/>
        </w:rPr>
      </w:pPr>
      <w:r>
        <w:rPr>
          <w:rFonts w:hint="eastAsia"/>
          <w:color w:val="000000"/>
          <w:kern w:val="0"/>
          <w:szCs w:val="20"/>
        </w:rPr>
        <w:t>c）社会成效、经济成效监测数据。空间尺度上主要在工程范围尺度上监测，时间尺度上包括工程前（基期）、工程结束后（验收期），工程验收后两~三年（管护期）、工程验收后每五年数据（常态化期）。</w:t>
      </w:r>
    </w:p>
    <w:p w14:paraId="6839B93A">
      <w:pPr>
        <w:numPr>
          <w:ilvl w:val="1"/>
          <w:numId w:val="1"/>
        </w:numPr>
        <w:spacing w:before="156" w:beforeLines="50" w:after="156" w:afterLines="50"/>
        <w:outlineLvl w:val="1"/>
        <w:rPr>
          <w:rFonts w:ascii="黑体" w:eastAsia="黑体"/>
          <w:kern w:val="0"/>
          <w:szCs w:val="21"/>
        </w:rPr>
      </w:pPr>
      <w:bookmarkStart w:id="82" w:name="_Toc197"/>
      <w:bookmarkStart w:id="83" w:name="_Toc18631"/>
      <w:bookmarkStart w:id="84" w:name="_Toc18502"/>
      <w:r>
        <w:rPr>
          <w:rFonts w:hint="eastAsia" w:ascii="黑体" w:eastAsia="黑体"/>
          <w:kern w:val="0"/>
          <w:szCs w:val="21"/>
        </w:rPr>
        <w:t>多媒体成果</w:t>
      </w:r>
      <w:bookmarkEnd w:id="82"/>
      <w:bookmarkEnd w:id="83"/>
      <w:bookmarkEnd w:id="84"/>
    </w:p>
    <w:p w14:paraId="0983D245">
      <w:pPr>
        <w:adjustRightInd w:val="0"/>
        <w:snapToGrid w:val="0"/>
        <w:ind w:firstLine="420" w:firstLineChars="200"/>
        <w:rPr>
          <w:color w:val="000000"/>
          <w:kern w:val="0"/>
          <w:szCs w:val="20"/>
        </w:rPr>
      </w:pPr>
      <w:r>
        <w:rPr>
          <w:rFonts w:hint="eastAsia"/>
          <w:color w:val="000000"/>
          <w:kern w:val="0"/>
          <w:szCs w:val="20"/>
        </w:rPr>
        <w:t>主要包括一些监测工作过程中实地拍摄的图片，及反映修复工程前后的音视频等。</w:t>
      </w:r>
    </w:p>
    <w:p w14:paraId="21265FA2">
      <w:pPr>
        <w:numPr>
          <w:ilvl w:val="1"/>
          <w:numId w:val="1"/>
        </w:numPr>
        <w:spacing w:before="156" w:beforeLines="50" w:after="156" w:afterLines="50"/>
        <w:outlineLvl w:val="1"/>
        <w:rPr>
          <w:rFonts w:ascii="黑体" w:eastAsia="黑体"/>
          <w:kern w:val="0"/>
          <w:szCs w:val="21"/>
        </w:rPr>
      </w:pPr>
      <w:bookmarkStart w:id="85" w:name="_Toc6531"/>
      <w:bookmarkStart w:id="86" w:name="_Toc30685"/>
      <w:bookmarkStart w:id="87" w:name="_Toc5453"/>
      <w:r>
        <w:rPr>
          <w:rFonts w:hint="eastAsia" w:ascii="黑体" w:eastAsia="黑体"/>
          <w:kern w:val="0"/>
          <w:szCs w:val="21"/>
        </w:rPr>
        <w:t>监测报告</w:t>
      </w:r>
      <w:bookmarkEnd w:id="85"/>
      <w:bookmarkEnd w:id="86"/>
      <w:bookmarkEnd w:id="87"/>
    </w:p>
    <w:p w14:paraId="582F9707">
      <w:pPr>
        <w:adjustRightInd w:val="0"/>
        <w:snapToGrid w:val="0"/>
        <w:ind w:firstLine="420" w:firstLineChars="200"/>
        <w:rPr>
          <w:color w:val="000000"/>
          <w:kern w:val="0"/>
          <w:szCs w:val="20"/>
        </w:rPr>
      </w:pPr>
      <w:r>
        <w:rPr>
          <w:rFonts w:hint="eastAsia"/>
          <w:color w:val="000000"/>
          <w:kern w:val="0"/>
          <w:szCs w:val="20"/>
        </w:rPr>
        <w:t>主要内容包括摘要、子项目尺度监测、生态保护修复单元尺度监测、工程范围尺度监测、综合分析与讨论、结论与建议等。报告应附监测范围图、监测点位布设图、指标空间分布图、修复前后对比图等附图，及监测数据统计表、成效分析表等附表。具体内容见附录C。</w:t>
      </w:r>
    </w:p>
    <w:p w14:paraId="34C1C4D4">
      <w:pPr>
        <w:adjustRightInd w:val="0"/>
        <w:snapToGrid w:val="0"/>
        <w:ind w:firstLine="420" w:firstLineChars="200"/>
        <w:rPr>
          <w:color w:val="000000"/>
          <w:kern w:val="0"/>
          <w:szCs w:val="20"/>
        </w:rPr>
      </w:pPr>
    </w:p>
    <w:p w14:paraId="08A8D854">
      <w:pPr>
        <w:numPr>
          <w:ilvl w:val="1"/>
          <w:numId w:val="1"/>
        </w:numPr>
        <w:spacing w:before="156" w:beforeLines="50" w:after="156" w:afterLines="50"/>
        <w:outlineLvl w:val="1"/>
        <w:rPr>
          <w:rFonts w:ascii="黑体" w:eastAsia="黑体"/>
          <w:kern w:val="0"/>
          <w:szCs w:val="21"/>
        </w:rPr>
      </w:pPr>
      <w:bookmarkStart w:id="88" w:name="_Toc22260"/>
      <w:r>
        <w:rPr>
          <w:rFonts w:hint="eastAsia" w:ascii="黑体" w:eastAsia="黑体"/>
          <w:kern w:val="0"/>
          <w:szCs w:val="21"/>
        </w:rPr>
        <w:t>成果汇交条款</w:t>
      </w:r>
      <w:bookmarkEnd w:id="88"/>
    </w:p>
    <w:p w14:paraId="507FC3CA">
      <w:pPr>
        <w:adjustRightInd w:val="0"/>
        <w:snapToGrid w:val="0"/>
        <w:ind w:firstLine="420" w:firstLineChars="200"/>
        <w:rPr>
          <w:color w:val="000000"/>
          <w:kern w:val="0"/>
          <w:szCs w:val="20"/>
        </w:rPr>
      </w:pPr>
      <w:r>
        <w:rPr>
          <w:rFonts w:hint="eastAsia"/>
          <w:color w:val="000000"/>
          <w:kern w:val="0"/>
          <w:szCs w:val="20"/>
        </w:rPr>
        <w:t>所有监测成果应按电子档+纸质档汇交，电子档包括矢量数据、栅格数据、文档、多媒体等，纸质档为监测报告及附图附表装订册。</w:t>
      </w:r>
    </w:p>
    <w:p w14:paraId="5086FBD7">
      <w:pPr>
        <w:adjustRightInd w:val="0"/>
        <w:snapToGrid w:val="0"/>
        <w:ind w:firstLine="420" w:firstLineChars="200"/>
        <w:rPr>
          <w:color w:val="000000"/>
          <w:kern w:val="0"/>
          <w:szCs w:val="20"/>
        </w:rPr>
      </w:pPr>
    </w:p>
    <w:p w14:paraId="657850AD">
      <w:pPr>
        <w:adjustRightInd w:val="0"/>
        <w:snapToGrid w:val="0"/>
        <w:ind w:firstLine="420" w:firstLineChars="200"/>
      </w:pPr>
      <w:r>
        <w:rPr>
          <w:rFonts w:hint="eastAsia"/>
          <w:color w:val="000000"/>
          <w:kern w:val="0"/>
          <w:szCs w:val="20"/>
        </w:rPr>
        <w:br w:type="page"/>
      </w:r>
    </w:p>
    <w:p w14:paraId="53BBFA6D">
      <w:pPr>
        <w:keepNext/>
        <w:widowControl/>
        <w:numPr>
          <w:ilvl w:val="0"/>
          <w:numId w:val="5"/>
        </w:numPr>
        <w:shd w:val="clear" w:color="FFFFFF" w:fill="FFFFFF"/>
        <w:spacing w:before="640" w:after="280"/>
        <w:jc w:val="center"/>
        <w:outlineLvl w:val="0"/>
        <w:rPr>
          <w:rFonts w:ascii="黑体" w:eastAsia="黑体"/>
          <w:kern w:val="0"/>
          <w:szCs w:val="20"/>
        </w:rPr>
      </w:pPr>
      <w:bookmarkStart w:id="89" w:name="_Toc26957"/>
      <w:bookmarkEnd w:id="89"/>
      <w:bookmarkStart w:id="90" w:name="_Toc3478"/>
      <w:bookmarkEnd w:id="90"/>
      <w:bookmarkStart w:id="91" w:name="_Toc23437"/>
      <w:bookmarkEnd w:id="91"/>
      <w:bookmarkStart w:id="92" w:name="_Toc20429"/>
      <w:bookmarkEnd w:id="92"/>
      <w:bookmarkStart w:id="93" w:name="_Toc25199"/>
      <w:bookmarkStart w:id="94" w:name="_Toc28512"/>
      <w:bookmarkStart w:id="95" w:name="_Toc1622"/>
      <w:r>
        <w:rPr>
          <w:rFonts w:ascii="黑体" w:eastAsia="黑体"/>
          <w:kern w:val="0"/>
          <w:szCs w:val="20"/>
        </w:rPr>
        <w:br w:type="textWrapping"/>
      </w:r>
      <w:bookmarkStart w:id="96" w:name="_Toc450293167"/>
      <w:r>
        <w:rPr>
          <w:rFonts w:hint="eastAsia" w:ascii="黑体" w:eastAsia="黑体"/>
          <w:kern w:val="0"/>
          <w:szCs w:val="20"/>
        </w:rPr>
        <w:t>（资料性）</w:t>
      </w:r>
      <w:r>
        <w:rPr>
          <w:rFonts w:ascii="黑体" w:eastAsia="黑体"/>
          <w:kern w:val="0"/>
          <w:szCs w:val="20"/>
        </w:rPr>
        <w:br w:type="textWrapping"/>
      </w:r>
      <w:bookmarkEnd w:id="96"/>
      <w:r>
        <w:rPr>
          <w:rFonts w:hint="eastAsia" w:ascii="黑体" w:eastAsia="黑体"/>
          <w:kern w:val="0"/>
          <w:szCs w:val="20"/>
        </w:rPr>
        <w:t>监测指标计算方法</w:t>
      </w:r>
      <w:bookmarkEnd w:id="93"/>
      <w:bookmarkEnd w:id="94"/>
      <w:r>
        <w:rPr>
          <w:rFonts w:hint="eastAsia" w:ascii="黑体" w:eastAsia="黑体"/>
          <w:kern w:val="0"/>
          <w:szCs w:val="20"/>
        </w:rPr>
        <w:t>及数据来源</w:t>
      </w:r>
      <w:bookmarkEnd w:id="95"/>
    </w:p>
    <w:p w14:paraId="6D8311EB">
      <w:pPr>
        <w:pStyle w:val="79"/>
        <w:numPr>
          <w:ilvl w:val="1"/>
          <w:numId w:val="5"/>
        </w:numPr>
        <w:spacing w:before="312" w:after="312"/>
      </w:pPr>
      <w:bookmarkStart w:id="97" w:name="_Toc7636"/>
      <w:bookmarkStart w:id="98" w:name="_Toc12803"/>
      <w:bookmarkStart w:id="99" w:name="_Toc16266"/>
      <w:bookmarkStart w:id="100" w:name="_Toc7470"/>
      <w:bookmarkStart w:id="101" w:name="_Toc19120"/>
      <w:r>
        <w:rPr>
          <w:rFonts w:hint="eastAsia"/>
        </w:rPr>
        <w:t>生态成效监测指标</w:t>
      </w:r>
      <w:bookmarkEnd w:id="97"/>
      <w:bookmarkEnd w:id="98"/>
      <w:r>
        <w:rPr>
          <w:rFonts w:hint="eastAsia"/>
        </w:rPr>
        <w:t>体系</w:t>
      </w:r>
      <w:bookmarkEnd w:id="99"/>
      <w:bookmarkEnd w:id="100"/>
      <w:bookmarkEnd w:id="101"/>
    </w:p>
    <w:p w14:paraId="58535AE8">
      <w:pPr>
        <w:pStyle w:val="79"/>
        <w:numPr>
          <w:ilvl w:val="2"/>
          <w:numId w:val="5"/>
        </w:numPr>
        <w:spacing w:before="312" w:after="312"/>
        <w:outlineLvl w:val="9"/>
      </w:pPr>
      <w:bookmarkStart w:id="102" w:name="_Toc19274"/>
      <w:bookmarkStart w:id="103" w:name="_Toc1258"/>
      <w:r>
        <w:rPr>
          <w:rFonts w:hint="eastAsia" w:hAnsi="黑体"/>
          <w:color w:val="000000"/>
          <w:kern w:val="0"/>
        </w:rPr>
        <w:t>耕地复种指数</w:t>
      </w:r>
      <w:bookmarkEnd w:id="102"/>
      <w:bookmarkEnd w:id="103"/>
    </w:p>
    <w:p w14:paraId="10D35DE9">
      <w:pPr>
        <w:widowControl/>
        <w:ind w:firstLine="420" w:firstLineChars="200"/>
        <w:jc w:val="left"/>
        <w:rPr>
          <w:rFonts w:hint="eastAsia" w:ascii="宋体" w:hAnsi="宋体" w:cs="宋体"/>
          <w:color w:val="000000"/>
          <w:kern w:val="0"/>
          <w:szCs w:val="21"/>
        </w:rPr>
      </w:pPr>
      <w:bookmarkStart w:id="104" w:name="_Toc18508"/>
      <w:bookmarkStart w:id="105" w:name="_Toc29631"/>
      <w:bookmarkStart w:id="106" w:name="_Toc14855"/>
      <w:bookmarkStart w:id="107" w:name="_Toc16694"/>
      <w:bookmarkStart w:id="108" w:name="_Toc18025"/>
      <w:bookmarkStart w:id="109" w:name="_Toc14744"/>
      <w:r>
        <w:rPr>
          <w:rFonts w:hint="eastAsia" w:ascii="宋体" w:hAnsi="宋体" w:cs="宋体"/>
          <w:color w:val="000000"/>
          <w:kern w:val="0"/>
          <w:szCs w:val="21"/>
        </w:rPr>
        <w:t>指标解释：全年种植植物总收获面积占耕地面积的比例，反映耕地利用程度。</w:t>
      </w:r>
    </w:p>
    <w:p w14:paraId="17C66F24">
      <w:pPr>
        <w:widowControl/>
        <w:ind w:firstLine="420" w:firstLineChars="200"/>
        <w:jc w:val="left"/>
        <w:rPr>
          <w:rFonts w:hint="eastAsia" w:ascii="宋体" w:hAnsi="宋体" w:cs="宋体"/>
          <w:color w:val="000000"/>
          <w:kern w:val="0"/>
          <w:szCs w:val="21"/>
        </w:rPr>
      </w:pPr>
      <w:r>
        <w:rPr>
          <w:rFonts w:hint="eastAsia" w:ascii="宋体" w:hAnsi="宋体" w:cs="宋体"/>
          <w:color w:val="000000"/>
          <w:kern w:val="0"/>
          <w:szCs w:val="21"/>
        </w:rPr>
        <w:t>获取方法：工程实施方案、规划设计，自然资源、统计等部门资料。具体计算按照TD/T 1102附录A执行。</w:t>
      </w:r>
    </w:p>
    <w:p w14:paraId="32A27419">
      <w:pPr>
        <w:pStyle w:val="79"/>
        <w:numPr>
          <w:ilvl w:val="2"/>
          <w:numId w:val="5"/>
        </w:numPr>
        <w:spacing w:before="312" w:after="312"/>
        <w:outlineLvl w:val="9"/>
        <w:rPr>
          <w:rFonts w:hint="eastAsia" w:hAnsi="黑体"/>
          <w:color w:val="000000"/>
          <w:kern w:val="0"/>
        </w:rPr>
      </w:pPr>
      <w:bookmarkStart w:id="110" w:name="_Toc4190"/>
      <w:bookmarkStart w:id="111" w:name="_Toc20593"/>
      <w:r>
        <w:rPr>
          <w:rFonts w:hint="eastAsia" w:hAnsi="黑体"/>
          <w:color w:val="000000"/>
          <w:kern w:val="0"/>
        </w:rPr>
        <w:t>土地垦殖率</w:t>
      </w:r>
      <w:bookmarkEnd w:id="110"/>
      <w:bookmarkEnd w:id="111"/>
    </w:p>
    <w:p w14:paraId="1D4CA984">
      <w:pPr>
        <w:widowControl/>
        <w:ind w:firstLine="420" w:firstLineChars="200"/>
        <w:jc w:val="left"/>
        <w:rPr>
          <w:rFonts w:hint="eastAsia" w:ascii="宋体" w:hAnsi="宋体" w:cs="宋体"/>
          <w:color w:val="000000"/>
          <w:kern w:val="0"/>
          <w:szCs w:val="21"/>
        </w:rPr>
      </w:pPr>
      <w:r>
        <w:rPr>
          <w:rFonts w:hint="eastAsia" w:ascii="宋体" w:hAnsi="宋体" w:cs="宋体"/>
          <w:color w:val="000000"/>
          <w:kern w:val="0"/>
          <w:szCs w:val="21"/>
        </w:rPr>
        <w:t>指标解释：耕地面积占土地总面积的比例，反映土地利用强度。</w:t>
      </w:r>
    </w:p>
    <w:p w14:paraId="210FFCE7">
      <w:pPr>
        <w:widowControl/>
        <w:ind w:firstLine="420" w:firstLineChars="200"/>
        <w:jc w:val="left"/>
        <w:rPr>
          <w:rFonts w:hint="eastAsia" w:ascii="宋体" w:hAnsi="宋体" w:cs="宋体"/>
          <w:color w:val="000000"/>
          <w:kern w:val="0"/>
          <w:szCs w:val="21"/>
        </w:rPr>
      </w:pPr>
      <w:r>
        <w:rPr>
          <w:rFonts w:hint="eastAsia" w:ascii="宋体" w:hAnsi="宋体" w:cs="宋体"/>
          <w:color w:val="000000"/>
          <w:kern w:val="0"/>
          <w:szCs w:val="21"/>
        </w:rPr>
        <w:t>获取方法：工程实施方案、规划设计，自然资源、统计等部门资料。具体计算按照TD/T 1102附录A执行。</w:t>
      </w:r>
    </w:p>
    <w:p w14:paraId="7D65FC7C">
      <w:pPr>
        <w:pStyle w:val="79"/>
        <w:numPr>
          <w:ilvl w:val="2"/>
          <w:numId w:val="5"/>
        </w:numPr>
        <w:spacing w:before="312" w:after="312"/>
        <w:outlineLvl w:val="9"/>
        <w:rPr>
          <w:rFonts w:hint="eastAsia" w:hAnsi="黑体"/>
          <w:color w:val="000000"/>
          <w:kern w:val="0"/>
        </w:rPr>
      </w:pPr>
      <w:bookmarkStart w:id="112" w:name="_Toc23066"/>
      <w:bookmarkStart w:id="113" w:name="_Toc423"/>
      <w:r>
        <w:rPr>
          <w:rFonts w:hint="eastAsia" w:hAnsi="黑体"/>
          <w:color w:val="000000"/>
          <w:kern w:val="0"/>
        </w:rPr>
        <w:t>地表水环境质量指标（24项）</w:t>
      </w:r>
      <w:bookmarkEnd w:id="112"/>
      <w:bookmarkEnd w:id="113"/>
    </w:p>
    <w:p w14:paraId="4C9427B1">
      <w:pPr>
        <w:widowControl/>
        <w:ind w:firstLine="420" w:firstLineChars="200"/>
        <w:jc w:val="left"/>
        <w:rPr>
          <w:rFonts w:hint="eastAsia" w:ascii="宋体" w:hAnsi="宋体" w:cs="宋体"/>
          <w:color w:val="000000"/>
          <w:kern w:val="0"/>
          <w:szCs w:val="21"/>
        </w:rPr>
      </w:pPr>
      <w:r>
        <w:rPr>
          <w:rFonts w:hint="eastAsia" w:ascii="宋体" w:hAnsi="宋体" w:cs="宋体"/>
          <w:color w:val="000000"/>
          <w:kern w:val="0"/>
          <w:szCs w:val="21"/>
        </w:rPr>
        <w:t>指标解释：指依据GB3838中规定的水温，pH值，溶解氧，高锰酸盐指数，化学需氧量，五日化学需氧量，氨氮，总磷，总氮，铜，锌，氟化物，硒，砷，汞，镉，铬(六价),铅，氰化物，挥发酚，石油类，阴离子表面活后性剂，硫化物，粪大肠菌群共24项地表水环境质量基本项目。</w:t>
      </w:r>
    </w:p>
    <w:p w14:paraId="6AC39ADF">
      <w:pPr>
        <w:widowControl/>
        <w:ind w:firstLine="420" w:firstLineChars="200"/>
        <w:jc w:val="left"/>
        <w:rPr>
          <w:rFonts w:hint="eastAsia" w:ascii="宋体" w:hAnsi="宋体" w:cs="宋体"/>
          <w:color w:val="000000"/>
          <w:kern w:val="0"/>
          <w:szCs w:val="21"/>
        </w:rPr>
      </w:pPr>
      <w:r>
        <w:rPr>
          <w:rFonts w:hint="eastAsia" w:ascii="宋体" w:hAnsi="宋体" w:cs="宋体"/>
          <w:color w:val="000000"/>
          <w:kern w:val="0"/>
          <w:szCs w:val="21"/>
        </w:rPr>
        <w:t>获取方法：主要以站点观测、站点取样和室内分析的方式获取，具体参照GB 3838中的方法执行。</w:t>
      </w:r>
    </w:p>
    <w:p w14:paraId="6D195A97">
      <w:pPr>
        <w:pStyle w:val="79"/>
        <w:numPr>
          <w:ilvl w:val="2"/>
          <w:numId w:val="5"/>
        </w:numPr>
        <w:spacing w:before="312" w:after="312"/>
        <w:outlineLvl w:val="9"/>
        <w:rPr>
          <w:rFonts w:hint="eastAsia" w:hAnsi="黑体"/>
          <w:color w:val="000000"/>
          <w:kern w:val="0"/>
        </w:rPr>
      </w:pPr>
      <w:bookmarkStart w:id="114" w:name="_Toc27821"/>
      <w:bookmarkStart w:id="115" w:name="_Toc31445"/>
      <w:r>
        <w:rPr>
          <w:rFonts w:hint="eastAsia" w:hAnsi="黑体"/>
          <w:color w:val="000000"/>
          <w:kern w:val="0"/>
        </w:rPr>
        <w:t>地下水环境质量指标（39项）</w:t>
      </w:r>
      <w:bookmarkEnd w:id="114"/>
      <w:bookmarkEnd w:id="115"/>
    </w:p>
    <w:p w14:paraId="00B53D2F">
      <w:pPr>
        <w:widowControl/>
        <w:ind w:firstLine="420" w:firstLineChars="200"/>
        <w:jc w:val="left"/>
        <w:rPr>
          <w:rFonts w:hint="eastAsia" w:ascii="宋体" w:hAnsi="宋体" w:cs="宋体"/>
          <w:color w:val="000000"/>
          <w:kern w:val="0"/>
          <w:szCs w:val="21"/>
        </w:rPr>
      </w:pPr>
      <w:r>
        <w:rPr>
          <w:rFonts w:hint="eastAsia" w:ascii="宋体" w:hAnsi="宋体" w:cs="宋体"/>
          <w:color w:val="000000"/>
          <w:kern w:val="0"/>
          <w:szCs w:val="21"/>
        </w:rPr>
        <w:t>指标解释：指依据GB/T 14848中规定的色，嗅和味，浑浊度，肉眼可见物，pH，总硬度，溶解性总固体，硫酸盐，氯化物，铁，锰，铜，锌，铝，挥发性酚类，阴离子表面活性剂，耗氧量，氨氮，硫化物，钠，总大肠杆菌群，菌落总数，亚硝酸盐，硝酸盐，氰化物，氟化物，碘化物，汞，砷，硒，镉，铬，铅，三氯甲烷，四氯化碳，苯，甲苯，总a放射物，总放射物共39项地下水质量常规指标。</w:t>
      </w:r>
    </w:p>
    <w:p w14:paraId="43F8DDF6">
      <w:pPr>
        <w:widowControl/>
        <w:ind w:firstLine="420" w:firstLineChars="200"/>
        <w:jc w:val="left"/>
        <w:rPr>
          <w:rFonts w:hint="eastAsia" w:ascii="宋体" w:hAnsi="宋体" w:cs="宋体"/>
          <w:color w:val="000000"/>
          <w:kern w:val="0"/>
          <w:szCs w:val="21"/>
        </w:rPr>
      </w:pPr>
      <w:r>
        <w:rPr>
          <w:rFonts w:hint="eastAsia" w:ascii="宋体" w:hAnsi="宋体" w:cs="宋体"/>
          <w:color w:val="000000"/>
          <w:kern w:val="0"/>
          <w:szCs w:val="21"/>
        </w:rPr>
        <w:t>获取方法：主要以站点观测、站点取样和室内分析的方式获取，具体参照GB/T 14848中的方法执行。</w:t>
      </w:r>
    </w:p>
    <w:p w14:paraId="3D67EE73">
      <w:pPr>
        <w:pStyle w:val="79"/>
        <w:numPr>
          <w:ilvl w:val="2"/>
          <w:numId w:val="5"/>
        </w:numPr>
        <w:spacing w:before="312" w:after="312"/>
        <w:outlineLvl w:val="9"/>
        <w:rPr>
          <w:rFonts w:hint="eastAsia" w:hAnsi="黑体"/>
          <w:color w:val="000000"/>
          <w:kern w:val="0"/>
        </w:rPr>
      </w:pPr>
      <w:bookmarkStart w:id="116" w:name="_Toc6193"/>
      <w:bookmarkStart w:id="117" w:name="_Toc11690"/>
      <w:r>
        <w:rPr>
          <w:rFonts w:hint="eastAsia" w:hAnsi="黑体"/>
          <w:color w:val="000000"/>
          <w:kern w:val="0"/>
        </w:rPr>
        <w:t>环境空气质量指标（6项）</w:t>
      </w:r>
      <w:bookmarkEnd w:id="116"/>
      <w:bookmarkEnd w:id="117"/>
    </w:p>
    <w:p w14:paraId="57338D0A">
      <w:pPr>
        <w:widowControl/>
        <w:ind w:firstLine="420" w:firstLineChars="200"/>
        <w:jc w:val="left"/>
        <w:rPr>
          <w:rFonts w:hint="eastAsia" w:ascii="宋体" w:hAnsi="宋体" w:cs="宋体"/>
          <w:color w:val="000000"/>
          <w:kern w:val="0"/>
          <w:szCs w:val="21"/>
        </w:rPr>
      </w:pPr>
      <w:r>
        <w:rPr>
          <w:rFonts w:hint="eastAsia" w:ascii="宋体" w:hAnsi="宋体" w:cs="宋体"/>
          <w:color w:val="000000"/>
          <w:kern w:val="0"/>
          <w:szCs w:val="21"/>
        </w:rPr>
        <w:t>指标解释：指依据GB3095中规定的二氧化硫(SO2)，二氧化氮(NO2)，一氧化碳(CO),臭氧(O3)，颗粒物(粒径小于等于10pm)，细颗粒物(粒径小于等于2.5um)共6项环境空气污染物基本项目。</w:t>
      </w:r>
    </w:p>
    <w:p w14:paraId="6FB69B9C">
      <w:pPr>
        <w:widowControl/>
        <w:ind w:firstLine="420" w:firstLineChars="200"/>
        <w:jc w:val="left"/>
        <w:rPr>
          <w:rFonts w:hint="eastAsia" w:ascii="宋体" w:hAnsi="宋体" w:cs="宋体"/>
          <w:color w:val="000000"/>
          <w:kern w:val="0"/>
          <w:szCs w:val="21"/>
        </w:rPr>
      </w:pPr>
      <w:r>
        <w:rPr>
          <w:rFonts w:hint="eastAsia" w:ascii="宋体" w:hAnsi="宋体" w:cs="宋体"/>
          <w:color w:val="000000"/>
          <w:kern w:val="0"/>
          <w:szCs w:val="21"/>
        </w:rPr>
        <w:t>获取方法：主要以站点观测、站点取样和室内分析的方式获取，具体参照GB 3095中的方法执行。</w:t>
      </w:r>
    </w:p>
    <w:p w14:paraId="4B7CADDA">
      <w:pPr>
        <w:pStyle w:val="79"/>
        <w:numPr>
          <w:ilvl w:val="2"/>
          <w:numId w:val="5"/>
        </w:numPr>
        <w:spacing w:before="312" w:after="312"/>
        <w:outlineLvl w:val="9"/>
        <w:rPr>
          <w:rFonts w:hint="eastAsia" w:hAnsi="黑体"/>
          <w:color w:val="000000"/>
          <w:kern w:val="0"/>
        </w:rPr>
      </w:pPr>
      <w:bookmarkStart w:id="118" w:name="_Toc26739"/>
      <w:bookmarkStart w:id="119" w:name="_Toc22373"/>
      <w:r>
        <w:rPr>
          <w:rFonts w:hint="eastAsia" w:hAnsi="黑体"/>
          <w:color w:val="000000"/>
          <w:kern w:val="0"/>
        </w:rPr>
        <w:t>土壤环境质量指标（8项）</w:t>
      </w:r>
      <w:bookmarkEnd w:id="118"/>
      <w:bookmarkEnd w:id="119"/>
    </w:p>
    <w:p w14:paraId="0926598B">
      <w:pPr>
        <w:widowControl/>
        <w:ind w:firstLine="420" w:firstLineChars="200"/>
        <w:jc w:val="left"/>
        <w:rPr>
          <w:rFonts w:hint="eastAsia" w:ascii="宋体" w:hAnsi="宋体" w:cs="宋体"/>
          <w:color w:val="000000"/>
          <w:kern w:val="0"/>
          <w:szCs w:val="21"/>
        </w:rPr>
      </w:pPr>
      <w:r>
        <w:rPr>
          <w:rFonts w:hint="eastAsia" w:ascii="宋体" w:hAnsi="宋体" w:cs="宋体"/>
          <w:color w:val="000000"/>
          <w:kern w:val="0"/>
          <w:szCs w:val="21"/>
        </w:rPr>
        <w:t>指标解释：指依据GB 15618中规定的以镉、汞、砷、铅、铬、铜、镍、锌为主共8项土壤环境质量项目。</w:t>
      </w:r>
    </w:p>
    <w:p w14:paraId="1F45D8B4">
      <w:pPr>
        <w:widowControl/>
        <w:ind w:firstLine="420" w:firstLineChars="200"/>
        <w:jc w:val="left"/>
        <w:rPr>
          <w:rFonts w:hint="eastAsia" w:ascii="宋体" w:hAnsi="宋体" w:cs="宋体"/>
          <w:color w:val="000000"/>
          <w:kern w:val="0"/>
          <w:szCs w:val="21"/>
        </w:rPr>
      </w:pPr>
      <w:r>
        <w:rPr>
          <w:rFonts w:hint="eastAsia" w:ascii="宋体" w:hAnsi="宋体" w:cs="宋体"/>
          <w:color w:val="000000"/>
          <w:kern w:val="0"/>
          <w:szCs w:val="21"/>
        </w:rPr>
        <w:t>获取方法：主要以站点观测、站点取样和室内分析的方式获取，具体参照GB 15618中的方法执行。</w:t>
      </w:r>
    </w:p>
    <w:p w14:paraId="55973580">
      <w:pPr>
        <w:pStyle w:val="79"/>
        <w:numPr>
          <w:ilvl w:val="2"/>
          <w:numId w:val="5"/>
        </w:numPr>
        <w:spacing w:before="312" w:after="312"/>
        <w:outlineLvl w:val="9"/>
        <w:rPr>
          <w:rFonts w:hint="eastAsia" w:hAnsi="黑体"/>
          <w:color w:val="000000"/>
          <w:kern w:val="0"/>
        </w:rPr>
      </w:pPr>
      <w:bookmarkStart w:id="120" w:name="_Toc29451"/>
      <w:bookmarkStart w:id="121" w:name="_Toc21021"/>
      <w:r>
        <w:rPr>
          <w:rFonts w:hint="eastAsia" w:hAnsi="黑体"/>
          <w:color w:val="000000"/>
          <w:kern w:val="0"/>
        </w:rPr>
        <w:t>&gt;25度坡耕地面积</w:t>
      </w:r>
      <w:bookmarkEnd w:id="120"/>
      <w:bookmarkEnd w:id="121"/>
    </w:p>
    <w:p w14:paraId="24EC4D9D">
      <w:pPr>
        <w:widowControl/>
        <w:ind w:firstLine="420" w:firstLineChars="200"/>
        <w:jc w:val="left"/>
        <w:rPr>
          <w:rFonts w:hint="eastAsia" w:ascii="宋体" w:hAnsi="宋体" w:cs="宋体"/>
          <w:color w:val="000000"/>
          <w:kern w:val="0"/>
          <w:szCs w:val="21"/>
        </w:rPr>
      </w:pPr>
      <w:r>
        <w:rPr>
          <w:rFonts w:hint="eastAsia" w:ascii="宋体" w:hAnsi="宋体" w:cs="宋体"/>
          <w:color w:val="000000"/>
          <w:kern w:val="0"/>
          <w:szCs w:val="21"/>
        </w:rPr>
        <w:t>指标解释：主要了解各子项目&gt;25度坡耕地面积比例。</w:t>
      </w:r>
    </w:p>
    <w:p w14:paraId="186A38E9">
      <w:pPr>
        <w:widowControl/>
        <w:ind w:firstLine="420" w:firstLineChars="200"/>
        <w:jc w:val="left"/>
        <w:rPr>
          <w:rFonts w:hint="eastAsia" w:ascii="宋体" w:hAnsi="宋体" w:cs="宋体"/>
          <w:color w:val="000000"/>
          <w:kern w:val="0"/>
          <w:szCs w:val="21"/>
        </w:rPr>
      </w:pPr>
      <w:r>
        <w:rPr>
          <w:rFonts w:hint="eastAsia" w:ascii="宋体" w:hAnsi="宋体" w:cs="宋体"/>
          <w:color w:val="000000"/>
          <w:kern w:val="0"/>
          <w:szCs w:val="21"/>
        </w:rPr>
        <w:t>数据来源：全国国土调查年度国土变更调查数据。</w:t>
      </w:r>
    </w:p>
    <w:p w14:paraId="3E15F0F3">
      <w:pPr>
        <w:pStyle w:val="79"/>
        <w:numPr>
          <w:ilvl w:val="2"/>
          <w:numId w:val="5"/>
        </w:numPr>
        <w:spacing w:before="312" w:after="312"/>
        <w:outlineLvl w:val="9"/>
        <w:rPr>
          <w:rFonts w:hint="eastAsia" w:hAnsi="黑体"/>
          <w:color w:val="000000"/>
          <w:kern w:val="0"/>
        </w:rPr>
      </w:pPr>
      <w:bookmarkStart w:id="122" w:name="_Toc17883"/>
      <w:bookmarkStart w:id="123" w:name="_Toc32364"/>
      <w:r>
        <w:rPr>
          <w:rFonts w:hint="eastAsia" w:hAnsi="黑体"/>
          <w:color w:val="000000"/>
          <w:kern w:val="0"/>
        </w:rPr>
        <w:t>地质安全隐患数量</w:t>
      </w:r>
      <w:bookmarkEnd w:id="122"/>
      <w:bookmarkEnd w:id="123"/>
    </w:p>
    <w:p w14:paraId="6AC97DDB">
      <w:pPr>
        <w:widowControl/>
        <w:ind w:firstLine="420" w:firstLineChars="200"/>
        <w:jc w:val="left"/>
        <w:rPr>
          <w:rFonts w:hint="eastAsia" w:ascii="宋体" w:hAnsi="宋体" w:cs="宋体"/>
          <w:color w:val="000000"/>
          <w:kern w:val="0"/>
          <w:szCs w:val="21"/>
        </w:rPr>
      </w:pPr>
      <w:r>
        <w:rPr>
          <w:rFonts w:hint="eastAsia" w:ascii="宋体" w:hAnsi="宋体" w:cs="宋体"/>
          <w:color w:val="000000"/>
          <w:kern w:val="0"/>
          <w:szCs w:val="21"/>
        </w:rPr>
        <w:t>指标解释：主要是为了解各子项目地质安全隐患消除率。</w:t>
      </w:r>
    </w:p>
    <w:p w14:paraId="4EEE23C2">
      <w:pPr>
        <w:widowControl/>
        <w:ind w:firstLine="420" w:firstLineChars="200"/>
        <w:jc w:val="left"/>
        <w:rPr>
          <w:rFonts w:hint="eastAsia" w:ascii="宋体" w:hAnsi="宋体" w:cs="宋体"/>
          <w:color w:val="000000"/>
          <w:kern w:val="0"/>
          <w:szCs w:val="21"/>
        </w:rPr>
      </w:pPr>
      <w:r>
        <w:rPr>
          <w:rFonts w:hint="eastAsia" w:ascii="宋体" w:hAnsi="宋体" w:cs="宋体"/>
          <w:color w:val="000000"/>
          <w:kern w:val="0"/>
          <w:szCs w:val="21"/>
        </w:rPr>
        <w:t>数据来源：工程实施方案、项目验收报告、现场调查等。具体可参考DZ/T 0287。</w:t>
      </w:r>
    </w:p>
    <w:p w14:paraId="20DEA438">
      <w:pPr>
        <w:pStyle w:val="79"/>
        <w:numPr>
          <w:ilvl w:val="2"/>
          <w:numId w:val="5"/>
        </w:numPr>
        <w:spacing w:before="312" w:after="312"/>
        <w:outlineLvl w:val="9"/>
        <w:rPr>
          <w:rFonts w:hint="eastAsia" w:hAnsi="黑体"/>
          <w:color w:val="000000"/>
          <w:kern w:val="0"/>
        </w:rPr>
      </w:pPr>
      <w:bookmarkStart w:id="124" w:name="_Toc5064"/>
      <w:bookmarkStart w:id="125" w:name="_Toc19279"/>
      <w:r>
        <w:rPr>
          <w:rFonts w:hint="eastAsia" w:hAnsi="黑体"/>
          <w:color w:val="000000"/>
          <w:kern w:val="0"/>
        </w:rPr>
        <w:t>生态系统类型数量</w:t>
      </w:r>
      <w:bookmarkEnd w:id="124"/>
      <w:bookmarkEnd w:id="125"/>
    </w:p>
    <w:p w14:paraId="184EAA8C">
      <w:pPr>
        <w:widowControl/>
        <w:ind w:firstLine="420" w:firstLineChars="200"/>
        <w:jc w:val="left"/>
        <w:rPr>
          <w:rFonts w:hint="eastAsia" w:ascii="宋体" w:hAnsi="宋体" w:cs="宋体"/>
          <w:color w:val="000000"/>
          <w:kern w:val="0"/>
          <w:szCs w:val="21"/>
        </w:rPr>
      </w:pPr>
      <w:r>
        <w:rPr>
          <w:rFonts w:hint="eastAsia" w:ascii="宋体" w:hAnsi="宋体" w:cs="宋体"/>
          <w:color w:val="000000"/>
          <w:kern w:val="0"/>
          <w:szCs w:val="21"/>
        </w:rPr>
        <w:t>指标解释：在自然界一定的空间内，生物与环境构成的一类生态系统，本标准中主要包括森林、灌丛、草地、湿地、农田、城镇、荒漠和其他生态系统类型。</w:t>
      </w:r>
    </w:p>
    <w:p w14:paraId="1CF18B29">
      <w:pPr>
        <w:widowControl/>
        <w:ind w:firstLine="420" w:firstLineChars="200"/>
        <w:jc w:val="left"/>
        <w:rPr>
          <w:rFonts w:hint="eastAsia" w:ascii="宋体" w:hAnsi="宋体" w:cs="宋体"/>
          <w:color w:val="000000"/>
          <w:kern w:val="0"/>
          <w:szCs w:val="21"/>
        </w:rPr>
      </w:pPr>
      <w:r>
        <w:rPr>
          <w:rFonts w:hint="eastAsia" w:ascii="宋体" w:hAnsi="宋体" w:cs="宋体"/>
          <w:color w:val="000000"/>
          <w:kern w:val="0"/>
          <w:szCs w:val="21"/>
        </w:rPr>
        <w:t>获取方法：采用遥感调查方法获取，具体可按照HJ1166相关要求执行。</w:t>
      </w:r>
    </w:p>
    <w:p w14:paraId="7974769D">
      <w:pPr>
        <w:pStyle w:val="79"/>
        <w:numPr>
          <w:ilvl w:val="2"/>
          <w:numId w:val="5"/>
        </w:numPr>
        <w:spacing w:before="312" w:after="312"/>
        <w:outlineLvl w:val="9"/>
        <w:rPr>
          <w:rFonts w:hint="eastAsia" w:hAnsi="黑体"/>
          <w:color w:val="000000"/>
          <w:kern w:val="0"/>
        </w:rPr>
      </w:pPr>
      <w:bookmarkStart w:id="126" w:name="_Toc30158"/>
      <w:bookmarkStart w:id="127" w:name="_Toc59"/>
      <w:r>
        <w:rPr>
          <w:rFonts w:hint="eastAsia" w:hAnsi="黑体"/>
          <w:color w:val="000000"/>
          <w:kern w:val="0"/>
        </w:rPr>
        <w:t>不同类型生态系统面积</w:t>
      </w:r>
      <w:bookmarkEnd w:id="126"/>
      <w:bookmarkEnd w:id="127"/>
    </w:p>
    <w:p w14:paraId="03F75342">
      <w:pPr>
        <w:widowControl/>
        <w:ind w:firstLine="420" w:firstLineChars="200"/>
        <w:jc w:val="left"/>
        <w:rPr>
          <w:rFonts w:hint="eastAsia" w:ascii="宋体" w:hAnsi="宋体" w:cs="宋体"/>
          <w:color w:val="000000"/>
          <w:kern w:val="0"/>
          <w:szCs w:val="21"/>
        </w:rPr>
      </w:pPr>
      <w:r>
        <w:rPr>
          <w:rFonts w:hint="eastAsia" w:ascii="宋体" w:hAnsi="宋体" w:cs="宋体"/>
          <w:color w:val="000000"/>
          <w:kern w:val="0"/>
          <w:szCs w:val="21"/>
        </w:rPr>
        <w:t>指标解释：生态系统面积生态系统所占据的空间面积大小，通常指平面空间，单位为平方公里。</w:t>
      </w:r>
    </w:p>
    <w:p w14:paraId="4241C5F2">
      <w:pPr>
        <w:widowControl/>
        <w:ind w:firstLine="420" w:firstLineChars="200"/>
        <w:jc w:val="left"/>
        <w:rPr>
          <w:rFonts w:hint="eastAsia" w:ascii="宋体" w:hAnsi="宋体" w:cs="宋体"/>
          <w:color w:val="000000"/>
          <w:kern w:val="0"/>
          <w:szCs w:val="21"/>
        </w:rPr>
      </w:pPr>
      <w:r>
        <w:rPr>
          <w:rFonts w:hint="eastAsia" w:ascii="宋体" w:hAnsi="宋体" w:cs="宋体"/>
          <w:color w:val="000000"/>
          <w:kern w:val="0"/>
          <w:szCs w:val="21"/>
        </w:rPr>
        <w:t>获取方法：采用遥感调查方法获取生态系统类型数据信息，然后利用空间统计方法得到。在此基础上计算可得到区域范围内某类生态系统面积的变化情况。具体可按照GB/T43681附录C规定执行。</w:t>
      </w:r>
    </w:p>
    <w:p w14:paraId="7053ACE1">
      <w:pPr>
        <w:pStyle w:val="79"/>
        <w:numPr>
          <w:ilvl w:val="2"/>
          <w:numId w:val="5"/>
        </w:numPr>
        <w:spacing w:before="312" w:after="312"/>
        <w:outlineLvl w:val="9"/>
        <w:rPr>
          <w:rFonts w:hint="eastAsia" w:hAnsi="黑体"/>
          <w:color w:val="000000"/>
          <w:kern w:val="0"/>
        </w:rPr>
      </w:pPr>
      <w:bookmarkStart w:id="128" w:name="_Toc5330"/>
      <w:bookmarkStart w:id="129" w:name="_Toc22174"/>
      <w:r>
        <w:rPr>
          <w:rFonts w:hint="eastAsia" w:hAnsi="黑体"/>
          <w:color w:val="000000"/>
          <w:kern w:val="0"/>
        </w:rPr>
        <w:t>斑块数</w:t>
      </w:r>
      <w:bookmarkEnd w:id="128"/>
      <w:bookmarkEnd w:id="129"/>
    </w:p>
    <w:p w14:paraId="551C1704">
      <w:pPr>
        <w:widowControl/>
        <w:ind w:firstLine="420" w:firstLineChars="200"/>
        <w:jc w:val="left"/>
        <w:rPr>
          <w:rFonts w:hint="eastAsia" w:ascii="宋体" w:hAnsi="宋体" w:cs="宋体"/>
          <w:color w:val="000000"/>
          <w:kern w:val="0"/>
          <w:szCs w:val="21"/>
        </w:rPr>
      </w:pPr>
      <w:r>
        <w:rPr>
          <w:rFonts w:hint="eastAsia" w:ascii="宋体" w:hAnsi="宋体" w:cs="宋体"/>
          <w:color w:val="000000"/>
          <w:kern w:val="0"/>
          <w:szCs w:val="21"/>
        </w:rPr>
        <w:t>指标解释：区域内各类生态系统斑块的数量。斑块数越大，该生态系统类型分布的规模越大或越破碎，宜结合平均斑块面积指数综合分析。</w:t>
      </w:r>
    </w:p>
    <w:p w14:paraId="31ABE838">
      <w:pPr>
        <w:widowControl/>
        <w:ind w:firstLine="420" w:firstLineChars="200"/>
        <w:jc w:val="left"/>
        <w:rPr>
          <w:rFonts w:hint="eastAsia" w:ascii="宋体" w:hAnsi="宋体" w:cs="宋体"/>
          <w:color w:val="000000"/>
          <w:kern w:val="0"/>
          <w:szCs w:val="21"/>
        </w:rPr>
      </w:pPr>
      <w:r>
        <w:rPr>
          <w:rFonts w:hint="eastAsia" w:ascii="宋体" w:hAnsi="宋体" w:cs="宋体"/>
          <w:color w:val="000000"/>
          <w:kern w:val="0"/>
          <w:szCs w:val="21"/>
        </w:rPr>
        <w:t>获取方法：采用遥感调查方法获取，具体可按照GB/T43681附录C 规定执行。</w:t>
      </w:r>
    </w:p>
    <w:p w14:paraId="2AF8782C">
      <w:pPr>
        <w:pStyle w:val="79"/>
        <w:numPr>
          <w:ilvl w:val="2"/>
          <w:numId w:val="5"/>
        </w:numPr>
        <w:spacing w:before="312" w:after="312"/>
        <w:outlineLvl w:val="9"/>
        <w:rPr>
          <w:rFonts w:hint="eastAsia" w:hAnsi="黑体"/>
          <w:color w:val="000000"/>
          <w:kern w:val="0"/>
        </w:rPr>
      </w:pPr>
      <w:bookmarkStart w:id="130" w:name="_Toc6131"/>
      <w:bookmarkStart w:id="131" w:name="_Toc29549"/>
      <w:r>
        <w:rPr>
          <w:rFonts w:hint="eastAsia" w:hAnsi="黑体"/>
          <w:color w:val="000000"/>
          <w:kern w:val="0"/>
        </w:rPr>
        <w:t>平均斑块面积</w:t>
      </w:r>
      <w:bookmarkEnd w:id="130"/>
      <w:bookmarkEnd w:id="131"/>
    </w:p>
    <w:p w14:paraId="192702EF">
      <w:pPr>
        <w:widowControl/>
        <w:ind w:firstLine="420" w:firstLineChars="200"/>
        <w:jc w:val="left"/>
        <w:rPr>
          <w:rFonts w:hint="eastAsia" w:ascii="宋体" w:hAnsi="宋体" w:cs="宋体"/>
          <w:color w:val="000000"/>
          <w:kern w:val="0"/>
          <w:szCs w:val="21"/>
        </w:rPr>
      </w:pPr>
      <w:r>
        <w:rPr>
          <w:rFonts w:hint="eastAsia" w:ascii="宋体" w:hAnsi="宋体" w:cs="宋体"/>
          <w:color w:val="000000"/>
          <w:kern w:val="0"/>
          <w:szCs w:val="21"/>
        </w:rPr>
        <w:t>指标解释：区域范围内，某类生态系统斑块面积的算术平均值。</w:t>
      </w:r>
    </w:p>
    <w:p w14:paraId="08A8413A">
      <w:pPr>
        <w:widowControl/>
        <w:ind w:firstLine="420" w:firstLineChars="200"/>
        <w:jc w:val="left"/>
        <w:rPr>
          <w:rFonts w:hint="eastAsia" w:ascii="宋体" w:hAnsi="宋体" w:cs="宋体"/>
          <w:color w:val="000000"/>
          <w:kern w:val="0"/>
          <w:szCs w:val="21"/>
        </w:rPr>
      </w:pPr>
      <w:r>
        <w:rPr>
          <w:rFonts w:hint="eastAsia" w:ascii="宋体" w:hAnsi="宋体" w:cs="宋体"/>
          <w:color w:val="000000"/>
          <w:kern w:val="0"/>
          <w:szCs w:val="21"/>
        </w:rPr>
        <w:t>获取方法：采用遥感调查方法获取，具体可按照GB/T43681附录C 规定执行。</w:t>
      </w:r>
    </w:p>
    <w:p w14:paraId="39DAFC9A">
      <w:pPr>
        <w:pStyle w:val="79"/>
        <w:numPr>
          <w:ilvl w:val="2"/>
          <w:numId w:val="5"/>
        </w:numPr>
        <w:spacing w:before="312" w:after="312"/>
        <w:outlineLvl w:val="9"/>
        <w:rPr>
          <w:rFonts w:hint="eastAsia" w:hAnsi="黑体"/>
          <w:color w:val="000000"/>
          <w:kern w:val="0"/>
        </w:rPr>
      </w:pPr>
      <w:bookmarkStart w:id="132" w:name="_Toc32596"/>
      <w:bookmarkStart w:id="133" w:name="_Toc7982"/>
      <w:r>
        <w:rPr>
          <w:rFonts w:hint="eastAsia" w:hAnsi="黑体"/>
          <w:color w:val="000000"/>
          <w:kern w:val="0"/>
        </w:rPr>
        <w:t>边界密度</w:t>
      </w:r>
      <w:bookmarkEnd w:id="132"/>
      <w:bookmarkEnd w:id="133"/>
    </w:p>
    <w:p w14:paraId="21197212">
      <w:pPr>
        <w:widowControl/>
        <w:ind w:firstLine="420" w:firstLineChars="200"/>
        <w:jc w:val="left"/>
        <w:rPr>
          <w:rFonts w:hint="eastAsia" w:ascii="宋体" w:hAnsi="宋体" w:cs="宋体"/>
          <w:color w:val="000000"/>
          <w:kern w:val="0"/>
          <w:szCs w:val="21"/>
        </w:rPr>
      </w:pPr>
      <w:r>
        <w:rPr>
          <w:rFonts w:hint="eastAsia" w:ascii="宋体" w:hAnsi="宋体" w:cs="宋体"/>
          <w:color w:val="000000"/>
          <w:kern w:val="0"/>
          <w:szCs w:val="21"/>
        </w:rPr>
        <w:t>指标解释：边界密度反映了景观类型划分为边界的程度,主要用于分析景观的边缘效应。</w:t>
      </w:r>
    </w:p>
    <w:p w14:paraId="6839D303">
      <w:pPr>
        <w:widowControl/>
        <w:ind w:firstLine="420" w:firstLineChars="200"/>
        <w:jc w:val="left"/>
        <w:rPr>
          <w:rFonts w:hint="eastAsia" w:ascii="宋体" w:hAnsi="宋体" w:cs="宋体"/>
          <w:color w:val="000000"/>
          <w:kern w:val="0"/>
          <w:szCs w:val="21"/>
        </w:rPr>
      </w:pPr>
      <w:r>
        <w:rPr>
          <w:rFonts w:hint="eastAsia" w:ascii="宋体" w:hAnsi="宋体" w:cs="宋体"/>
          <w:color w:val="000000"/>
          <w:kern w:val="0"/>
          <w:szCs w:val="21"/>
        </w:rPr>
        <w:t>获取方法：采用遥感调查方法获取，具体可按照GB/T43681附录C 规定执行。</w:t>
      </w:r>
    </w:p>
    <w:p w14:paraId="0D60F5F5">
      <w:pPr>
        <w:pStyle w:val="79"/>
        <w:numPr>
          <w:ilvl w:val="2"/>
          <w:numId w:val="5"/>
        </w:numPr>
        <w:spacing w:before="312" w:after="312"/>
        <w:outlineLvl w:val="9"/>
        <w:rPr>
          <w:rFonts w:hint="eastAsia" w:hAnsi="黑体"/>
          <w:color w:val="000000"/>
          <w:kern w:val="0"/>
        </w:rPr>
      </w:pPr>
      <w:bookmarkStart w:id="134" w:name="_Toc12069"/>
      <w:bookmarkStart w:id="135" w:name="_Toc774"/>
      <w:r>
        <w:rPr>
          <w:rFonts w:hint="eastAsia" w:hAnsi="黑体"/>
          <w:color w:val="000000"/>
          <w:kern w:val="0"/>
        </w:rPr>
        <w:t>聚集度指数</w:t>
      </w:r>
      <w:bookmarkEnd w:id="134"/>
      <w:bookmarkEnd w:id="135"/>
    </w:p>
    <w:p w14:paraId="5BC85FA4">
      <w:pPr>
        <w:widowControl/>
        <w:ind w:firstLine="420" w:firstLineChars="200"/>
        <w:jc w:val="left"/>
        <w:rPr>
          <w:rFonts w:hint="eastAsia" w:ascii="宋体" w:hAnsi="宋体" w:cs="宋体"/>
          <w:color w:val="000000"/>
          <w:kern w:val="0"/>
          <w:szCs w:val="21"/>
        </w:rPr>
      </w:pPr>
      <w:r>
        <w:rPr>
          <w:rFonts w:hint="eastAsia" w:ascii="宋体" w:hAnsi="宋体" w:cs="宋体"/>
          <w:color w:val="000000"/>
          <w:kern w:val="0"/>
          <w:szCs w:val="21"/>
        </w:rPr>
        <w:t>指标解释：区域内所有类型生态系统斑块的相邻概率，反映各类生态系统斑块的非随机性或聚集程度。</w:t>
      </w:r>
    </w:p>
    <w:p w14:paraId="3109F3CA">
      <w:pPr>
        <w:widowControl/>
        <w:ind w:firstLine="420" w:firstLineChars="200"/>
        <w:jc w:val="left"/>
        <w:rPr>
          <w:rFonts w:hint="eastAsia" w:ascii="宋体" w:hAnsi="宋体" w:cs="宋体"/>
          <w:color w:val="000000"/>
          <w:kern w:val="0"/>
          <w:szCs w:val="21"/>
        </w:rPr>
      </w:pPr>
      <w:r>
        <w:rPr>
          <w:rFonts w:hint="eastAsia" w:ascii="宋体" w:hAnsi="宋体" w:cs="宋体"/>
          <w:color w:val="000000"/>
          <w:kern w:val="0"/>
          <w:szCs w:val="21"/>
        </w:rPr>
        <w:t>获取方法：采用遥感调查方法获取，具体可按照GB/T43681附录C 规定执行。</w:t>
      </w:r>
    </w:p>
    <w:p w14:paraId="65DA64B9">
      <w:pPr>
        <w:pStyle w:val="79"/>
        <w:numPr>
          <w:ilvl w:val="2"/>
          <w:numId w:val="5"/>
        </w:numPr>
        <w:spacing w:before="312" w:after="312"/>
        <w:outlineLvl w:val="9"/>
        <w:rPr>
          <w:rFonts w:hint="eastAsia" w:hAnsi="黑体"/>
          <w:color w:val="000000"/>
          <w:kern w:val="0"/>
        </w:rPr>
      </w:pPr>
      <w:bookmarkStart w:id="136" w:name="_Toc22175"/>
      <w:bookmarkStart w:id="137" w:name="_Toc18366"/>
      <w:r>
        <w:rPr>
          <w:rFonts w:hint="eastAsia" w:hAnsi="黑体"/>
          <w:color w:val="000000"/>
          <w:kern w:val="0"/>
        </w:rPr>
        <w:t>生态连通度指数</w:t>
      </w:r>
      <w:bookmarkEnd w:id="136"/>
      <w:bookmarkEnd w:id="137"/>
    </w:p>
    <w:p w14:paraId="0656ECF8">
      <w:pPr>
        <w:widowControl/>
        <w:ind w:firstLine="420" w:firstLineChars="200"/>
        <w:jc w:val="left"/>
        <w:rPr>
          <w:rFonts w:hint="eastAsia" w:ascii="宋体" w:hAnsi="宋体" w:cs="宋体"/>
          <w:color w:val="000000"/>
          <w:kern w:val="0"/>
          <w:szCs w:val="21"/>
        </w:rPr>
      </w:pPr>
      <w:r>
        <w:rPr>
          <w:rFonts w:hint="eastAsia" w:ascii="宋体" w:hAnsi="宋体" w:cs="宋体"/>
          <w:color w:val="000000"/>
          <w:kern w:val="0"/>
          <w:szCs w:val="21"/>
        </w:rPr>
        <w:t>指标解释：区域内所有类型生态系统斑块的相邻概率，反映区域内生态系统整体连通程度。</w:t>
      </w:r>
    </w:p>
    <w:p w14:paraId="4FCD9ED0">
      <w:pPr>
        <w:widowControl/>
        <w:ind w:firstLine="420" w:firstLineChars="200"/>
        <w:jc w:val="left"/>
        <w:rPr>
          <w:rFonts w:hint="eastAsia" w:ascii="宋体" w:hAnsi="宋体" w:cs="宋体"/>
          <w:color w:val="000000"/>
          <w:kern w:val="0"/>
          <w:szCs w:val="21"/>
        </w:rPr>
      </w:pPr>
      <w:r>
        <w:rPr>
          <w:rFonts w:hint="eastAsia" w:ascii="宋体" w:hAnsi="宋体" w:cs="宋体"/>
          <w:color w:val="000000"/>
          <w:kern w:val="0"/>
          <w:szCs w:val="21"/>
        </w:rPr>
        <w:t>获取方法：采用遥感调查方法获取。陆域生态连通度指数计算方法可参考《区域生态质量评价办法（试行）》中重要生态空间连通度指数计算方法，生态空间包括森林、灌丛、草地、湿地、农田等空间范围。海域生态连通度指数为评估范围内海洋水文空间的整体连通度，可通过纳潮量变换率、水体半交换周期变化率、潮流强度获取。具体可按照HJ 1272附录A规定执行。</w:t>
      </w:r>
    </w:p>
    <w:p w14:paraId="1E527EA9">
      <w:pPr>
        <w:pStyle w:val="79"/>
        <w:numPr>
          <w:ilvl w:val="2"/>
          <w:numId w:val="5"/>
        </w:numPr>
        <w:spacing w:before="312" w:after="312"/>
        <w:outlineLvl w:val="9"/>
        <w:rPr>
          <w:rFonts w:hint="eastAsia" w:hAnsi="黑体"/>
          <w:color w:val="000000"/>
          <w:kern w:val="0"/>
        </w:rPr>
      </w:pPr>
      <w:bookmarkStart w:id="138" w:name="_Toc23348"/>
      <w:bookmarkStart w:id="139" w:name="_Toc24036"/>
      <w:r>
        <w:rPr>
          <w:rFonts w:hint="eastAsia" w:hAnsi="黑体"/>
          <w:color w:val="000000"/>
          <w:kern w:val="0"/>
        </w:rPr>
        <w:t>植被覆盖度指数</w:t>
      </w:r>
      <w:bookmarkEnd w:id="138"/>
      <w:bookmarkEnd w:id="139"/>
    </w:p>
    <w:p w14:paraId="5DD1DEDA">
      <w:pPr>
        <w:widowControl/>
        <w:ind w:firstLine="420" w:firstLineChars="200"/>
        <w:jc w:val="left"/>
        <w:rPr>
          <w:rFonts w:hint="eastAsia" w:ascii="宋体" w:hAnsi="宋体" w:cs="宋体"/>
          <w:color w:val="000000"/>
          <w:kern w:val="0"/>
          <w:szCs w:val="21"/>
        </w:rPr>
      </w:pPr>
      <w:r>
        <w:rPr>
          <w:rFonts w:hint="eastAsia" w:ascii="宋体" w:hAnsi="宋体" w:cs="宋体"/>
          <w:color w:val="000000"/>
          <w:kern w:val="0"/>
          <w:szCs w:val="21"/>
        </w:rPr>
        <w:t>指标解释：植被(包括叶、茎、枝)在地面的垂直投影面积占统计区总面积的百分比。</w:t>
      </w:r>
    </w:p>
    <w:p w14:paraId="575F39A5">
      <w:pPr>
        <w:widowControl/>
        <w:ind w:firstLine="420" w:firstLineChars="200"/>
        <w:jc w:val="left"/>
        <w:rPr>
          <w:rFonts w:hint="eastAsia" w:ascii="宋体" w:hAnsi="宋体" w:cs="宋体"/>
          <w:color w:val="000000"/>
          <w:kern w:val="0"/>
          <w:szCs w:val="21"/>
        </w:rPr>
      </w:pPr>
      <w:r>
        <w:rPr>
          <w:rFonts w:hint="eastAsia" w:ascii="宋体" w:hAnsi="宋体" w:cs="宋体"/>
          <w:color w:val="000000"/>
          <w:kern w:val="0"/>
          <w:szCs w:val="21"/>
        </w:rPr>
        <w:t>获取方法：采用遥感调查或现场调查方法获取。获取方法：遥感调查方法具体可按照GB/T43681附录C 规定执行，现场调查具体可参照HJ 1172相关要求执行。</w:t>
      </w:r>
    </w:p>
    <w:p w14:paraId="7B3350B8">
      <w:pPr>
        <w:pStyle w:val="79"/>
        <w:numPr>
          <w:ilvl w:val="2"/>
          <w:numId w:val="5"/>
        </w:numPr>
        <w:spacing w:before="312" w:after="312"/>
        <w:outlineLvl w:val="9"/>
        <w:rPr>
          <w:rFonts w:hint="eastAsia" w:hAnsi="黑体"/>
          <w:color w:val="000000"/>
          <w:kern w:val="0"/>
        </w:rPr>
      </w:pPr>
      <w:bookmarkStart w:id="140" w:name="_Toc15624"/>
      <w:bookmarkStart w:id="141" w:name="_Toc9321"/>
      <w:r>
        <w:rPr>
          <w:rFonts w:hint="eastAsia" w:hAnsi="黑体"/>
          <w:color w:val="000000"/>
          <w:kern w:val="0"/>
        </w:rPr>
        <w:t>植被地上生物量</w:t>
      </w:r>
      <w:bookmarkEnd w:id="140"/>
      <w:bookmarkEnd w:id="141"/>
    </w:p>
    <w:p w14:paraId="7AACA49E">
      <w:pPr>
        <w:widowControl/>
        <w:ind w:firstLine="420" w:firstLineChars="200"/>
        <w:jc w:val="left"/>
        <w:rPr>
          <w:rFonts w:hint="eastAsia" w:ascii="宋体" w:hAnsi="宋体" w:cs="宋体"/>
          <w:color w:val="000000"/>
          <w:kern w:val="0"/>
          <w:szCs w:val="21"/>
        </w:rPr>
      </w:pPr>
      <w:r>
        <w:rPr>
          <w:rFonts w:hint="eastAsia" w:ascii="宋体" w:hAnsi="宋体" w:cs="宋体"/>
          <w:color w:val="000000"/>
          <w:kern w:val="0"/>
          <w:szCs w:val="21"/>
        </w:rPr>
        <w:t>指标解释：某一时刻,单位面积植被地上现存部分累积的物质总量。</w:t>
      </w:r>
    </w:p>
    <w:p w14:paraId="4C343251">
      <w:pPr>
        <w:widowControl/>
        <w:ind w:firstLine="420" w:firstLineChars="200"/>
        <w:jc w:val="left"/>
        <w:rPr>
          <w:rFonts w:hint="eastAsia" w:ascii="宋体" w:hAnsi="宋体" w:cs="宋体"/>
          <w:color w:val="000000"/>
          <w:kern w:val="0"/>
          <w:szCs w:val="21"/>
        </w:rPr>
      </w:pPr>
      <w:r>
        <w:rPr>
          <w:rFonts w:hint="eastAsia" w:ascii="宋体" w:hAnsi="宋体" w:cs="宋体"/>
          <w:color w:val="000000"/>
          <w:kern w:val="0"/>
          <w:szCs w:val="21"/>
        </w:rPr>
        <w:t>获取方法：采用现场调查或遥感调查方法获取,遥感调查方法具体可按照GB/T34815附录C 规定执行，现场调查方法具体可按照GB/T33027相关要求执行。</w:t>
      </w:r>
    </w:p>
    <w:p w14:paraId="097B1D14">
      <w:pPr>
        <w:pStyle w:val="79"/>
        <w:numPr>
          <w:ilvl w:val="2"/>
          <w:numId w:val="5"/>
        </w:numPr>
        <w:spacing w:before="312" w:after="312"/>
        <w:outlineLvl w:val="9"/>
        <w:rPr>
          <w:rFonts w:hint="eastAsia" w:hAnsi="黑体"/>
          <w:color w:val="000000"/>
          <w:kern w:val="0"/>
        </w:rPr>
      </w:pPr>
      <w:bookmarkStart w:id="142" w:name="_Toc6714"/>
      <w:bookmarkStart w:id="143" w:name="_Toc16329"/>
      <w:r>
        <w:rPr>
          <w:rFonts w:hint="eastAsia" w:hAnsi="黑体"/>
          <w:color w:val="000000"/>
          <w:kern w:val="0"/>
        </w:rPr>
        <w:t>总初级生产力</w:t>
      </w:r>
      <w:bookmarkEnd w:id="142"/>
      <w:bookmarkEnd w:id="143"/>
    </w:p>
    <w:p w14:paraId="53173EF6">
      <w:pPr>
        <w:widowControl/>
        <w:ind w:firstLine="420" w:firstLineChars="200"/>
        <w:jc w:val="left"/>
        <w:rPr>
          <w:rFonts w:hint="eastAsia" w:ascii="宋体" w:hAnsi="宋体" w:cs="宋体"/>
          <w:color w:val="000000"/>
          <w:kern w:val="0"/>
          <w:szCs w:val="21"/>
        </w:rPr>
      </w:pPr>
      <w:r>
        <w:rPr>
          <w:rFonts w:hint="eastAsia" w:ascii="宋体" w:hAnsi="宋体" w:cs="宋体"/>
          <w:color w:val="000000"/>
          <w:kern w:val="0"/>
          <w:szCs w:val="21"/>
        </w:rPr>
        <w:t>指标解释：单位面积、单位时间群落(或生态系统)中,植物利用太阳能固定的能量或生产的有机质的量。该指标决定了进入陆地生态系统的初始能量与物质总量。</w:t>
      </w:r>
    </w:p>
    <w:p w14:paraId="3DD75422">
      <w:pPr>
        <w:widowControl/>
        <w:ind w:firstLine="420" w:firstLineChars="200"/>
        <w:jc w:val="left"/>
        <w:rPr>
          <w:rFonts w:hint="eastAsia" w:ascii="宋体" w:hAnsi="宋体" w:cs="宋体"/>
          <w:color w:val="000000"/>
          <w:kern w:val="0"/>
          <w:szCs w:val="21"/>
        </w:rPr>
      </w:pPr>
      <w:r>
        <w:rPr>
          <w:rFonts w:hint="eastAsia" w:ascii="宋体" w:hAnsi="宋体" w:cs="宋体"/>
          <w:color w:val="000000"/>
          <w:kern w:val="0"/>
          <w:szCs w:val="21"/>
        </w:rPr>
        <w:t>获取方法：采用遥感调查或现场调查方法获取。具体可按照GB 43681相关要求执行。</w:t>
      </w:r>
    </w:p>
    <w:p w14:paraId="08C3845B">
      <w:pPr>
        <w:pStyle w:val="79"/>
        <w:numPr>
          <w:ilvl w:val="2"/>
          <w:numId w:val="5"/>
        </w:numPr>
        <w:spacing w:before="312" w:after="312"/>
        <w:outlineLvl w:val="9"/>
        <w:rPr>
          <w:rFonts w:hint="eastAsia" w:hAnsi="黑体"/>
          <w:color w:val="000000"/>
          <w:kern w:val="0"/>
        </w:rPr>
      </w:pPr>
      <w:bookmarkStart w:id="144" w:name="_Toc6654"/>
      <w:bookmarkStart w:id="145" w:name="_Toc17880"/>
      <w:r>
        <w:rPr>
          <w:rFonts w:hint="eastAsia" w:hAnsi="黑体"/>
          <w:color w:val="000000"/>
          <w:kern w:val="0"/>
        </w:rPr>
        <w:t>叶面积指数</w:t>
      </w:r>
      <w:bookmarkEnd w:id="144"/>
      <w:bookmarkEnd w:id="145"/>
    </w:p>
    <w:p w14:paraId="4FB94F08">
      <w:pPr>
        <w:widowControl/>
        <w:ind w:firstLine="420" w:firstLineChars="200"/>
        <w:jc w:val="left"/>
        <w:rPr>
          <w:rFonts w:hint="eastAsia" w:ascii="宋体" w:hAnsi="宋体" w:cs="宋体"/>
          <w:color w:val="000000"/>
          <w:kern w:val="0"/>
          <w:szCs w:val="21"/>
        </w:rPr>
      </w:pPr>
      <w:r>
        <w:rPr>
          <w:rFonts w:hint="eastAsia" w:ascii="宋体" w:hAnsi="宋体" w:cs="宋体"/>
          <w:color w:val="000000"/>
          <w:kern w:val="0"/>
          <w:szCs w:val="21"/>
        </w:rPr>
        <w:t>指标解释：单位土地面积上植物叶片总面积占土地面积的倍数。</w:t>
      </w:r>
    </w:p>
    <w:p w14:paraId="1319B3AF">
      <w:pPr>
        <w:widowControl/>
        <w:ind w:firstLine="420" w:firstLineChars="200"/>
        <w:jc w:val="left"/>
        <w:rPr>
          <w:rFonts w:hint="eastAsia" w:ascii="宋体" w:hAnsi="宋体" w:cs="宋体"/>
          <w:color w:val="000000"/>
          <w:kern w:val="0"/>
          <w:szCs w:val="21"/>
        </w:rPr>
      </w:pPr>
      <w:r>
        <w:rPr>
          <w:rFonts w:hint="eastAsia" w:ascii="宋体" w:hAnsi="宋体" w:cs="宋体"/>
          <w:color w:val="000000"/>
          <w:kern w:val="0"/>
          <w:szCs w:val="21"/>
        </w:rPr>
        <w:t>获取方法：采用遥感调查或现场调查方法获取。获取方法：遥感调查方法具体可按照</w:t>
      </w:r>
      <w:r>
        <w:rPr>
          <w:rFonts w:hint="eastAsia"/>
          <w:color w:val="000000"/>
          <w:kern w:val="0"/>
        </w:rPr>
        <w:t>GB/T43681</w:t>
      </w:r>
      <w:r>
        <w:rPr>
          <w:rFonts w:hint="eastAsia" w:ascii="宋体" w:hAnsi="宋体" w:cs="宋体"/>
          <w:color w:val="000000"/>
          <w:kern w:val="0"/>
          <w:szCs w:val="21"/>
        </w:rPr>
        <w:t>附录C 规定执行，现场调查具体可参照</w:t>
      </w:r>
      <w:r>
        <w:rPr>
          <w:rFonts w:hint="eastAsia"/>
          <w:color w:val="000000"/>
          <w:kern w:val="0"/>
        </w:rPr>
        <w:t>GB/T30363</w:t>
      </w:r>
      <w:r>
        <w:rPr>
          <w:rFonts w:hint="eastAsia" w:ascii="宋体" w:hAnsi="宋体" w:cs="宋体"/>
          <w:color w:val="000000"/>
          <w:kern w:val="0"/>
          <w:szCs w:val="21"/>
        </w:rPr>
        <w:t>或</w:t>
      </w:r>
      <w:r>
        <w:rPr>
          <w:rFonts w:hint="eastAsia"/>
          <w:color w:val="000000"/>
          <w:kern w:val="0"/>
        </w:rPr>
        <w:t>HJ 1172</w:t>
      </w:r>
      <w:r>
        <w:rPr>
          <w:rFonts w:hint="eastAsia" w:ascii="宋体" w:hAnsi="宋体" w:cs="宋体"/>
          <w:color w:val="000000"/>
          <w:kern w:val="0"/>
          <w:szCs w:val="21"/>
        </w:rPr>
        <w:t>相关要求</w:t>
      </w:r>
      <w:r>
        <w:rPr>
          <w:rFonts w:hint="eastAsia"/>
          <w:color w:val="000000"/>
          <w:kern w:val="0"/>
        </w:rPr>
        <w:t>执行。</w:t>
      </w:r>
    </w:p>
    <w:p w14:paraId="5C0F08E1">
      <w:pPr>
        <w:pStyle w:val="79"/>
        <w:numPr>
          <w:ilvl w:val="2"/>
          <w:numId w:val="5"/>
        </w:numPr>
        <w:spacing w:before="312" w:after="312"/>
        <w:outlineLvl w:val="9"/>
        <w:rPr>
          <w:rFonts w:hint="eastAsia" w:hAnsi="黑体"/>
          <w:color w:val="000000"/>
          <w:kern w:val="0"/>
        </w:rPr>
      </w:pPr>
      <w:bookmarkStart w:id="146" w:name="_Toc4708"/>
      <w:bookmarkStart w:id="147" w:name="_Toc22145"/>
      <w:r>
        <w:rPr>
          <w:rFonts w:hint="eastAsia" w:hAnsi="黑体"/>
          <w:color w:val="000000"/>
          <w:kern w:val="0"/>
        </w:rPr>
        <w:t>沙化土地面积</w:t>
      </w:r>
      <w:bookmarkEnd w:id="146"/>
      <w:bookmarkEnd w:id="147"/>
    </w:p>
    <w:p w14:paraId="47D48471">
      <w:pPr>
        <w:widowControl/>
        <w:ind w:firstLine="420" w:firstLineChars="200"/>
        <w:jc w:val="left"/>
        <w:rPr>
          <w:rFonts w:hint="eastAsia" w:ascii="宋体" w:hAnsi="宋体" w:cs="宋体"/>
          <w:color w:val="000000"/>
          <w:kern w:val="0"/>
          <w:szCs w:val="21"/>
        </w:rPr>
      </w:pPr>
      <w:r>
        <w:rPr>
          <w:rFonts w:hint="eastAsia" w:ascii="宋体" w:hAnsi="宋体" w:cs="宋体"/>
          <w:color w:val="000000"/>
          <w:kern w:val="0"/>
          <w:szCs w:val="21"/>
        </w:rPr>
        <w:t>指标解释：沙化土地是指具有明显退化特征的退化土地。</w:t>
      </w:r>
    </w:p>
    <w:p w14:paraId="3EE9C1B0">
      <w:pPr>
        <w:widowControl/>
        <w:ind w:firstLine="420" w:firstLineChars="200"/>
        <w:jc w:val="left"/>
        <w:rPr>
          <w:rFonts w:hint="eastAsia" w:ascii="宋体" w:hAnsi="宋体" w:cs="宋体"/>
          <w:color w:val="000000"/>
          <w:kern w:val="0"/>
          <w:szCs w:val="21"/>
        </w:rPr>
      </w:pPr>
      <w:r>
        <w:rPr>
          <w:rFonts w:hint="eastAsia" w:ascii="宋体" w:hAnsi="宋体" w:cs="宋体"/>
          <w:color w:val="000000"/>
          <w:kern w:val="0"/>
          <w:szCs w:val="21"/>
        </w:rPr>
        <w:t>获取方法：应采用地面调查与遥感数据解译相结合的方法，具体监测方法可参照GB/T24255相关要求执行。</w:t>
      </w:r>
    </w:p>
    <w:p w14:paraId="28B8403A">
      <w:pPr>
        <w:pStyle w:val="79"/>
        <w:numPr>
          <w:ilvl w:val="2"/>
          <w:numId w:val="5"/>
        </w:numPr>
        <w:spacing w:before="312" w:after="312"/>
        <w:outlineLvl w:val="9"/>
        <w:rPr>
          <w:rFonts w:hint="eastAsia" w:hAnsi="黑体"/>
          <w:color w:val="000000"/>
          <w:kern w:val="0"/>
        </w:rPr>
      </w:pPr>
      <w:bookmarkStart w:id="148" w:name="_Toc31213"/>
      <w:bookmarkStart w:id="149" w:name="_Toc18643"/>
      <w:r>
        <w:rPr>
          <w:rFonts w:hint="eastAsia" w:hAnsi="黑体"/>
          <w:color w:val="000000"/>
          <w:kern w:val="0"/>
        </w:rPr>
        <w:t>盐渍化土地面积</w:t>
      </w:r>
      <w:bookmarkEnd w:id="148"/>
      <w:bookmarkEnd w:id="149"/>
    </w:p>
    <w:p w14:paraId="3F84A8E4">
      <w:pPr>
        <w:widowControl/>
        <w:ind w:firstLine="420" w:firstLineChars="200"/>
        <w:jc w:val="left"/>
        <w:rPr>
          <w:rFonts w:hint="eastAsia" w:ascii="宋体" w:hAnsi="宋体" w:cs="宋体"/>
          <w:color w:val="000000"/>
          <w:kern w:val="0"/>
          <w:szCs w:val="21"/>
        </w:rPr>
      </w:pPr>
      <w:r>
        <w:rPr>
          <w:rFonts w:hint="eastAsia" w:ascii="宋体" w:hAnsi="宋体" w:cs="宋体"/>
          <w:color w:val="000000"/>
          <w:kern w:val="0"/>
          <w:szCs w:val="21"/>
        </w:rPr>
        <w:t>指标解释：盐渍化土地指的是耕地土壤里下部的盐分随着土壤中水分的不断蒸发或者因为长期大量不合理施肥浇水，而导致盐分持续在地面浅土层或者在耕地表面不断累积逐步增多的一种土壤破坏过程。</w:t>
      </w:r>
    </w:p>
    <w:p w14:paraId="5F501907">
      <w:pPr>
        <w:widowControl/>
        <w:ind w:firstLine="420" w:firstLineChars="200"/>
        <w:jc w:val="left"/>
        <w:rPr>
          <w:rFonts w:hint="eastAsia" w:ascii="宋体" w:hAnsi="宋体" w:cs="宋体"/>
          <w:color w:val="000000"/>
          <w:kern w:val="0"/>
          <w:szCs w:val="21"/>
        </w:rPr>
      </w:pPr>
      <w:r>
        <w:rPr>
          <w:rFonts w:hint="eastAsia" w:ascii="宋体" w:hAnsi="宋体" w:cs="宋体"/>
          <w:color w:val="000000"/>
          <w:kern w:val="0"/>
          <w:szCs w:val="21"/>
        </w:rPr>
        <w:t>获取方法：遥感解译或现场调查，具体监测方法可参照GB 50021或HY/T 0320相关要求执行。</w:t>
      </w:r>
    </w:p>
    <w:bookmarkEnd w:id="104"/>
    <w:bookmarkEnd w:id="105"/>
    <w:bookmarkEnd w:id="106"/>
    <w:bookmarkEnd w:id="107"/>
    <w:bookmarkEnd w:id="108"/>
    <w:bookmarkEnd w:id="109"/>
    <w:p w14:paraId="1EDD1875">
      <w:pPr>
        <w:pStyle w:val="79"/>
        <w:numPr>
          <w:ilvl w:val="2"/>
          <w:numId w:val="5"/>
        </w:numPr>
        <w:spacing w:before="312" w:after="312"/>
        <w:outlineLvl w:val="9"/>
        <w:rPr>
          <w:rFonts w:hint="eastAsia" w:hAnsi="黑体"/>
          <w:color w:val="000000"/>
          <w:kern w:val="0"/>
        </w:rPr>
      </w:pPr>
      <w:bookmarkStart w:id="150" w:name="_Toc8101"/>
      <w:bookmarkStart w:id="151" w:name="_Toc26774"/>
      <w:r>
        <w:rPr>
          <w:rFonts w:hint="eastAsia" w:hAnsi="黑体"/>
          <w:color w:val="000000"/>
          <w:kern w:val="0"/>
        </w:rPr>
        <w:t>石漠化土地面积</w:t>
      </w:r>
      <w:bookmarkEnd w:id="150"/>
      <w:bookmarkEnd w:id="151"/>
    </w:p>
    <w:p w14:paraId="22FFFE19">
      <w:pPr>
        <w:widowControl/>
        <w:ind w:firstLine="420" w:firstLineChars="200"/>
        <w:jc w:val="left"/>
        <w:rPr>
          <w:rFonts w:hint="eastAsia" w:ascii="宋体" w:hAnsi="宋体" w:cs="宋体"/>
          <w:color w:val="000000"/>
          <w:kern w:val="0"/>
          <w:szCs w:val="21"/>
        </w:rPr>
      </w:pPr>
      <w:r>
        <w:rPr>
          <w:rFonts w:hint="eastAsia" w:ascii="宋体" w:hAnsi="宋体" w:cs="宋体"/>
          <w:color w:val="000000"/>
          <w:kern w:val="0"/>
          <w:szCs w:val="21"/>
        </w:rPr>
        <w:t>指标解释：石漠化土地是指在热带、亚热带湿润、半湿润气候条件和岩溶极其发育的自然背景下，受人为活动干扰，使地表植被遭受破坏，导致土壤严重流失，基岩大面积裸露或砾石堆积的土地退化现象，是岩溶地区土地退化的极端形式。</w:t>
      </w:r>
    </w:p>
    <w:p w14:paraId="51C3C465">
      <w:pPr>
        <w:widowControl/>
        <w:ind w:firstLine="420" w:firstLineChars="200"/>
        <w:jc w:val="left"/>
        <w:rPr>
          <w:rFonts w:hint="eastAsia" w:ascii="宋体" w:hAnsi="宋体" w:cs="宋体"/>
          <w:color w:val="000000"/>
          <w:kern w:val="0"/>
          <w:szCs w:val="21"/>
        </w:rPr>
      </w:pPr>
      <w:r>
        <w:rPr>
          <w:rFonts w:hint="eastAsia" w:ascii="宋体" w:hAnsi="宋体" w:cs="宋体"/>
          <w:color w:val="000000"/>
          <w:kern w:val="0"/>
          <w:szCs w:val="21"/>
        </w:rPr>
        <w:t>获取方法：遥感解译或现场调查，具体监测方法可参照LY/T 2994相关要求执行。</w:t>
      </w:r>
    </w:p>
    <w:p w14:paraId="5E524330">
      <w:pPr>
        <w:pStyle w:val="79"/>
        <w:numPr>
          <w:ilvl w:val="2"/>
          <w:numId w:val="5"/>
        </w:numPr>
        <w:spacing w:before="312" w:after="312"/>
        <w:outlineLvl w:val="9"/>
        <w:rPr>
          <w:rFonts w:hint="eastAsia" w:hAnsi="黑体"/>
          <w:color w:val="000000"/>
          <w:kern w:val="0"/>
        </w:rPr>
      </w:pPr>
      <w:bookmarkStart w:id="152" w:name="_Toc10501"/>
      <w:bookmarkStart w:id="153" w:name="_Toc15646"/>
      <w:bookmarkStart w:id="154" w:name="_Toc3573"/>
      <w:bookmarkStart w:id="155" w:name="_Toc6729"/>
      <w:r>
        <w:rPr>
          <w:rFonts w:hint="eastAsia" w:hAnsi="黑体"/>
          <w:color w:val="000000"/>
          <w:kern w:val="0"/>
        </w:rPr>
        <w:t>水源涵养量</w:t>
      </w:r>
      <w:bookmarkEnd w:id="152"/>
      <w:bookmarkEnd w:id="153"/>
      <w:bookmarkEnd w:id="154"/>
      <w:bookmarkEnd w:id="155"/>
    </w:p>
    <w:p w14:paraId="14E862E1">
      <w:pPr>
        <w:widowControl/>
        <w:ind w:firstLine="420" w:firstLineChars="200"/>
        <w:jc w:val="left"/>
        <w:rPr>
          <w:rFonts w:hint="eastAsia" w:ascii="宋体" w:hAnsi="宋体" w:cs="宋体"/>
          <w:color w:val="000000"/>
          <w:kern w:val="0"/>
          <w:szCs w:val="21"/>
        </w:rPr>
      </w:pPr>
      <w:r>
        <w:rPr>
          <w:rFonts w:hint="eastAsia" w:ascii="宋体" w:hAnsi="宋体" w:cs="宋体"/>
          <w:color w:val="000000"/>
          <w:kern w:val="0"/>
          <w:szCs w:val="21"/>
        </w:rPr>
        <w:t>指标解释：水源涵养是生态系统(如森林、草地等)通过其特有的结构与水相互作用,对降水进行截留、渗透、蓄积,并通过蒸散发实现对水流、水循环的调控。</w:t>
      </w:r>
    </w:p>
    <w:p w14:paraId="32260E6E">
      <w:pPr>
        <w:widowControl/>
        <w:ind w:firstLine="420" w:firstLineChars="200"/>
        <w:jc w:val="left"/>
        <w:rPr>
          <w:rFonts w:hint="eastAsia" w:ascii="宋体" w:hAnsi="宋体" w:cs="宋体"/>
          <w:color w:val="000000"/>
          <w:kern w:val="0"/>
          <w:szCs w:val="21"/>
        </w:rPr>
      </w:pPr>
      <w:r>
        <w:rPr>
          <w:rFonts w:hint="eastAsia" w:ascii="宋体" w:hAnsi="宋体" w:cs="宋体"/>
          <w:color w:val="000000"/>
          <w:kern w:val="0"/>
          <w:szCs w:val="21"/>
        </w:rPr>
        <w:t>获取方法：单个因子计算和获取按照HJ1173相关要求执行。</w:t>
      </w:r>
    </w:p>
    <w:p w14:paraId="790470BE">
      <w:pPr>
        <w:pStyle w:val="79"/>
        <w:numPr>
          <w:ilvl w:val="2"/>
          <w:numId w:val="5"/>
        </w:numPr>
        <w:spacing w:before="312" w:after="312"/>
        <w:outlineLvl w:val="9"/>
        <w:rPr>
          <w:rFonts w:hint="eastAsia" w:hAnsi="黑体"/>
          <w:color w:val="000000"/>
          <w:kern w:val="0"/>
        </w:rPr>
      </w:pPr>
      <w:bookmarkStart w:id="156" w:name="_Toc935"/>
      <w:bookmarkStart w:id="157" w:name="_Toc13900"/>
      <w:r>
        <w:rPr>
          <w:rFonts w:hint="eastAsia" w:hAnsi="黑体"/>
          <w:color w:val="000000"/>
          <w:kern w:val="0"/>
        </w:rPr>
        <w:t>实际蒸散发量</w:t>
      </w:r>
      <w:bookmarkEnd w:id="156"/>
      <w:bookmarkEnd w:id="157"/>
    </w:p>
    <w:p w14:paraId="3A66209C">
      <w:pPr>
        <w:widowControl/>
        <w:ind w:firstLine="420" w:firstLineChars="200"/>
        <w:jc w:val="left"/>
        <w:rPr>
          <w:rFonts w:hint="eastAsia" w:ascii="宋体" w:hAnsi="宋体" w:cs="宋体"/>
          <w:color w:val="000000"/>
          <w:kern w:val="0"/>
          <w:szCs w:val="21"/>
        </w:rPr>
      </w:pPr>
      <w:r>
        <w:rPr>
          <w:rFonts w:hint="eastAsia" w:ascii="宋体" w:hAnsi="宋体" w:cs="宋体"/>
          <w:color w:val="000000"/>
          <w:kern w:val="0"/>
          <w:szCs w:val="21"/>
        </w:rPr>
        <w:t>指标解释：特定区域天然情况下的实际总蒸散发量。</w:t>
      </w:r>
    </w:p>
    <w:p w14:paraId="7AFDD69D">
      <w:pPr>
        <w:widowControl/>
        <w:ind w:firstLine="420" w:firstLineChars="200"/>
        <w:jc w:val="left"/>
        <w:rPr>
          <w:rFonts w:hint="eastAsia" w:ascii="宋体" w:hAnsi="宋体" w:cs="宋体"/>
          <w:color w:val="000000"/>
          <w:kern w:val="0"/>
          <w:szCs w:val="21"/>
        </w:rPr>
      </w:pPr>
      <w:r>
        <w:rPr>
          <w:rFonts w:hint="eastAsia" w:ascii="宋体" w:hAnsi="宋体" w:cs="宋体"/>
          <w:color w:val="000000"/>
          <w:kern w:val="0"/>
          <w:szCs w:val="21"/>
        </w:rPr>
        <w:t>获取方法：具体计算方法按照GB/T 20481相关要求执行。</w:t>
      </w:r>
    </w:p>
    <w:p w14:paraId="771F2BFC">
      <w:pPr>
        <w:pStyle w:val="79"/>
        <w:numPr>
          <w:ilvl w:val="2"/>
          <w:numId w:val="5"/>
        </w:numPr>
        <w:spacing w:before="312" w:after="312"/>
        <w:outlineLvl w:val="9"/>
        <w:rPr>
          <w:rFonts w:hint="eastAsia" w:hAnsi="黑体"/>
          <w:color w:val="000000"/>
          <w:kern w:val="0"/>
        </w:rPr>
      </w:pPr>
      <w:bookmarkStart w:id="158" w:name="_Toc29432"/>
      <w:bookmarkStart w:id="159" w:name="_Toc20801"/>
      <w:bookmarkStart w:id="160" w:name="_Toc28262"/>
      <w:bookmarkStart w:id="161" w:name="_Toc30679"/>
      <w:r>
        <w:rPr>
          <w:rFonts w:hint="eastAsia" w:hAnsi="黑体"/>
          <w:color w:val="000000"/>
          <w:kern w:val="0"/>
        </w:rPr>
        <w:t>洪水调蓄量</w:t>
      </w:r>
      <w:bookmarkEnd w:id="158"/>
      <w:bookmarkEnd w:id="159"/>
      <w:bookmarkEnd w:id="160"/>
      <w:bookmarkEnd w:id="161"/>
    </w:p>
    <w:p w14:paraId="01E75292">
      <w:pPr>
        <w:widowControl/>
        <w:ind w:firstLine="420" w:firstLineChars="200"/>
        <w:jc w:val="left"/>
        <w:rPr>
          <w:rFonts w:hint="eastAsia" w:ascii="宋体" w:hAnsi="宋体" w:cs="宋体"/>
          <w:color w:val="000000"/>
          <w:kern w:val="0"/>
          <w:szCs w:val="21"/>
        </w:rPr>
      </w:pPr>
      <w:r>
        <w:rPr>
          <w:rFonts w:hint="eastAsia" w:ascii="宋体" w:hAnsi="宋体" w:cs="宋体"/>
          <w:color w:val="000000"/>
          <w:kern w:val="0"/>
          <w:szCs w:val="21"/>
        </w:rPr>
        <w:t>指标解释：洪水调蓄是指生态系统所特有的生态结构能够吸纳大量的降水和过境水,蓄积洪峰水量,削减并滞后洪峰,以缓解汛期洪峰造成的威胁和损失的功能。选用可调蓄水量(森林、灌丛、草地和湖泊)、防洪库容(水库)和洪水期滞水量(沼泽)表征生态系统的洪水调蓄能力。</w:t>
      </w:r>
    </w:p>
    <w:p w14:paraId="22574D6F">
      <w:pPr>
        <w:widowControl/>
        <w:ind w:firstLine="420" w:firstLineChars="200"/>
        <w:jc w:val="left"/>
        <w:rPr>
          <w:rFonts w:hint="eastAsia" w:ascii="宋体" w:hAnsi="宋体" w:cs="宋体"/>
          <w:color w:val="000000"/>
          <w:kern w:val="0"/>
          <w:szCs w:val="21"/>
        </w:rPr>
      </w:pPr>
      <w:r>
        <w:rPr>
          <w:rFonts w:hint="eastAsia" w:ascii="宋体" w:hAnsi="宋体" w:cs="宋体"/>
          <w:color w:val="000000"/>
          <w:kern w:val="0"/>
          <w:szCs w:val="21"/>
        </w:rPr>
        <w:t>获取方法：单个因子计算和获取参照参考文献[4]相关要求执行。具体计算按照TD/T 1102附录A执行。</w:t>
      </w:r>
    </w:p>
    <w:p w14:paraId="0A425D1E">
      <w:pPr>
        <w:pStyle w:val="79"/>
        <w:numPr>
          <w:ilvl w:val="2"/>
          <w:numId w:val="5"/>
        </w:numPr>
        <w:spacing w:before="312" w:after="312"/>
        <w:outlineLvl w:val="9"/>
        <w:rPr>
          <w:rFonts w:hint="eastAsia" w:hAnsi="黑体"/>
          <w:color w:val="000000"/>
          <w:kern w:val="0"/>
        </w:rPr>
      </w:pPr>
      <w:bookmarkStart w:id="162" w:name="_Toc5813"/>
      <w:bookmarkStart w:id="163" w:name="_Toc10886"/>
      <w:bookmarkStart w:id="164" w:name="_Toc20974"/>
      <w:bookmarkStart w:id="165" w:name="_Toc18264"/>
      <w:r>
        <w:rPr>
          <w:rFonts w:hint="eastAsia" w:hAnsi="黑体"/>
          <w:color w:val="000000"/>
          <w:kern w:val="0"/>
        </w:rPr>
        <w:t>防风固沙量</w:t>
      </w:r>
      <w:bookmarkEnd w:id="162"/>
      <w:bookmarkEnd w:id="163"/>
      <w:bookmarkEnd w:id="164"/>
      <w:bookmarkEnd w:id="165"/>
    </w:p>
    <w:p w14:paraId="2EFAFE73">
      <w:pPr>
        <w:widowControl/>
        <w:ind w:firstLine="420" w:firstLineChars="200"/>
        <w:jc w:val="left"/>
        <w:rPr>
          <w:rFonts w:hint="eastAsia" w:ascii="宋体" w:hAnsi="宋体" w:cs="宋体"/>
          <w:color w:val="000000"/>
          <w:kern w:val="0"/>
          <w:szCs w:val="21"/>
        </w:rPr>
      </w:pPr>
      <w:r>
        <w:rPr>
          <w:rFonts w:hint="eastAsia" w:ascii="宋体" w:hAnsi="宋体" w:cs="宋体"/>
          <w:color w:val="000000"/>
          <w:kern w:val="0"/>
          <w:szCs w:val="21"/>
        </w:rPr>
        <w:t>指标解释：防风固沙指生态系统通过增加土壤抗风能力,降低风力侵蚀和风沙危害的功能。</w:t>
      </w:r>
    </w:p>
    <w:p w14:paraId="6E003E3E">
      <w:pPr>
        <w:widowControl/>
        <w:ind w:firstLine="420" w:firstLineChars="200"/>
        <w:jc w:val="left"/>
        <w:rPr>
          <w:rFonts w:hint="eastAsia" w:ascii="宋体" w:hAnsi="宋体" w:cs="宋体"/>
          <w:color w:val="000000"/>
          <w:kern w:val="0"/>
          <w:szCs w:val="21"/>
        </w:rPr>
      </w:pPr>
      <w:r>
        <w:rPr>
          <w:rFonts w:hint="eastAsia" w:ascii="宋体" w:hAnsi="宋体" w:cs="宋体"/>
          <w:color w:val="000000"/>
          <w:kern w:val="0"/>
          <w:szCs w:val="21"/>
        </w:rPr>
        <w:t>获取方法：单个因子计算和获取参考HJ1173和SL773相关要求执行。</w:t>
      </w:r>
    </w:p>
    <w:p w14:paraId="1A60C0C5">
      <w:pPr>
        <w:pStyle w:val="79"/>
        <w:numPr>
          <w:ilvl w:val="2"/>
          <w:numId w:val="5"/>
        </w:numPr>
        <w:spacing w:before="312" w:after="312"/>
        <w:outlineLvl w:val="9"/>
        <w:rPr>
          <w:rFonts w:hint="eastAsia" w:hAnsi="黑体"/>
          <w:color w:val="000000"/>
          <w:kern w:val="0"/>
        </w:rPr>
      </w:pPr>
      <w:bookmarkStart w:id="166" w:name="_Toc16960"/>
      <w:bookmarkStart w:id="167" w:name="_Toc24019"/>
      <w:bookmarkStart w:id="168" w:name="_Toc18321"/>
      <w:bookmarkStart w:id="169" w:name="_Toc26180"/>
      <w:r>
        <w:rPr>
          <w:rFonts w:hint="eastAsia" w:hAnsi="黑体"/>
          <w:color w:val="000000"/>
          <w:kern w:val="0"/>
        </w:rPr>
        <w:t>土壤保持量</w:t>
      </w:r>
      <w:bookmarkEnd w:id="166"/>
      <w:bookmarkEnd w:id="167"/>
      <w:bookmarkEnd w:id="168"/>
      <w:bookmarkEnd w:id="169"/>
    </w:p>
    <w:p w14:paraId="0CCFFCF1">
      <w:pPr>
        <w:widowControl/>
        <w:ind w:firstLine="420" w:firstLineChars="200"/>
        <w:jc w:val="left"/>
        <w:rPr>
          <w:rFonts w:hint="eastAsia" w:ascii="宋体" w:hAnsi="宋体" w:cs="宋体"/>
          <w:color w:val="000000"/>
          <w:kern w:val="0"/>
          <w:szCs w:val="21"/>
        </w:rPr>
      </w:pPr>
      <w:r>
        <w:rPr>
          <w:rFonts w:hint="eastAsia" w:ascii="宋体" w:hAnsi="宋体" w:cs="宋体"/>
          <w:color w:val="000000"/>
          <w:kern w:val="0"/>
          <w:szCs w:val="21"/>
        </w:rPr>
        <w:t>指标解释：土壤保持指生态系统通过其结构与过程保护土壤,降低雨水的侵蚀能力,减少土壤流失,防止泥沙淤积的功能。</w:t>
      </w:r>
    </w:p>
    <w:p w14:paraId="222765F2">
      <w:pPr>
        <w:widowControl/>
        <w:ind w:firstLine="420" w:firstLineChars="200"/>
        <w:jc w:val="left"/>
        <w:rPr>
          <w:rFonts w:hint="eastAsia" w:ascii="宋体" w:hAnsi="宋体" w:cs="宋体"/>
          <w:color w:val="000000"/>
          <w:kern w:val="0"/>
          <w:szCs w:val="21"/>
        </w:rPr>
      </w:pPr>
      <w:r>
        <w:rPr>
          <w:rFonts w:hint="eastAsia" w:ascii="宋体" w:hAnsi="宋体" w:cs="宋体"/>
          <w:color w:val="000000"/>
          <w:kern w:val="0"/>
          <w:szCs w:val="21"/>
        </w:rPr>
        <w:t>获取方法：单个因子计算和获取应符合HJ1173和SL773相关要求。</w:t>
      </w:r>
    </w:p>
    <w:p w14:paraId="5C7EB7D3">
      <w:pPr>
        <w:pStyle w:val="79"/>
        <w:numPr>
          <w:ilvl w:val="2"/>
          <w:numId w:val="5"/>
        </w:numPr>
        <w:spacing w:before="312" w:after="312"/>
        <w:outlineLvl w:val="9"/>
        <w:rPr>
          <w:rFonts w:hint="eastAsia" w:hAnsi="黑体"/>
          <w:color w:val="000000"/>
          <w:kern w:val="0"/>
        </w:rPr>
      </w:pPr>
      <w:bookmarkStart w:id="170" w:name="_Toc12247"/>
      <w:bookmarkStart w:id="171" w:name="_Toc1319"/>
      <w:bookmarkStart w:id="172" w:name="_Toc28734"/>
      <w:bookmarkStart w:id="173" w:name="_Toc2084"/>
      <w:bookmarkStart w:id="174" w:name="_Toc1062"/>
      <w:bookmarkStart w:id="175" w:name="_Toc23800"/>
      <w:r>
        <w:rPr>
          <w:rFonts w:hint="eastAsia" w:hAnsi="黑体"/>
          <w:color w:val="000000"/>
          <w:kern w:val="0"/>
        </w:rPr>
        <w:t>物种丰富度</w:t>
      </w:r>
      <w:bookmarkEnd w:id="170"/>
      <w:bookmarkEnd w:id="171"/>
      <w:bookmarkEnd w:id="172"/>
      <w:bookmarkEnd w:id="173"/>
    </w:p>
    <w:p w14:paraId="045EFB5D">
      <w:pPr>
        <w:widowControl/>
        <w:ind w:firstLine="420" w:firstLineChars="200"/>
        <w:jc w:val="left"/>
        <w:rPr>
          <w:rFonts w:hint="eastAsia" w:ascii="宋体" w:hAnsi="宋体" w:cs="宋体"/>
          <w:color w:val="000000"/>
          <w:kern w:val="0"/>
          <w:szCs w:val="21"/>
        </w:rPr>
      </w:pPr>
      <w:r>
        <w:rPr>
          <w:rFonts w:hint="eastAsia" w:ascii="宋体" w:hAnsi="宋体" w:cs="宋体"/>
          <w:color w:val="000000"/>
          <w:kern w:val="0"/>
          <w:szCs w:val="21"/>
        </w:rPr>
        <w:t>指标解释：物种丰富度用于反映群落内的植物物种丰富情况。</w:t>
      </w:r>
    </w:p>
    <w:p w14:paraId="4ADDCCDE">
      <w:pPr>
        <w:widowControl/>
        <w:ind w:firstLine="420" w:firstLineChars="200"/>
        <w:jc w:val="left"/>
        <w:rPr>
          <w:rFonts w:hint="eastAsia" w:ascii="黑体" w:hAnsi="黑体" w:eastAsia="黑体"/>
          <w:color w:val="000000"/>
          <w:kern w:val="0"/>
          <w:szCs w:val="20"/>
        </w:rPr>
      </w:pPr>
      <w:r>
        <w:rPr>
          <w:rFonts w:hint="eastAsia" w:ascii="宋体" w:hAnsi="宋体" w:cs="宋体"/>
          <w:color w:val="000000"/>
          <w:kern w:val="0"/>
          <w:szCs w:val="21"/>
        </w:rPr>
        <w:t>获取方法：该指标主要采用地面调查和遥感调查方法获取，具体参考HJ 1168执行。</w:t>
      </w:r>
    </w:p>
    <w:p w14:paraId="3A092F53">
      <w:pPr>
        <w:pStyle w:val="79"/>
        <w:numPr>
          <w:ilvl w:val="2"/>
          <w:numId w:val="5"/>
        </w:numPr>
        <w:spacing w:before="312" w:after="312"/>
        <w:outlineLvl w:val="9"/>
        <w:rPr>
          <w:rFonts w:hint="eastAsia" w:hAnsi="黑体"/>
          <w:color w:val="000000"/>
          <w:kern w:val="0"/>
        </w:rPr>
      </w:pPr>
      <w:bookmarkStart w:id="176" w:name="_Toc2751"/>
      <w:bookmarkStart w:id="177" w:name="_Toc19486"/>
      <w:r>
        <w:rPr>
          <w:rFonts w:hint="eastAsia" w:hAnsi="黑体"/>
          <w:color w:val="000000"/>
          <w:kern w:val="0"/>
        </w:rPr>
        <w:t>重点物种数目</w:t>
      </w:r>
      <w:bookmarkEnd w:id="176"/>
      <w:bookmarkEnd w:id="177"/>
    </w:p>
    <w:p w14:paraId="0D69525B">
      <w:pPr>
        <w:widowControl/>
        <w:ind w:firstLine="420" w:firstLineChars="200"/>
        <w:jc w:val="left"/>
        <w:rPr>
          <w:rFonts w:hint="eastAsia" w:ascii="宋体" w:hAnsi="宋体" w:cs="宋体"/>
          <w:color w:val="000000"/>
          <w:kern w:val="0"/>
          <w:szCs w:val="21"/>
        </w:rPr>
      </w:pPr>
      <w:r>
        <w:rPr>
          <w:rFonts w:hint="eastAsia" w:ascii="宋体" w:hAnsi="宋体" w:cs="宋体"/>
          <w:color w:val="000000"/>
          <w:kern w:val="0"/>
          <w:szCs w:val="21"/>
        </w:rPr>
        <w:t>指标解释：重点物种通常是生态系统中的关键种或旗舰种，其保护状况对整个生态系统具有重要影响。</w:t>
      </w:r>
    </w:p>
    <w:p w14:paraId="1C892050">
      <w:pPr>
        <w:widowControl/>
        <w:ind w:firstLine="420" w:firstLineChars="200"/>
        <w:jc w:val="left"/>
        <w:rPr>
          <w:rFonts w:hint="eastAsia" w:ascii="宋体" w:hAnsi="宋体" w:cs="宋体"/>
          <w:color w:val="000000"/>
          <w:kern w:val="0"/>
          <w:szCs w:val="21"/>
        </w:rPr>
      </w:pPr>
      <w:r>
        <w:rPr>
          <w:rFonts w:hint="eastAsia" w:ascii="宋体" w:hAnsi="宋体" w:cs="宋体"/>
          <w:color w:val="000000"/>
          <w:kern w:val="0"/>
          <w:szCs w:val="21"/>
        </w:rPr>
        <w:t>获取方法：通过实地监测和资料调查结合获取，具体方法参照T/CGDF 00001执行。</w:t>
      </w:r>
    </w:p>
    <w:p w14:paraId="53A959D4">
      <w:pPr>
        <w:pStyle w:val="79"/>
        <w:numPr>
          <w:ilvl w:val="2"/>
          <w:numId w:val="5"/>
        </w:numPr>
        <w:spacing w:before="312" w:after="312"/>
        <w:outlineLvl w:val="9"/>
        <w:rPr>
          <w:rFonts w:hint="eastAsia" w:hAnsi="黑体"/>
          <w:color w:val="000000"/>
          <w:kern w:val="0"/>
        </w:rPr>
      </w:pPr>
      <w:bookmarkStart w:id="178" w:name="_Toc2118"/>
      <w:bookmarkStart w:id="179" w:name="_Toc12641"/>
      <w:r>
        <w:rPr>
          <w:rFonts w:hint="eastAsia" w:hAnsi="黑体"/>
          <w:color w:val="000000"/>
          <w:kern w:val="0"/>
        </w:rPr>
        <w:t>特有物种数目</w:t>
      </w:r>
      <w:bookmarkEnd w:id="178"/>
      <w:bookmarkEnd w:id="179"/>
    </w:p>
    <w:p w14:paraId="22E7FFC5">
      <w:pPr>
        <w:widowControl/>
        <w:ind w:firstLine="420" w:firstLineChars="200"/>
        <w:jc w:val="left"/>
        <w:rPr>
          <w:rFonts w:hint="eastAsia" w:ascii="宋体" w:hAnsi="宋体" w:cs="宋体"/>
          <w:color w:val="000000"/>
          <w:kern w:val="0"/>
          <w:szCs w:val="21"/>
        </w:rPr>
      </w:pPr>
      <w:r>
        <w:rPr>
          <w:rFonts w:hint="eastAsia" w:ascii="宋体" w:hAnsi="宋体" w:cs="宋体"/>
          <w:color w:val="000000"/>
          <w:kern w:val="0"/>
          <w:szCs w:val="21"/>
        </w:rPr>
        <w:t>指标解释：特有物种是指因历史、生态或生理因素等原因，造成其分布仅局限于某一特定的地理区域或大陆，而未在其他地方中出现。又称本地物种或乡土物种。</w:t>
      </w:r>
    </w:p>
    <w:p w14:paraId="394BF5AB">
      <w:pPr>
        <w:widowControl/>
        <w:ind w:firstLine="420" w:firstLineChars="200"/>
        <w:jc w:val="left"/>
        <w:rPr>
          <w:rFonts w:hint="eastAsia" w:ascii="宋体" w:hAnsi="宋体" w:cs="宋体"/>
          <w:color w:val="000000"/>
          <w:kern w:val="0"/>
          <w:szCs w:val="21"/>
        </w:rPr>
      </w:pPr>
      <w:r>
        <w:rPr>
          <w:rFonts w:hint="eastAsia" w:ascii="宋体" w:hAnsi="宋体" w:cs="宋体"/>
          <w:color w:val="000000"/>
          <w:kern w:val="0"/>
          <w:szCs w:val="21"/>
        </w:rPr>
        <w:t>获取方法：通过实地监测和资料调查结合获取，具体方法参照T/CGDF 00001执行。</w:t>
      </w:r>
    </w:p>
    <w:bookmarkEnd w:id="174"/>
    <w:bookmarkEnd w:id="175"/>
    <w:p w14:paraId="321C7771">
      <w:pPr>
        <w:pStyle w:val="79"/>
        <w:numPr>
          <w:ilvl w:val="2"/>
          <w:numId w:val="5"/>
        </w:numPr>
        <w:spacing w:before="312" w:after="312"/>
        <w:outlineLvl w:val="9"/>
        <w:rPr>
          <w:rFonts w:hint="eastAsia" w:hAnsi="黑体"/>
          <w:color w:val="000000"/>
          <w:kern w:val="0"/>
        </w:rPr>
      </w:pPr>
      <w:bookmarkStart w:id="180" w:name="_Toc2312"/>
      <w:bookmarkStart w:id="181" w:name="_Toc15531"/>
      <w:bookmarkStart w:id="182" w:name="_Toc6813"/>
      <w:bookmarkStart w:id="183" w:name="_Toc10255"/>
      <w:r>
        <w:rPr>
          <w:rFonts w:hint="eastAsia" w:hAnsi="黑体"/>
          <w:color w:val="000000"/>
          <w:kern w:val="0"/>
        </w:rPr>
        <w:t>固碳量</w:t>
      </w:r>
      <w:bookmarkEnd w:id="180"/>
      <w:bookmarkEnd w:id="181"/>
    </w:p>
    <w:p w14:paraId="091EE71F">
      <w:pPr>
        <w:widowControl/>
        <w:ind w:firstLine="420" w:firstLineChars="200"/>
        <w:jc w:val="left"/>
        <w:rPr>
          <w:rFonts w:ascii="宋体"/>
          <w:kern w:val="0"/>
          <w:szCs w:val="20"/>
        </w:rPr>
      </w:pPr>
      <w:r>
        <w:rPr>
          <w:rFonts w:hint="eastAsia" w:ascii="宋体"/>
          <w:kern w:val="0"/>
          <w:szCs w:val="20"/>
        </w:rPr>
        <w:t>指标解释：固碳量指生态系统吸收二氧化碳合成有机物质,将碳固定在植物和土壤中,降低大气中二氧化碳浓度的功能。</w:t>
      </w:r>
    </w:p>
    <w:p w14:paraId="0195452A">
      <w:pPr>
        <w:widowControl/>
        <w:ind w:firstLine="420" w:firstLineChars="200"/>
        <w:rPr>
          <w:rFonts w:ascii="宋体"/>
          <w:kern w:val="0"/>
          <w:szCs w:val="20"/>
        </w:rPr>
      </w:pPr>
      <w:r>
        <w:rPr>
          <w:rFonts w:hint="eastAsia" w:ascii="宋体"/>
          <w:kern w:val="0"/>
          <w:szCs w:val="20"/>
        </w:rPr>
        <w:t>获取方法：根据数据的可获取性在生物量法、固碳速率法、生态系统生产力法中选择，区域尺度优先采用生态系统生产力法，地块尺度优先采用生物量法。具体计算方法参照GB/T43678执行。</w:t>
      </w:r>
    </w:p>
    <w:bookmarkEnd w:id="182"/>
    <w:bookmarkEnd w:id="183"/>
    <w:p w14:paraId="568B18E0">
      <w:pPr>
        <w:pStyle w:val="79"/>
        <w:numPr>
          <w:ilvl w:val="2"/>
          <w:numId w:val="5"/>
        </w:numPr>
        <w:spacing w:before="312" w:after="312"/>
        <w:outlineLvl w:val="9"/>
        <w:rPr>
          <w:rFonts w:hint="eastAsia" w:hAnsi="黑体"/>
          <w:color w:val="000000"/>
          <w:kern w:val="0"/>
        </w:rPr>
      </w:pPr>
      <w:bookmarkStart w:id="184" w:name="_Toc27883"/>
      <w:bookmarkStart w:id="185" w:name="_Toc28289"/>
      <w:bookmarkStart w:id="186" w:name="_Toc31814"/>
      <w:bookmarkStart w:id="187" w:name="_Toc32058"/>
      <w:bookmarkStart w:id="188" w:name="_Toc24609"/>
      <w:bookmarkStart w:id="189" w:name="_Toc1587"/>
      <w:r>
        <w:rPr>
          <w:rFonts w:hint="eastAsia" w:hAnsi="黑体"/>
          <w:color w:val="000000"/>
          <w:kern w:val="0"/>
        </w:rPr>
        <w:t>监测样点的数目</w:t>
      </w:r>
      <w:bookmarkEnd w:id="184"/>
      <w:bookmarkEnd w:id="185"/>
    </w:p>
    <w:p w14:paraId="31462131">
      <w:pPr>
        <w:widowControl/>
        <w:ind w:firstLine="420" w:firstLineChars="200"/>
        <w:jc w:val="left"/>
        <w:rPr>
          <w:rFonts w:hint="eastAsia" w:ascii="宋体" w:hAnsi="宋体" w:cs="宋体"/>
          <w:color w:val="000000"/>
          <w:kern w:val="0"/>
          <w:szCs w:val="21"/>
        </w:rPr>
      </w:pPr>
      <w:r>
        <w:rPr>
          <w:rFonts w:hint="eastAsia" w:ascii="宋体" w:hAnsi="宋体" w:cs="宋体"/>
          <w:color w:val="000000"/>
          <w:kern w:val="0"/>
          <w:szCs w:val="21"/>
        </w:rPr>
        <w:t>指标解释：针对主要监测内容，布设的具有典型性和代表性的监测样点的数目。</w:t>
      </w:r>
    </w:p>
    <w:p w14:paraId="6A74359B">
      <w:pPr>
        <w:widowControl/>
        <w:ind w:firstLine="420" w:firstLineChars="200"/>
        <w:jc w:val="left"/>
        <w:rPr>
          <w:rFonts w:hint="eastAsia" w:ascii="宋体" w:hAnsi="宋体" w:cs="宋体"/>
          <w:color w:val="000000"/>
          <w:kern w:val="0"/>
          <w:szCs w:val="21"/>
        </w:rPr>
      </w:pPr>
      <w:r>
        <w:rPr>
          <w:rFonts w:hint="eastAsia" w:ascii="宋体" w:hAnsi="宋体" w:cs="宋体"/>
          <w:color w:val="000000"/>
          <w:kern w:val="0"/>
          <w:szCs w:val="21"/>
        </w:rPr>
        <w:t>获取方法：工程实施方案、规划设计、验收材料和现场调查。</w:t>
      </w:r>
    </w:p>
    <w:p w14:paraId="07396F3A">
      <w:pPr>
        <w:pStyle w:val="79"/>
        <w:numPr>
          <w:ilvl w:val="2"/>
          <w:numId w:val="5"/>
        </w:numPr>
        <w:spacing w:before="312" w:after="312"/>
        <w:outlineLvl w:val="9"/>
        <w:rPr>
          <w:rFonts w:hint="eastAsia" w:hAnsi="黑体"/>
          <w:color w:val="000000"/>
          <w:kern w:val="0"/>
        </w:rPr>
      </w:pPr>
      <w:bookmarkStart w:id="190" w:name="_Toc12424"/>
      <w:bookmarkStart w:id="191" w:name="_Toc14014"/>
      <w:r>
        <w:rPr>
          <w:rFonts w:hint="eastAsia" w:hAnsi="黑体"/>
          <w:color w:val="000000"/>
          <w:kern w:val="0"/>
        </w:rPr>
        <w:t>工程完成率</w:t>
      </w:r>
      <w:bookmarkEnd w:id="190"/>
      <w:bookmarkEnd w:id="191"/>
    </w:p>
    <w:p w14:paraId="416CB779">
      <w:pPr>
        <w:widowControl/>
        <w:ind w:firstLine="420" w:firstLineChars="200"/>
        <w:jc w:val="left"/>
        <w:rPr>
          <w:rFonts w:hint="eastAsia" w:ascii="宋体" w:hAnsi="宋体" w:cs="宋体"/>
          <w:color w:val="000000"/>
          <w:kern w:val="0"/>
          <w:szCs w:val="21"/>
        </w:rPr>
      </w:pPr>
      <w:r>
        <w:rPr>
          <w:rFonts w:hint="eastAsia" w:ascii="宋体" w:hAnsi="宋体" w:cs="宋体"/>
          <w:color w:val="000000"/>
          <w:kern w:val="0"/>
          <w:szCs w:val="21"/>
        </w:rPr>
        <w:t>指标解释：对比实施方案中的绩效目标等，计算生态修复工程完成的面积比例。</w:t>
      </w:r>
    </w:p>
    <w:p w14:paraId="02C767AA">
      <w:pPr>
        <w:widowControl/>
        <w:ind w:firstLine="420" w:firstLineChars="200"/>
        <w:jc w:val="left"/>
        <w:rPr>
          <w:rFonts w:hint="eastAsia" w:ascii="宋体" w:hAnsi="宋体" w:cs="宋体"/>
          <w:color w:val="000000"/>
          <w:kern w:val="0"/>
          <w:szCs w:val="21"/>
        </w:rPr>
      </w:pPr>
      <w:r>
        <w:rPr>
          <w:rFonts w:hint="eastAsia" w:ascii="宋体" w:hAnsi="宋体" w:cs="宋体"/>
          <w:color w:val="000000"/>
          <w:kern w:val="0"/>
          <w:szCs w:val="21"/>
        </w:rPr>
        <w:t>获取方法：工程实施方案、规划设计、验收材料和现场调查。</w:t>
      </w:r>
    </w:p>
    <w:p w14:paraId="36E09BE8">
      <w:pPr>
        <w:pStyle w:val="79"/>
        <w:numPr>
          <w:ilvl w:val="2"/>
          <w:numId w:val="5"/>
        </w:numPr>
        <w:spacing w:before="312" w:after="312"/>
        <w:outlineLvl w:val="9"/>
        <w:rPr>
          <w:rFonts w:hint="eastAsia" w:hAnsi="黑体"/>
          <w:color w:val="000000"/>
          <w:kern w:val="0"/>
        </w:rPr>
      </w:pPr>
      <w:bookmarkStart w:id="192" w:name="_Toc5824"/>
      <w:bookmarkStart w:id="193" w:name="_Toc22024"/>
      <w:r>
        <w:rPr>
          <w:rFonts w:hint="eastAsia" w:hAnsi="黑体"/>
          <w:color w:val="000000"/>
          <w:kern w:val="0"/>
        </w:rPr>
        <w:t>单位面积修复成本</w:t>
      </w:r>
      <w:bookmarkEnd w:id="192"/>
      <w:bookmarkEnd w:id="193"/>
    </w:p>
    <w:p w14:paraId="61C9E122">
      <w:pPr>
        <w:widowControl/>
        <w:ind w:firstLine="420" w:firstLineChars="200"/>
        <w:jc w:val="left"/>
        <w:rPr>
          <w:rFonts w:hint="eastAsia" w:ascii="宋体" w:hAnsi="宋体" w:cs="宋体"/>
          <w:color w:val="000000"/>
          <w:kern w:val="0"/>
          <w:szCs w:val="21"/>
        </w:rPr>
      </w:pPr>
      <w:r>
        <w:rPr>
          <w:rFonts w:hint="eastAsia" w:ascii="宋体" w:hAnsi="宋体" w:cs="宋体"/>
          <w:color w:val="000000"/>
          <w:kern w:val="0"/>
          <w:szCs w:val="21"/>
        </w:rPr>
        <w:t>指标解释：生态保护修复中单位面积花费的金额。</w:t>
      </w:r>
    </w:p>
    <w:p w14:paraId="18CEBBA2">
      <w:pPr>
        <w:widowControl/>
        <w:ind w:firstLine="420" w:firstLineChars="200"/>
        <w:jc w:val="left"/>
        <w:rPr>
          <w:rFonts w:hint="eastAsia" w:ascii="宋体" w:hAnsi="宋体" w:cs="宋体"/>
          <w:color w:val="000000"/>
          <w:kern w:val="0"/>
          <w:szCs w:val="21"/>
        </w:rPr>
      </w:pPr>
      <w:r>
        <w:rPr>
          <w:rFonts w:hint="eastAsia" w:ascii="宋体" w:hAnsi="宋体" w:cs="宋体"/>
          <w:color w:val="000000"/>
          <w:kern w:val="0"/>
          <w:szCs w:val="21"/>
        </w:rPr>
        <w:t>获取方法：工程实施方案、规划设计、验收材料和现场调查。</w:t>
      </w:r>
    </w:p>
    <w:p w14:paraId="4E00E701">
      <w:pPr>
        <w:pStyle w:val="79"/>
        <w:numPr>
          <w:ilvl w:val="2"/>
          <w:numId w:val="5"/>
        </w:numPr>
        <w:spacing w:before="312" w:after="312"/>
        <w:outlineLvl w:val="9"/>
        <w:rPr>
          <w:rFonts w:hint="eastAsia" w:hAnsi="黑体"/>
          <w:color w:val="000000"/>
          <w:kern w:val="0"/>
        </w:rPr>
      </w:pPr>
      <w:bookmarkStart w:id="194" w:name="_Toc6653"/>
      <w:bookmarkStart w:id="195" w:name="_Toc5816"/>
      <w:r>
        <w:rPr>
          <w:rFonts w:hint="eastAsia" w:hAnsi="黑体"/>
          <w:color w:val="000000"/>
          <w:kern w:val="0"/>
        </w:rPr>
        <w:t>管护责任人数目</w:t>
      </w:r>
      <w:bookmarkEnd w:id="194"/>
      <w:bookmarkEnd w:id="195"/>
    </w:p>
    <w:p w14:paraId="13AAF133">
      <w:pPr>
        <w:widowControl/>
        <w:ind w:firstLine="420" w:firstLineChars="200"/>
        <w:jc w:val="left"/>
        <w:rPr>
          <w:rFonts w:hint="eastAsia" w:ascii="宋体" w:hAnsi="宋体" w:cs="宋体"/>
          <w:color w:val="000000"/>
          <w:kern w:val="0"/>
          <w:szCs w:val="21"/>
        </w:rPr>
      </w:pPr>
      <w:r>
        <w:rPr>
          <w:rFonts w:hint="eastAsia" w:ascii="宋体" w:hAnsi="宋体" w:cs="宋体"/>
          <w:color w:val="000000"/>
          <w:kern w:val="0"/>
          <w:szCs w:val="21"/>
        </w:rPr>
        <w:t>指标解释：生态修复工程后期管护负责人的数量。</w:t>
      </w:r>
    </w:p>
    <w:p w14:paraId="1FF3F138">
      <w:pPr>
        <w:widowControl/>
        <w:ind w:firstLine="420" w:firstLineChars="200"/>
        <w:jc w:val="left"/>
        <w:rPr>
          <w:rFonts w:hint="eastAsia" w:ascii="宋体" w:hAnsi="宋体" w:cs="宋体"/>
          <w:color w:val="000000"/>
          <w:kern w:val="0"/>
          <w:szCs w:val="21"/>
        </w:rPr>
      </w:pPr>
      <w:r>
        <w:rPr>
          <w:rFonts w:hint="eastAsia" w:ascii="宋体" w:hAnsi="宋体" w:cs="宋体"/>
          <w:color w:val="000000"/>
          <w:kern w:val="0"/>
          <w:szCs w:val="21"/>
        </w:rPr>
        <w:t>获取方法：现场调查，统计、财政、自然资源等部门资料。</w:t>
      </w:r>
    </w:p>
    <w:p w14:paraId="6C79B3F4">
      <w:pPr>
        <w:pStyle w:val="79"/>
        <w:numPr>
          <w:ilvl w:val="2"/>
          <w:numId w:val="5"/>
        </w:numPr>
        <w:spacing w:before="312" w:after="312"/>
        <w:outlineLvl w:val="9"/>
        <w:rPr>
          <w:rFonts w:hint="eastAsia" w:hAnsi="黑体"/>
          <w:color w:val="000000"/>
          <w:kern w:val="0"/>
        </w:rPr>
      </w:pPr>
      <w:bookmarkStart w:id="196" w:name="_Toc28040"/>
      <w:bookmarkStart w:id="197" w:name="_Toc2865"/>
      <w:r>
        <w:rPr>
          <w:rFonts w:hint="eastAsia" w:hAnsi="黑体"/>
          <w:color w:val="000000"/>
          <w:kern w:val="0"/>
        </w:rPr>
        <w:t>管护经费数额</w:t>
      </w:r>
      <w:bookmarkEnd w:id="196"/>
      <w:bookmarkEnd w:id="197"/>
    </w:p>
    <w:p w14:paraId="13F983D7">
      <w:pPr>
        <w:widowControl/>
        <w:ind w:firstLine="420" w:firstLineChars="200"/>
        <w:jc w:val="left"/>
        <w:rPr>
          <w:rFonts w:hint="eastAsia" w:ascii="宋体" w:hAnsi="宋体" w:cs="宋体"/>
          <w:color w:val="000000"/>
          <w:kern w:val="0"/>
          <w:szCs w:val="21"/>
        </w:rPr>
      </w:pPr>
      <w:r>
        <w:rPr>
          <w:rFonts w:hint="eastAsia" w:ascii="宋体" w:hAnsi="宋体" w:cs="宋体"/>
          <w:color w:val="000000"/>
          <w:kern w:val="0"/>
          <w:szCs w:val="21"/>
        </w:rPr>
        <w:t>指标解释：生态修复工程后期管护所有花费的经费。</w:t>
      </w:r>
    </w:p>
    <w:p w14:paraId="66438DAB">
      <w:pPr>
        <w:widowControl/>
        <w:ind w:firstLine="420" w:firstLineChars="200"/>
        <w:jc w:val="left"/>
        <w:rPr>
          <w:rFonts w:hint="eastAsia" w:ascii="宋体" w:hAnsi="宋体" w:cs="宋体"/>
          <w:color w:val="000000"/>
          <w:kern w:val="0"/>
          <w:szCs w:val="21"/>
        </w:rPr>
      </w:pPr>
      <w:r>
        <w:rPr>
          <w:rFonts w:hint="eastAsia" w:ascii="宋体" w:hAnsi="宋体" w:cs="宋体"/>
          <w:color w:val="000000"/>
          <w:kern w:val="0"/>
          <w:szCs w:val="21"/>
        </w:rPr>
        <w:t>获取方法：现场调查，统计、财政、自然资源等部门资料。</w:t>
      </w:r>
    </w:p>
    <w:p w14:paraId="489ECCA9">
      <w:pPr>
        <w:pStyle w:val="79"/>
        <w:numPr>
          <w:ilvl w:val="1"/>
          <w:numId w:val="5"/>
        </w:numPr>
        <w:spacing w:before="312" w:after="312"/>
      </w:pPr>
      <w:bookmarkStart w:id="198" w:name="_Toc2269"/>
      <w:r>
        <w:rPr>
          <w:rFonts w:hint="eastAsia"/>
        </w:rPr>
        <w:t>社会成效监测指标体系</w:t>
      </w:r>
      <w:bookmarkEnd w:id="198"/>
    </w:p>
    <w:bookmarkEnd w:id="186"/>
    <w:bookmarkEnd w:id="187"/>
    <w:bookmarkEnd w:id="188"/>
    <w:bookmarkEnd w:id="189"/>
    <w:p w14:paraId="0F1E4CAF">
      <w:pPr>
        <w:pStyle w:val="79"/>
        <w:numPr>
          <w:ilvl w:val="2"/>
          <w:numId w:val="5"/>
        </w:numPr>
        <w:spacing w:before="312" w:after="312"/>
        <w:outlineLvl w:val="9"/>
        <w:rPr>
          <w:rFonts w:hint="eastAsia" w:hAnsi="黑体"/>
          <w:color w:val="000000"/>
          <w:kern w:val="0"/>
        </w:rPr>
      </w:pPr>
      <w:bookmarkStart w:id="199" w:name="_Toc18196"/>
      <w:bookmarkStart w:id="200" w:name="_Toc5400"/>
      <w:bookmarkStart w:id="201" w:name="_Toc27542"/>
      <w:bookmarkStart w:id="202" w:name="_Toc283"/>
      <w:r>
        <w:rPr>
          <w:rFonts w:hint="eastAsia" w:hAnsi="黑体"/>
          <w:color w:val="000000"/>
          <w:kern w:val="0"/>
        </w:rPr>
        <w:t>本地居民满意度</w:t>
      </w:r>
      <w:bookmarkEnd w:id="199"/>
      <w:bookmarkEnd w:id="200"/>
      <w:bookmarkEnd w:id="201"/>
      <w:bookmarkEnd w:id="202"/>
    </w:p>
    <w:p w14:paraId="18708E86">
      <w:pPr>
        <w:widowControl/>
        <w:ind w:firstLine="420" w:firstLineChars="200"/>
        <w:jc w:val="left"/>
        <w:rPr>
          <w:rFonts w:hint="eastAsia" w:ascii="宋体" w:hAnsi="宋体" w:cs="宋体"/>
          <w:color w:val="000000"/>
          <w:kern w:val="0"/>
          <w:szCs w:val="21"/>
        </w:rPr>
      </w:pPr>
      <w:r>
        <w:rPr>
          <w:rFonts w:hint="eastAsia" w:ascii="宋体" w:hAnsi="宋体" w:cs="宋体"/>
          <w:color w:val="000000"/>
          <w:kern w:val="0"/>
          <w:szCs w:val="21"/>
        </w:rPr>
        <w:t>指标解释：了解本地居民对工程实施成效的满意人数占总调查人数的比例。</w:t>
      </w:r>
    </w:p>
    <w:p w14:paraId="31185FF4">
      <w:pPr>
        <w:widowControl/>
        <w:ind w:firstLine="420" w:firstLineChars="200"/>
        <w:jc w:val="left"/>
        <w:rPr>
          <w:rFonts w:hint="eastAsia" w:ascii="宋体" w:hAnsi="宋体" w:cs="宋体"/>
          <w:color w:val="000000"/>
          <w:kern w:val="0"/>
          <w:szCs w:val="21"/>
        </w:rPr>
      </w:pPr>
      <w:r>
        <w:rPr>
          <w:rFonts w:hint="eastAsia" w:ascii="宋体" w:hAnsi="宋体" w:cs="宋体"/>
          <w:color w:val="000000"/>
          <w:kern w:val="0"/>
          <w:szCs w:val="21"/>
        </w:rPr>
        <w:t>获取方法：统计数据和现场调查。</w:t>
      </w:r>
    </w:p>
    <w:p w14:paraId="0F25F31A">
      <w:pPr>
        <w:pStyle w:val="79"/>
        <w:numPr>
          <w:ilvl w:val="2"/>
          <w:numId w:val="5"/>
        </w:numPr>
        <w:spacing w:before="312" w:after="312"/>
        <w:outlineLvl w:val="9"/>
        <w:rPr>
          <w:rFonts w:hint="eastAsia" w:hAnsi="黑体"/>
          <w:color w:val="000000"/>
          <w:kern w:val="0"/>
        </w:rPr>
      </w:pPr>
      <w:bookmarkStart w:id="203" w:name="_Toc15978"/>
      <w:bookmarkStart w:id="204" w:name="_Toc25003"/>
      <w:bookmarkStart w:id="205" w:name="_Toc14490"/>
      <w:bookmarkStart w:id="206" w:name="_Toc588"/>
      <w:r>
        <w:rPr>
          <w:rFonts w:hint="eastAsia" w:hAnsi="黑体"/>
          <w:color w:val="000000"/>
          <w:kern w:val="0"/>
        </w:rPr>
        <w:t>本地居民参与</w:t>
      </w:r>
      <w:bookmarkEnd w:id="203"/>
      <w:bookmarkEnd w:id="204"/>
      <w:r>
        <w:rPr>
          <w:rFonts w:hint="eastAsia" w:hAnsi="黑体"/>
          <w:color w:val="000000"/>
          <w:kern w:val="0"/>
        </w:rPr>
        <w:t>率</w:t>
      </w:r>
      <w:bookmarkEnd w:id="205"/>
      <w:bookmarkEnd w:id="206"/>
    </w:p>
    <w:p w14:paraId="3DEBEFA8">
      <w:pPr>
        <w:widowControl/>
        <w:ind w:firstLine="420" w:firstLineChars="200"/>
        <w:jc w:val="left"/>
        <w:rPr>
          <w:rFonts w:hint="eastAsia" w:ascii="宋体" w:hAnsi="宋体" w:cs="宋体"/>
          <w:color w:val="000000"/>
          <w:kern w:val="0"/>
          <w:szCs w:val="21"/>
        </w:rPr>
      </w:pPr>
      <w:r>
        <w:rPr>
          <w:rFonts w:hint="eastAsia" w:ascii="宋体" w:hAnsi="宋体" w:cs="宋体"/>
          <w:color w:val="000000"/>
          <w:kern w:val="0"/>
          <w:szCs w:val="21"/>
        </w:rPr>
        <w:t>指标解释：采取定量与定性结合的方法，了解生态保护修复工程规划、实施、验收、管护等环节本地居民的参与人数占总人数的比例。</w:t>
      </w:r>
    </w:p>
    <w:p w14:paraId="1F55D740">
      <w:pPr>
        <w:widowControl/>
        <w:ind w:firstLine="420" w:firstLineChars="200"/>
        <w:jc w:val="left"/>
        <w:rPr>
          <w:rFonts w:hint="eastAsia" w:ascii="宋体" w:hAnsi="宋体" w:cs="宋体"/>
          <w:color w:val="000000"/>
          <w:kern w:val="0"/>
          <w:szCs w:val="21"/>
        </w:rPr>
      </w:pPr>
      <w:r>
        <w:rPr>
          <w:rFonts w:hint="eastAsia" w:ascii="宋体" w:hAnsi="宋体" w:cs="宋体"/>
          <w:color w:val="000000"/>
          <w:kern w:val="0"/>
          <w:szCs w:val="21"/>
        </w:rPr>
        <w:t>获取方法：现场调查、访谈和数据统计。</w:t>
      </w:r>
    </w:p>
    <w:p w14:paraId="3B2F7636">
      <w:pPr>
        <w:pStyle w:val="79"/>
        <w:numPr>
          <w:ilvl w:val="2"/>
          <w:numId w:val="5"/>
        </w:numPr>
        <w:spacing w:before="312" w:after="312"/>
        <w:outlineLvl w:val="9"/>
        <w:rPr>
          <w:rFonts w:hint="eastAsia" w:hAnsi="黑体"/>
          <w:color w:val="000000"/>
          <w:kern w:val="0"/>
        </w:rPr>
      </w:pPr>
      <w:bookmarkStart w:id="207" w:name="_Toc18416"/>
      <w:bookmarkStart w:id="208" w:name="_Toc30710"/>
      <w:r>
        <w:rPr>
          <w:rFonts w:hint="eastAsia" w:hAnsi="黑体"/>
          <w:color w:val="000000"/>
          <w:kern w:val="0"/>
        </w:rPr>
        <w:t>环境改善受惠率</w:t>
      </w:r>
      <w:bookmarkEnd w:id="207"/>
      <w:bookmarkEnd w:id="208"/>
    </w:p>
    <w:p w14:paraId="26D6C5CB">
      <w:pPr>
        <w:widowControl/>
        <w:ind w:firstLine="420" w:firstLineChars="200"/>
        <w:jc w:val="left"/>
        <w:rPr>
          <w:rFonts w:hint="eastAsia" w:ascii="宋体" w:hAnsi="宋体" w:cs="宋体"/>
          <w:color w:val="000000"/>
          <w:kern w:val="0"/>
          <w:szCs w:val="21"/>
        </w:rPr>
      </w:pPr>
      <w:r>
        <w:rPr>
          <w:rFonts w:hint="eastAsia" w:ascii="宋体" w:hAnsi="宋体" w:cs="宋体"/>
          <w:color w:val="000000"/>
          <w:kern w:val="0"/>
          <w:szCs w:val="21"/>
        </w:rPr>
        <w:t>指标解释：采取定量与定性结合的方法，了解因生态保护修复工程受惠的人数占总人数。</w:t>
      </w:r>
    </w:p>
    <w:p w14:paraId="186EBDDD">
      <w:pPr>
        <w:widowControl/>
        <w:ind w:firstLine="420" w:firstLineChars="200"/>
        <w:jc w:val="left"/>
        <w:rPr>
          <w:rFonts w:hint="eastAsia" w:ascii="宋体" w:hAnsi="宋体" w:cs="宋体"/>
          <w:color w:val="000000"/>
          <w:kern w:val="0"/>
          <w:szCs w:val="21"/>
        </w:rPr>
      </w:pPr>
      <w:r>
        <w:rPr>
          <w:rFonts w:hint="eastAsia" w:ascii="宋体" w:hAnsi="宋体" w:cs="宋体"/>
          <w:color w:val="000000"/>
          <w:kern w:val="0"/>
          <w:szCs w:val="21"/>
        </w:rPr>
        <w:t>获取方法：现场调查、访谈和数据统计。</w:t>
      </w:r>
    </w:p>
    <w:p w14:paraId="6B7674D7">
      <w:pPr>
        <w:pStyle w:val="79"/>
        <w:numPr>
          <w:ilvl w:val="2"/>
          <w:numId w:val="5"/>
        </w:numPr>
        <w:spacing w:before="312" w:after="312"/>
        <w:outlineLvl w:val="9"/>
        <w:rPr>
          <w:rFonts w:hint="eastAsia" w:hAnsi="黑体"/>
          <w:color w:val="000000"/>
          <w:kern w:val="0"/>
        </w:rPr>
      </w:pPr>
      <w:bookmarkStart w:id="209" w:name="_Toc7574"/>
      <w:bookmarkStart w:id="210" w:name="_Toc784"/>
      <w:r>
        <w:rPr>
          <w:rFonts w:hint="eastAsia" w:hAnsi="黑体"/>
          <w:color w:val="000000"/>
          <w:kern w:val="0"/>
        </w:rPr>
        <w:t>新增就业岗位百分比</w:t>
      </w:r>
      <w:bookmarkEnd w:id="209"/>
      <w:bookmarkEnd w:id="210"/>
    </w:p>
    <w:p w14:paraId="3A6D46BB">
      <w:pPr>
        <w:widowControl/>
        <w:ind w:firstLine="420" w:firstLineChars="200"/>
        <w:jc w:val="left"/>
        <w:rPr>
          <w:rFonts w:hint="eastAsia" w:ascii="宋体" w:hAnsi="宋体" w:cs="宋体"/>
          <w:color w:val="000000"/>
          <w:kern w:val="0"/>
          <w:szCs w:val="21"/>
        </w:rPr>
      </w:pPr>
      <w:r>
        <w:rPr>
          <w:rFonts w:hint="eastAsia" w:ascii="宋体" w:hAnsi="宋体" w:cs="宋体"/>
          <w:color w:val="000000"/>
          <w:kern w:val="0"/>
          <w:szCs w:val="21"/>
        </w:rPr>
        <w:t>指标解释：采取定量与定性结合的方法，了解工程实施新增的就业岗位数量占总岗位的比例。</w:t>
      </w:r>
    </w:p>
    <w:p w14:paraId="0D3F39B2">
      <w:pPr>
        <w:widowControl/>
        <w:ind w:firstLine="420" w:firstLineChars="200"/>
        <w:jc w:val="left"/>
        <w:rPr>
          <w:rFonts w:hint="eastAsia" w:ascii="宋体" w:hAnsi="宋体" w:cs="宋体"/>
          <w:color w:val="000000"/>
          <w:kern w:val="0"/>
          <w:szCs w:val="21"/>
        </w:rPr>
      </w:pPr>
      <w:r>
        <w:rPr>
          <w:rFonts w:hint="eastAsia" w:ascii="宋体" w:hAnsi="宋体" w:cs="宋体"/>
          <w:color w:val="000000"/>
          <w:kern w:val="0"/>
          <w:szCs w:val="21"/>
        </w:rPr>
        <w:t>获取方法：现场调查，统计、财政、自然资源等部门资料。</w:t>
      </w:r>
    </w:p>
    <w:p w14:paraId="4D951943">
      <w:pPr>
        <w:pStyle w:val="79"/>
        <w:numPr>
          <w:ilvl w:val="2"/>
          <w:numId w:val="5"/>
        </w:numPr>
        <w:spacing w:before="312" w:after="312"/>
        <w:outlineLvl w:val="9"/>
        <w:rPr>
          <w:rFonts w:hint="eastAsia" w:hAnsi="黑体"/>
          <w:color w:val="000000"/>
          <w:kern w:val="0"/>
        </w:rPr>
      </w:pPr>
      <w:bookmarkStart w:id="211" w:name="_Toc13942"/>
      <w:bookmarkStart w:id="212" w:name="_Toc15560"/>
      <w:r>
        <w:rPr>
          <w:rFonts w:hint="eastAsia" w:hAnsi="黑体"/>
          <w:color w:val="000000"/>
          <w:kern w:val="0"/>
        </w:rPr>
        <w:t>生态步道数量</w:t>
      </w:r>
      <w:bookmarkEnd w:id="211"/>
      <w:bookmarkEnd w:id="212"/>
    </w:p>
    <w:p w14:paraId="6BF6F0A2">
      <w:pPr>
        <w:widowControl/>
        <w:ind w:firstLine="420" w:firstLineChars="200"/>
        <w:jc w:val="left"/>
        <w:rPr>
          <w:rFonts w:hint="eastAsia" w:ascii="宋体" w:hAnsi="宋体" w:cs="宋体"/>
          <w:color w:val="000000"/>
          <w:kern w:val="0"/>
          <w:szCs w:val="21"/>
        </w:rPr>
      </w:pPr>
      <w:r>
        <w:rPr>
          <w:rFonts w:hint="eastAsia" w:ascii="宋体" w:hAnsi="宋体" w:cs="宋体"/>
          <w:color w:val="000000"/>
          <w:kern w:val="0"/>
          <w:szCs w:val="21"/>
        </w:rPr>
        <w:t>指标解释：采取定量与定性结合的方法，了解工程实施新增的生态步道数量。</w:t>
      </w:r>
    </w:p>
    <w:p w14:paraId="7B7A7A1F">
      <w:pPr>
        <w:widowControl/>
        <w:ind w:firstLine="420" w:firstLineChars="200"/>
        <w:jc w:val="left"/>
        <w:rPr>
          <w:rFonts w:hint="eastAsia" w:ascii="宋体" w:hAnsi="宋体" w:cs="宋体"/>
          <w:color w:val="000000"/>
          <w:kern w:val="0"/>
          <w:szCs w:val="21"/>
        </w:rPr>
      </w:pPr>
      <w:r>
        <w:rPr>
          <w:rFonts w:hint="eastAsia" w:ascii="宋体" w:hAnsi="宋体" w:cs="宋体"/>
          <w:color w:val="000000"/>
          <w:kern w:val="0"/>
          <w:szCs w:val="21"/>
        </w:rPr>
        <w:t>获取方法：现场调查，统计、财政、自然资源等部门资料。</w:t>
      </w:r>
    </w:p>
    <w:p w14:paraId="24AC0075">
      <w:pPr>
        <w:pStyle w:val="79"/>
        <w:numPr>
          <w:ilvl w:val="2"/>
          <w:numId w:val="5"/>
        </w:numPr>
        <w:spacing w:before="312" w:after="312"/>
        <w:outlineLvl w:val="9"/>
        <w:rPr>
          <w:rFonts w:hint="eastAsia" w:hAnsi="黑体"/>
          <w:color w:val="000000"/>
          <w:kern w:val="0"/>
        </w:rPr>
      </w:pPr>
      <w:bookmarkStart w:id="213" w:name="_Toc4894"/>
      <w:bookmarkStart w:id="214" w:name="_Toc15728"/>
      <w:r>
        <w:rPr>
          <w:rFonts w:hint="eastAsia" w:hAnsi="黑体"/>
          <w:color w:val="000000"/>
          <w:kern w:val="0"/>
        </w:rPr>
        <w:t>科普站点数量</w:t>
      </w:r>
      <w:bookmarkEnd w:id="213"/>
      <w:bookmarkEnd w:id="214"/>
    </w:p>
    <w:p w14:paraId="759A5275">
      <w:pPr>
        <w:widowControl/>
        <w:ind w:firstLine="420" w:firstLineChars="200"/>
        <w:jc w:val="left"/>
        <w:rPr>
          <w:rFonts w:hint="eastAsia" w:ascii="宋体" w:hAnsi="宋体" w:cs="宋体"/>
          <w:color w:val="000000"/>
          <w:kern w:val="0"/>
          <w:szCs w:val="21"/>
        </w:rPr>
      </w:pPr>
      <w:r>
        <w:rPr>
          <w:rFonts w:hint="eastAsia" w:ascii="宋体" w:hAnsi="宋体" w:cs="宋体"/>
          <w:color w:val="000000"/>
          <w:kern w:val="0"/>
          <w:szCs w:val="21"/>
        </w:rPr>
        <w:t>指标解释：采取定量与定性结合的方法，了解工程实施新增的生态科普站点、解说牌等科普设施的数量。</w:t>
      </w:r>
    </w:p>
    <w:p w14:paraId="3C5A370F">
      <w:pPr>
        <w:widowControl/>
        <w:ind w:firstLine="420" w:firstLineChars="200"/>
        <w:jc w:val="left"/>
        <w:rPr>
          <w:rFonts w:hint="eastAsia" w:ascii="宋体" w:hAnsi="宋体" w:cs="宋体"/>
          <w:color w:val="000000"/>
          <w:kern w:val="0"/>
          <w:szCs w:val="21"/>
        </w:rPr>
      </w:pPr>
      <w:r>
        <w:rPr>
          <w:rFonts w:hint="eastAsia" w:ascii="宋体" w:hAnsi="宋体" w:cs="宋体"/>
          <w:color w:val="000000"/>
          <w:kern w:val="0"/>
          <w:szCs w:val="21"/>
        </w:rPr>
        <w:t>获取方法：现场调查，统计、财政、自然资源等部门资料。</w:t>
      </w:r>
    </w:p>
    <w:p w14:paraId="6BFF0B4B">
      <w:pPr>
        <w:pStyle w:val="79"/>
        <w:numPr>
          <w:ilvl w:val="1"/>
          <w:numId w:val="5"/>
        </w:numPr>
        <w:spacing w:before="312" w:after="312"/>
        <w:rPr>
          <w:color w:val="000000"/>
          <w:kern w:val="0"/>
        </w:rPr>
      </w:pPr>
      <w:bookmarkStart w:id="215" w:name="_Toc6045"/>
      <w:r>
        <w:rPr>
          <w:rFonts w:hint="eastAsia"/>
          <w:color w:val="000000"/>
          <w:kern w:val="0"/>
        </w:rPr>
        <w:t>经济成效监测指标体系</w:t>
      </w:r>
      <w:bookmarkEnd w:id="215"/>
    </w:p>
    <w:p w14:paraId="32613C13">
      <w:pPr>
        <w:pStyle w:val="79"/>
        <w:numPr>
          <w:ilvl w:val="2"/>
          <w:numId w:val="5"/>
        </w:numPr>
        <w:spacing w:before="312" w:after="312"/>
        <w:outlineLvl w:val="9"/>
        <w:rPr>
          <w:rFonts w:hint="eastAsia" w:hAnsi="黑体"/>
          <w:color w:val="000000"/>
          <w:kern w:val="0"/>
        </w:rPr>
      </w:pPr>
      <w:bookmarkStart w:id="216" w:name="_Toc24955"/>
      <w:bookmarkStart w:id="217" w:name="_Toc29258"/>
      <w:r>
        <w:rPr>
          <w:rFonts w:hint="eastAsia" w:hAnsi="黑体"/>
          <w:color w:val="000000"/>
          <w:kern w:val="0"/>
        </w:rPr>
        <w:t>本地居民人均可支配收入</w:t>
      </w:r>
      <w:bookmarkEnd w:id="216"/>
      <w:bookmarkEnd w:id="217"/>
    </w:p>
    <w:p w14:paraId="574A7A3F">
      <w:pPr>
        <w:widowControl/>
        <w:ind w:firstLine="420" w:firstLineChars="200"/>
        <w:jc w:val="left"/>
        <w:rPr>
          <w:rFonts w:hint="eastAsia" w:ascii="宋体" w:hAnsi="宋体" w:cs="宋体"/>
          <w:color w:val="000000"/>
          <w:kern w:val="0"/>
          <w:szCs w:val="21"/>
        </w:rPr>
      </w:pPr>
      <w:r>
        <w:rPr>
          <w:rFonts w:hint="eastAsia" w:ascii="宋体" w:hAnsi="宋体" w:cs="宋体"/>
          <w:color w:val="000000"/>
          <w:kern w:val="0"/>
          <w:szCs w:val="21"/>
        </w:rPr>
        <w:t>指标解释：采取定量与定性结合的方法，了解本地居民人均可支配收入。</w:t>
      </w:r>
    </w:p>
    <w:p w14:paraId="5F409874">
      <w:pPr>
        <w:widowControl/>
        <w:ind w:firstLine="420" w:firstLineChars="200"/>
        <w:jc w:val="left"/>
        <w:rPr>
          <w:rFonts w:hint="eastAsia" w:ascii="宋体" w:hAnsi="宋体" w:cs="宋体"/>
          <w:color w:val="000000"/>
          <w:kern w:val="0"/>
          <w:szCs w:val="21"/>
        </w:rPr>
      </w:pPr>
      <w:r>
        <w:rPr>
          <w:rFonts w:hint="eastAsia" w:ascii="宋体" w:hAnsi="宋体" w:cs="宋体"/>
          <w:color w:val="000000"/>
          <w:kern w:val="0"/>
          <w:szCs w:val="21"/>
        </w:rPr>
        <w:t>获取方法：现场调查，统计、财政、自然资源等部门资料。</w:t>
      </w:r>
    </w:p>
    <w:p w14:paraId="4C25849D">
      <w:pPr>
        <w:pStyle w:val="79"/>
        <w:numPr>
          <w:ilvl w:val="2"/>
          <w:numId w:val="5"/>
        </w:numPr>
        <w:spacing w:before="312" w:after="312"/>
        <w:outlineLvl w:val="9"/>
        <w:rPr>
          <w:rFonts w:hint="eastAsia" w:hAnsi="黑体"/>
          <w:color w:val="000000"/>
          <w:kern w:val="0"/>
        </w:rPr>
      </w:pPr>
      <w:bookmarkStart w:id="218" w:name="_Toc2414"/>
      <w:bookmarkStart w:id="219" w:name="_Toc23405"/>
      <w:r>
        <w:rPr>
          <w:rFonts w:hint="eastAsia" w:hAnsi="黑体"/>
          <w:color w:val="000000"/>
          <w:kern w:val="0"/>
        </w:rPr>
        <w:t>本地农林牧渔业总产值</w:t>
      </w:r>
      <w:bookmarkEnd w:id="218"/>
      <w:bookmarkEnd w:id="219"/>
    </w:p>
    <w:p w14:paraId="565D5925">
      <w:pPr>
        <w:widowControl/>
        <w:ind w:firstLine="420" w:firstLineChars="200"/>
        <w:jc w:val="left"/>
        <w:rPr>
          <w:rFonts w:hint="eastAsia" w:ascii="宋体" w:hAnsi="宋体" w:cs="宋体"/>
          <w:color w:val="000000"/>
          <w:kern w:val="0"/>
          <w:szCs w:val="21"/>
        </w:rPr>
      </w:pPr>
      <w:r>
        <w:rPr>
          <w:rFonts w:hint="eastAsia" w:ascii="宋体" w:hAnsi="宋体" w:cs="宋体"/>
          <w:color w:val="000000"/>
          <w:kern w:val="0"/>
          <w:szCs w:val="21"/>
        </w:rPr>
        <w:t>指标解释：采取定量与定性结合的方法，了解本地农林牧渔业总产值。</w:t>
      </w:r>
    </w:p>
    <w:p w14:paraId="5631BFAD">
      <w:pPr>
        <w:widowControl/>
        <w:ind w:firstLine="420" w:firstLineChars="200"/>
        <w:jc w:val="left"/>
        <w:rPr>
          <w:rFonts w:hint="eastAsia" w:ascii="宋体" w:hAnsi="宋体" w:cs="宋体"/>
          <w:color w:val="000000"/>
          <w:kern w:val="0"/>
          <w:szCs w:val="21"/>
        </w:rPr>
      </w:pPr>
      <w:r>
        <w:rPr>
          <w:rFonts w:hint="eastAsia" w:ascii="宋体" w:hAnsi="宋体" w:cs="宋体"/>
          <w:color w:val="000000"/>
          <w:kern w:val="0"/>
          <w:szCs w:val="21"/>
        </w:rPr>
        <w:t>获取方法：现场调查，统计、财政、自然资源等部门资料。</w:t>
      </w:r>
    </w:p>
    <w:p w14:paraId="4D932484">
      <w:pPr>
        <w:pStyle w:val="79"/>
        <w:numPr>
          <w:ilvl w:val="2"/>
          <w:numId w:val="5"/>
        </w:numPr>
        <w:spacing w:before="312" w:after="312"/>
        <w:outlineLvl w:val="9"/>
        <w:rPr>
          <w:rFonts w:hint="eastAsia" w:hAnsi="黑体"/>
          <w:color w:val="000000"/>
          <w:kern w:val="0"/>
        </w:rPr>
      </w:pPr>
      <w:bookmarkStart w:id="220" w:name="_Toc1223"/>
      <w:bookmarkStart w:id="221" w:name="_Toc28553"/>
      <w:r>
        <w:rPr>
          <w:rFonts w:hint="eastAsia" w:hAnsi="黑体"/>
          <w:color w:val="000000"/>
          <w:kern w:val="0"/>
        </w:rPr>
        <w:t>农产品生产价值</w:t>
      </w:r>
      <w:bookmarkEnd w:id="220"/>
      <w:bookmarkEnd w:id="221"/>
    </w:p>
    <w:p w14:paraId="20ECBF89">
      <w:pPr>
        <w:widowControl/>
        <w:ind w:firstLine="420" w:firstLineChars="200"/>
        <w:jc w:val="left"/>
        <w:rPr>
          <w:rFonts w:hint="eastAsia" w:ascii="宋体" w:hAnsi="宋体" w:cs="宋体"/>
          <w:color w:val="000000"/>
          <w:kern w:val="0"/>
          <w:szCs w:val="21"/>
        </w:rPr>
      </w:pPr>
      <w:r>
        <w:rPr>
          <w:rFonts w:hint="eastAsia" w:ascii="宋体" w:hAnsi="宋体" w:cs="宋体"/>
          <w:color w:val="000000"/>
          <w:kern w:val="0"/>
          <w:szCs w:val="21"/>
        </w:rPr>
        <w:t>指标解释：监测范围内农产品的生产价值。</w:t>
      </w:r>
    </w:p>
    <w:p w14:paraId="357CAD9B">
      <w:pPr>
        <w:widowControl/>
        <w:ind w:firstLine="420" w:firstLineChars="200"/>
        <w:jc w:val="left"/>
        <w:rPr>
          <w:rFonts w:hint="eastAsia" w:ascii="宋体" w:hAnsi="宋体" w:cs="宋体"/>
          <w:color w:val="000000"/>
          <w:kern w:val="0"/>
          <w:szCs w:val="21"/>
        </w:rPr>
      </w:pPr>
      <w:r>
        <w:rPr>
          <w:rFonts w:hint="eastAsia" w:ascii="宋体" w:hAnsi="宋体" w:cs="宋体"/>
          <w:color w:val="000000"/>
          <w:kern w:val="0"/>
          <w:szCs w:val="21"/>
        </w:rPr>
        <w:t>获取方法：遥感或现场调查，自然资源、农业农村等部门资料。</w:t>
      </w:r>
    </w:p>
    <w:p w14:paraId="0B1CEE0D">
      <w:pPr>
        <w:pStyle w:val="79"/>
        <w:numPr>
          <w:ilvl w:val="2"/>
          <w:numId w:val="5"/>
        </w:numPr>
        <w:spacing w:before="312" w:after="312"/>
        <w:outlineLvl w:val="9"/>
        <w:rPr>
          <w:rFonts w:hint="eastAsia" w:hAnsi="黑体"/>
          <w:color w:val="000000"/>
          <w:kern w:val="0"/>
        </w:rPr>
      </w:pPr>
      <w:bookmarkStart w:id="222" w:name="_Toc11797"/>
      <w:bookmarkStart w:id="223" w:name="_Toc20188"/>
      <w:bookmarkStart w:id="224" w:name="_Toc8237"/>
      <w:bookmarkStart w:id="225" w:name="_Toc22343"/>
      <w:r>
        <w:rPr>
          <w:rFonts w:hint="eastAsia" w:hAnsi="黑体"/>
          <w:color w:val="000000"/>
          <w:kern w:val="0"/>
        </w:rPr>
        <w:t>修复区土地单价</w:t>
      </w:r>
      <w:bookmarkEnd w:id="222"/>
      <w:bookmarkEnd w:id="223"/>
    </w:p>
    <w:p w14:paraId="6FE51AEC">
      <w:pPr>
        <w:widowControl/>
        <w:ind w:firstLine="420" w:firstLineChars="200"/>
        <w:jc w:val="left"/>
        <w:rPr>
          <w:rFonts w:hint="eastAsia" w:ascii="宋体" w:hAnsi="宋体" w:cs="宋体"/>
          <w:color w:val="000000"/>
          <w:kern w:val="0"/>
          <w:szCs w:val="21"/>
        </w:rPr>
      </w:pPr>
      <w:r>
        <w:rPr>
          <w:rFonts w:hint="eastAsia" w:ascii="宋体" w:hAnsi="宋体" w:cs="宋体"/>
          <w:color w:val="000000"/>
          <w:kern w:val="0"/>
          <w:szCs w:val="21"/>
        </w:rPr>
        <w:t>指标解释：监测范围内土地使用权出让/租赁的单位面积价格，反映土地增值效益。</w:t>
      </w:r>
    </w:p>
    <w:p w14:paraId="4346C466">
      <w:pPr>
        <w:widowControl/>
        <w:ind w:firstLine="420" w:firstLineChars="200"/>
        <w:jc w:val="left"/>
        <w:rPr>
          <w:rFonts w:hint="eastAsia" w:ascii="宋体" w:hAnsi="宋体" w:cs="宋体"/>
          <w:color w:val="000000"/>
          <w:kern w:val="0"/>
          <w:szCs w:val="21"/>
        </w:rPr>
      </w:pPr>
      <w:r>
        <w:rPr>
          <w:rFonts w:hint="eastAsia" w:ascii="宋体" w:hAnsi="宋体" w:cs="宋体"/>
          <w:color w:val="000000"/>
          <w:kern w:val="0"/>
          <w:szCs w:val="21"/>
        </w:rPr>
        <w:t>获取方法：统计、自然资源等部门资料。</w:t>
      </w:r>
    </w:p>
    <w:bookmarkEnd w:id="224"/>
    <w:bookmarkEnd w:id="225"/>
    <w:p w14:paraId="0CE94FDB">
      <w:pPr>
        <w:pStyle w:val="79"/>
        <w:numPr>
          <w:ilvl w:val="2"/>
          <w:numId w:val="5"/>
        </w:numPr>
        <w:spacing w:before="312" w:after="312"/>
        <w:outlineLvl w:val="9"/>
        <w:rPr>
          <w:rFonts w:hint="eastAsia" w:hAnsi="黑体"/>
          <w:color w:val="000000"/>
          <w:kern w:val="0"/>
        </w:rPr>
      </w:pPr>
      <w:bookmarkStart w:id="226" w:name="_Toc1417"/>
      <w:bookmarkStart w:id="227" w:name="_Toc15141"/>
      <w:r>
        <w:rPr>
          <w:rFonts w:hint="eastAsia" w:hAnsi="黑体"/>
          <w:color w:val="000000"/>
          <w:kern w:val="0"/>
        </w:rPr>
        <w:t>生态旅游收益</w:t>
      </w:r>
      <w:bookmarkEnd w:id="226"/>
      <w:bookmarkEnd w:id="227"/>
    </w:p>
    <w:p w14:paraId="6DA92D04">
      <w:pPr>
        <w:widowControl/>
        <w:ind w:firstLine="420" w:firstLineChars="200"/>
        <w:jc w:val="left"/>
        <w:rPr>
          <w:rFonts w:hint="eastAsia" w:ascii="宋体" w:hAnsi="宋体" w:cs="宋体"/>
          <w:color w:val="000000"/>
          <w:kern w:val="0"/>
          <w:szCs w:val="21"/>
        </w:rPr>
      </w:pPr>
      <w:r>
        <w:rPr>
          <w:rFonts w:hint="eastAsia" w:ascii="宋体" w:hAnsi="宋体" w:cs="宋体"/>
          <w:color w:val="000000"/>
          <w:kern w:val="0"/>
          <w:szCs w:val="21"/>
        </w:rPr>
        <w:t>指标解释：监测范围内生态旅游收益。</w:t>
      </w:r>
    </w:p>
    <w:p w14:paraId="0E30F5F5">
      <w:pPr>
        <w:widowControl/>
        <w:ind w:firstLine="420" w:firstLineChars="200"/>
        <w:jc w:val="left"/>
        <w:rPr>
          <w:rFonts w:hint="eastAsia" w:ascii="宋体" w:hAnsi="宋体" w:cs="宋体"/>
          <w:color w:val="000000"/>
          <w:kern w:val="0"/>
          <w:szCs w:val="21"/>
        </w:rPr>
      </w:pPr>
      <w:r>
        <w:rPr>
          <w:rFonts w:hint="eastAsia" w:ascii="宋体" w:hAnsi="宋体" w:cs="宋体"/>
          <w:color w:val="000000"/>
          <w:kern w:val="0"/>
          <w:szCs w:val="21"/>
        </w:rPr>
        <w:t>获取方法：统计、财政等部门资料。</w:t>
      </w:r>
    </w:p>
    <w:p w14:paraId="07586317">
      <w:pPr>
        <w:pStyle w:val="79"/>
        <w:numPr>
          <w:ilvl w:val="2"/>
          <w:numId w:val="5"/>
        </w:numPr>
        <w:spacing w:before="312" w:after="312"/>
        <w:outlineLvl w:val="9"/>
        <w:rPr>
          <w:rFonts w:hint="eastAsia" w:hAnsi="黑体"/>
          <w:color w:val="000000"/>
          <w:kern w:val="0"/>
        </w:rPr>
      </w:pPr>
      <w:bookmarkStart w:id="228" w:name="_Toc21719"/>
      <w:bookmarkStart w:id="229" w:name="_Toc32735"/>
      <w:r>
        <w:rPr>
          <w:rFonts w:hint="eastAsia" w:hAnsi="黑体"/>
          <w:color w:val="000000"/>
          <w:kern w:val="0"/>
        </w:rPr>
        <w:t>碳汇交易收益</w:t>
      </w:r>
      <w:bookmarkEnd w:id="228"/>
      <w:bookmarkEnd w:id="229"/>
    </w:p>
    <w:p w14:paraId="64DE2DD7">
      <w:pPr>
        <w:widowControl/>
        <w:ind w:firstLine="420" w:firstLineChars="200"/>
        <w:rPr>
          <w:rFonts w:hint="eastAsia" w:ascii="宋体" w:hAnsi="宋体" w:cs="宋体"/>
          <w:color w:val="000000"/>
          <w:kern w:val="0"/>
          <w:szCs w:val="20"/>
        </w:rPr>
      </w:pPr>
      <w:r>
        <w:rPr>
          <w:rFonts w:hint="eastAsia" w:ascii="宋体" w:hAnsi="宋体" w:cs="宋体"/>
          <w:color w:val="000000"/>
          <w:kern w:val="0"/>
          <w:szCs w:val="20"/>
        </w:rPr>
        <w:t>指标解释：监测范围内碳汇量在碳市场中交易所获得的收益。</w:t>
      </w:r>
    </w:p>
    <w:p w14:paraId="3A916BB2">
      <w:pPr>
        <w:widowControl/>
        <w:ind w:firstLine="420" w:firstLineChars="200"/>
        <w:rPr>
          <w:rFonts w:hint="eastAsia" w:ascii="宋体" w:hAnsi="宋体" w:cs="宋体"/>
          <w:color w:val="000000"/>
          <w:kern w:val="0"/>
          <w:szCs w:val="20"/>
        </w:rPr>
      </w:pPr>
      <w:r>
        <w:rPr>
          <w:rFonts w:hint="eastAsia" w:ascii="宋体" w:hAnsi="宋体" w:cs="宋体"/>
          <w:color w:val="000000"/>
          <w:kern w:val="0"/>
          <w:szCs w:val="20"/>
        </w:rPr>
        <w:t>获取方法：统计、生态环境等部门资料。</w:t>
      </w:r>
    </w:p>
    <w:p w14:paraId="77DD564A">
      <w:pPr>
        <w:widowControl/>
        <w:ind w:firstLine="420" w:firstLineChars="200"/>
        <w:rPr>
          <w:rFonts w:hint="eastAsia" w:ascii="宋体" w:hAnsi="宋体" w:cs="宋体"/>
          <w:color w:val="000000"/>
          <w:kern w:val="0"/>
          <w:szCs w:val="20"/>
        </w:rPr>
      </w:pPr>
    </w:p>
    <w:p w14:paraId="014451CB">
      <w:pPr>
        <w:widowControl/>
        <w:jc w:val="center"/>
        <w:rPr>
          <w:rFonts w:ascii="黑体" w:eastAsia="黑体"/>
          <w:kern w:val="0"/>
          <w:szCs w:val="20"/>
        </w:rPr>
        <w:sectPr>
          <w:footerReference r:id="rId10" w:type="default"/>
          <w:pgSz w:w="11906" w:h="16838"/>
          <w:pgMar w:top="1440" w:right="1800" w:bottom="1440" w:left="1800" w:header="851" w:footer="992" w:gutter="0"/>
          <w:pgNumType w:start="1"/>
          <w:cols w:space="0" w:num="1"/>
          <w:docGrid w:type="lines" w:linePitch="312" w:charSpace="0"/>
        </w:sectPr>
      </w:pPr>
    </w:p>
    <w:p w14:paraId="3502846E">
      <w:pPr>
        <w:keepNext/>
        <w:widowControl/>
        <w:numPr>
          <w:ilvl w:val="0"/>
          <w:numId w:val="5"/>
        </w:numPr>
        <w:shd w:val="clear" w:color="FFFFFF" w:fill="FFFFFF"/>
        <w:spacing w:before="640" w:after="280"/>
        <w:jc w:val="center"/>
        <w:outlineLvl w:val="0"/>
        <w:rPr>
          <w:rFonts w:ascii="黑体" w:eastAsia="黑体"/>
          <w:kern w:val="0"/>
          <w:szCs w:val="20"/>
        </w:rPr>
      </w:pPr>
      <w:bookmarkStart w:id="230" w:name="_Toc3745"/>
      <w:r>
        <w:rPr>
          <w:rFonts w:ascii="黑体" w:eastAsia="黑体"/>
          <w:kern w:val="0"/>
          <w:szCs w:val="20"/>
        </w:rPr>
        <w:br w:type="textWrapping"/>
      </w:r>
      <w:r>
        <w:rPr>
          <w:rFonts w:hint="eastAsia" w:ascii="黑体" w:eastAsia="黑体"/>
          <w:kern w:val="0"/>
          <w:szCs w:val="20"/>
        </w:rPr>
        <w:t>（资料性）</w:t>
      </w:r>
      <w:r>
        <w:rPr>
          <w:rFonts w:ascii="黑体" w:eastAsia="黑体"/>
          <w:kern w:val="0"/>
          <w:szCs w:val="20"/>
        </w:rPr>
        <w:br w:type="textWrapping"/>
      </w:r>
      <w:r>
        <w:rPr>
          <w:rFonts w:hint="eastAsia" w:ascii="黑体" w:eastAsia="黑体"/>
          <w:kern w:val="0"/>
          <w:szCs w:val="20"/>
        </w:rPr>
        <w:t>山水林田湖草沙一体化生态保护与修复成效监测记录表</w:t>
      </w:r>
      <w:bookmarkEnd w:id="230"/>
    </w:p>
    <w:p w14:paraId="3C9F45D5">
      <w:pPr>
        <w:widowControl/>
        <w:jc w:val="center"/>
        <w:rPr>
          <w:rFonts w:ascii="黑体" w:eastAsia="黑体"/>
          <w:kern w:val="0"/>
          <w:szCs w:val="20"/>
        </w:rPr>
      </w:pPr>
    </w:p>
    <w:p w14:paraId="4546C180">
      <w:pPr>
        <w:widowControl/>
        <w:jc w:val="center"/>
        <w:rPr>
          <w:rFonts w:ascii="黑体" w:eastAsia="黑体"/>
          <w:kern w:val="0"/>
          <w:szCs w:val="20"/>
        </w:rPr>
      </w:pPr>
      <w:r>
        <w:rPr>
          <w:rFonts w:hint="eastAsia" w:ascii="黑体" w:eastAsia="黑体"/>
          <w:kern w:val="0"/>
          <w:szCs w:val="20"/>
        </w:rPr>
        <w:t>表B.1 生态成效监测记录表</w:t>
      </w:r>
    </w:p>
    <w:tbl>
      <w:tblPr>
        <w:tblStyle w:val="42"/>
        <w:tblpPr w:leftFromText="180" w:rightFromText="180" w:vertAnchor="text" w:horzAnchor="page" w:tblpX="1789" w:tblpY="617"/>
        <w:tblOverlap w:val="never"/>
        <w:tblW w:w="1416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11"/>
        <w:gridCol w:w="1301"/>
        <w:gridCol w:w="808"/>
        <w:gridCol w:w="321"/>
        <w:gridCol w:w="281"/>
        <w:gridCol w:w="627"/>
        <w:gridCol w:w="645"/>
        <w:gridCol w:w="768"/>
        <w:gridCol w:w="768"/>
        <w:gridCol w:w="453"/>
        <w:gridCol w:w="367"/>
        <w:gridCol w:w="860"/>
        <w:gridCol w:w="901"/>
        <w:gridCol w:w="860"/>
        <w:gridCol w:w="554"/>
        <w:gridCol w:w="358"/>
        <w:gridCol w:w="796"/>
        <w:gridCol w:w="796"/>
        <w:gridCol w:w="1592"/>
      </w:tblGrid>
      <w:tr w14:paraId="38409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412" w:type="dxa"/>
            <w:gridSpan w:val="2"/>
            <w:vAlign w:val="center"/>
          </w:tcPr>
          <w:p w14:paraId="467A27D0">
            <w:pPr>
              <w:keepNext/>
              <w:widowControl/>
              <w:snapToGrid w:val="0"/>
              <w:jc w:val="center"/>
              <w:rPr>
                <w:rFonts w:hint="eastAsia" w:ascii="宋体" w:hAnsi="宋体"/>
                <w:color w:val="000000"/>
                <w:kern w:val="0"/>
                <w:sz w:val="18"/>
                <w:szCs w:val="18"/>
              </w:rPr>
            </w:pPr>
            <w:r>
              <w:rPr>
                <w:rFonts w:hint="eastAsia" w:ascii="宋体" w:hAnsi="宋体"/>
                <w:b/>
                <w:bCs/>
                <w:color w:val="000000"/>
                <w:kern w:val="0"/>
                <w:sz w:val="18"/>
                <w:szCs w:val="18"/>
              </w:rPr>
              <w:t>监测指标</w:t>
            </w:r>
          </w:p>
        </w:tc>
        <w:tc>
          <w:tcPr>
            <w:tcW w:w="808" w:type="dxa"/>
            <w:vAlign w:val="center"/>
          </w:tcPr>
          <w:p w14:paraId="57562802">
            <w:pPr>
              <w:keepNext/>
              <w:widowControl/>
              <w:snapToGrid w:val="0"/>
              <w:jc w:val="center"/>
              <w:rPr>
                <w:rFonts w:hint="eastAsia" w:ascii="宋体" w:hAnsi="宋体"/>
                <w:color w:val="000000"/>
                <w:kern w:val="0"/>
                <w:sz w:val="18"/>
                <w:szCs w:val="18"/>
              </w:rPr>
            </w:pPr>
            <w:r>
              <w:rPr>
                <w:rFonts w:hint="eastAsia" w:ascii="宋体" w:hAnsi="宋体"/>
                <w:b/>
                <w:bCs/>
                <w:color w:val="000000"/>
                <w:kern w:val="0"/>
                <w:sz w:val="18"/>
                <w:szCs w:val="18"/>
              </w:rPr>
              <w:t>单位</w:t>
            </w:r>
          </w:p>
        </w:tc>
        <w:tc>
          <w:tcPr>
            <w:tcW w:w="1229" w:type="dxa"/>
            <w:gridSpan w:val="3"/>
            <w:vAlign w:val="center"/>
          </w:tcPr>
          <w:p w14:paraId="1F49BF94">
            <w:pPr>
              <w:keepNext/>
              <w:widowControl/>
              <w:snapToGrid w:val="0"/>
              <w:jc w:val="center"/>
              <w:rPr>
                <w:rFonts w:hint="eastAsia" w:ascii="宋体" w:hAnsi="宋体"/>
                <w:b/>
                <w:bCs/>
                <w:color w:val="000000"/>
                <w:kern w:val="0"/>
                <w:sz w:val="18"/>
                <w:szCs w:val="18"/>
              </w:rPr>
            </w:pPr>
            <w:r>
              <w:rPr>
                <w:rFonts w:hint="eastAsia" w:ascii="宋体" w:hAnsi="宋体"/>
                <w:b/>
                <w:bCs/>
                <w:color w:val="000000"/>
                <w:kern w:val="0"/>
                <w:sz w:val="18"/>
                <w:szCs w:val="18"/>
              </w:rPr>
              <w:t>参照值</w:t>
            </w:r>
          </w:p>
        </w:tc>
        <w:tc>
          <w:tcPr>
            <w:tcW w:w="1413" w:type="dxa"/>
            <w:gridSpan w:val="2"/>
            <w:vAlign w:val="center"/>
          </w:tcPr>
          <w:p w14:paraId="6B4744FD">
            <w:pPr>
              <w:keepNext/>
              <w:widowControl/>
              <w:snapToGrid w:val="0"/>
              <w:jc w:val="center"/>
              <w:rPr>
                <w:rFonts w:hint="eastAsia" w:ascii="宋体" w:hAnsi="宋体"/>
                <w:b/>
                <w:bCs/>
                <w:color w:val="000000"/>
                <w:kern w:val="0"/>
                <w:sz w:val="18"/>
                <w:szCs w:val="18"/>
              </w:rPr>
            </w:pPr>
            <w:r>
              <w:rPr>
                <w:rFonts w:hint="eastAsia" w:ascii="宋体" w:hAnsi="宋体"/>
                <w:b/>
                <w:bCs/>
                <w:color w:val="000000"/>
                <w:kern w:val="0"/>
                <w:sz w:val="18"/>
                <w:szCs w:val="18"/>
              </w:rPr>
              <w:t>基期</w:t>
            </w:r>
          </w:p>
        </w:tc>
        <w:tc>
          <w:tcPr>
            <w:tcW w:w="1588" w:type="dxa"/>
            <w:gridSpan w:val="3"/>
            <w:vAlign w:val="center"/>
          </w:tcPr>
          <w:p w14:paraId="282E8EE7">
            <w:pPr>
              <w:keepNext/>
              <w:widowControl/>
              <w:snapToGrid w:val="0"/>
              <w:jc w:val="center"/>
              <w:rPr>
                <w:rFonts w:hint="eastAsia" w:ascii="宋体" w:hAnsi="宋体"/>
                <w:b/>
                <w:bCs/>
                <w:color w:val="000000"/>
                <w:kern w:val="0"/>
                <w:sz w:val="18"/>
                <w:szCs w:val="18"/>
              </w:rPr>
            </w:pPr>
            <w:r>
              <w:rPr>
                <w:rFonts w:hint="eastAsia" w:ascii="宋体" w:hAnsi="宋体"/>
                <w:b/>
                <w:bCs/>
                <w:color w:val="000000"/>
                <w:kern w:val="0"/>
                <w:sz w:val="18"/>
                <w:szCs w:val="18"/>
              </w:rPr>
              <w:t>验收期</w:t>
            </w:r>
          </w:p>
        </w:tc>
        <w:tc>
          <w:tcPr>
            <w:tcW w:w="1761" w:type="dxa"/>
            <w:gridSpan w:val="2"/>
            <w:vAlign w:val="center"/>
          </w:tcPr>
          <w:p w14:paraId="1D2D0A76">
            <w:pPr>
              <w:keepNext/>
              <w:widowControl/>
              <w:snapToGrid w:val="0"/>
              <w:jc w:val="center"/>
              <w:rPr>
                <w:rFonts w:hint="eastAsia" w:ascii="宋体" w:hAnsi="宋体"/>
                <w:b/>
                <w:bCs/>
                <w:color w:val="000000"/>
                <w:kern w:val="0"/>
                <w:sz w:val="18"/>
                <w:szCs w:val="18"/>
              </w:rPr>
            </w:pPr>
            <w:r>
              <w:rPr>
                <w:rFonts w:hint="eastAsia" w:ascii="宋体" w:hAnsi="宋体"/>
                <w:b/>
                <w:bCs/>
                <w:color w:val="000000"/>
                <w:kern w:val="0"/>
                <w:sz w:val="18"/>
                <w:szCs w:val="18"/>
              </w:rPr>
              <w:t>管护期</w:t>
            </w:r>
          </w:p>
        </w:tc>
        <w:tc>
          <w:tcPr>
            <w:tcW w:w="1772" w:type="dxa"/>
            <w:gridSpan w:val="3"/>
            <w:vAlign w:val="center"/>
          </w:tcPr>
          <w:p w14:paraId="63F722D6">
            <w:pPr>
              <w:keepNext/>
              <w:widowControl/>
              <w:snapToGrid w:val="0"/>
              <w:jc w:val="center"/>
              <w:rPr>
                <w:rFonts w:hint="eastAsia" w:ascii="宋体" w:hAnsi="宋体"/>
                <w:b/>
                <w:bCs/>
                <w:color w:val="000000"/>
                <w:kern w:val="0"/>
                <w:sz w:val="18"/>
                <w:szCs w:val="18"/>
              </w:rPr>
            </w:pPr>
            <w:r>
              <w:rPr>
                <w:rFonts w:hint="eastAsia" w:ascii="宋体" w:hAnsi="宋体"/>
                <w:b/>
                <w:bCs/>
                <w:color w:val="000000"/>
                <w:kern w:val="0"/>
                <w:sz w:val="18"/>
                <w:szCs w:val="18"/>
              </w:rPr>
              <w:t>常态化期</w:t>
            </w:r>
          </w:p>
        </w:tc>
        <w:tc>
          <w:tcPr>
            <w:tcW w:w="1592" w:type="dxa"/>
            <w:gridSpan w:val="2"/>
            <w:vAlign w:val="center"/>
          </w:tcPr>
          <w:p w14:paraId="1B006102">
            <w:pPr>
              <w:keepNext/>
              <w:widowControl/>
              <w:snapToGrid w:val="0"/>
              <w:jc w:val="center"/>
              <w:rPr>
                <w:rFonts w:hint="eastAsia" w:ascii="宋体" w:hAnsi="宋体"/>
                <w:b/>
                <w:bCs/>
                <w:color w:val="000000"/>
                <w:kern w:val="0"/>
                <w:sz w:val="18"/>
                <w:szCs w:val="18"/>
              </w:rPr>
            </w:pPr>
            <w:r>
              <w:rPr>
                <w:rFonts w:hint="eastAsia" w:ascii="宋体" w:hAnsi="宋体"/>
                <w:b/>
                <w:bCs/>
                <w:color w:val="000000"/>
                <w:kern w:val="0"/>
                <w:sz w:val="18"/>
                <w:szCs w:val="18"/>
              </w:rPr>
              <w:t>目标值</w:t>
            </w:r>
          </w:p>
        </w:tc>
        <w:tc>
          <w:tcPr>
            <w:tcW w:w="1592" w:type="dxa"/>
            <w:vAlign w:val="center"/>
          </w:tcPr>
          <w:p w14:paraId="78964777">
            <w:pPr>
              <w:keepNext/>
              <w:widowControl/>
              <w:snapToGrid w:val="0"/>
              <w:jc w:val="center"/>
              <w:rPr>
                <w:rFonts w:hint="eastAsia" w:ascii="宋体" w:hAnsi="宋体"/>
                <w:b/>
                <w:bCs/>
                <w:color w:val="000000"/>
                <w:kern w:val="0"/>
                <w:sz w:val="18"/>
                <w:szCs w:val="18"/>
              </w:rPr>
            </w:pPr>
            <w:r>
              <w:rPr>
                <w:rFonts w:hint="eastAsia" w:ascii="宋体" w:hAnsi="宋体"/>
                <w:b/>
                <w:bCs/>
                <w:color w:val="000000"/>
                <w:kern w:val="0"/>
                <w:sz w:val="18"/>
                <w:szCs w:val="18"/>
              </w:rPr>
              <w:t>备注</w:t>
            </w:r>
          </w:p>
        </w:tc>
      </w:tr>
      <w:tr w14:paraId="19D9D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1" w:type="dxa"/>
            <w:vAlign w:val="center"/>
          </w:tcPr>
          <w:p w14:paraId="2074A9CD">
            <w:pPr>
              <w:keepNext/>
              <w:widowControl/>
              <w:snapToGrid w:val="0"/>
              <w:jc w:val="center"/>
              <w:rPr>
                <w:rFonts w:hint="eastAsia" w:ascii="宋体" w:hAnsi="宋体"/>
                <w:color w:val="000000"/>
                <w:kern w:val="0"/>
                <w:sz w:val="18"/>
                <w:szCs w:val="18"/>
              </w:rPr>
            </w:pPr>
            <w:r>
              <w:rPr>
                <w:rFonts w:hint="eastAsia" w:ascii="宋体" w:hAnsi="宋体"/>
                <w:color w:val="000000"/>
                <w:kern w:val="0"/>
                <w:sz w:val="18"/>
                <w:szCs w:val="18"/>
              </w:rPr>
              <w:t>一级指标</w:t>
            </w:r>
          </w:p>
        </w:tc>
        <w:tc>
          <w:tcPr>
            <w:tcW w:w="1301" w:type="dxa"/>
            <w:vAlign w:val="center"/>
          </w:tcPr>
          <w:p w14:paraId="36A2D944">
            <w:pPr>
              <w:keepNext/>
              <w:widowControl/>
              <w:snapToGrid w:val="0"/>
              <w:jc w:val="center"/>
              <w:rPr>
                <w:rFonts w:hint="eastAsia" w:ascii="宋体" w:hAnsi="宋体"/>
                <w:color w:val="000000"/>
                <w:kern w:val="0"/>
                <w:sz w:val="18"/>
                <w:szCs w:val="18"/>
              </w:rPr>
            </w:pPr>
            <w:r>
              <w:rPr>
                <w:rFonts w:hint="eastAsia" w:ascii="宋体" w:hAnsi="宋体"/>
                <w:color w:val="000000"/>
                <w:kern w:val="0"/>
                <w:sz w:val="18"/>
                <w:szCs w:val="18"/>
              </w:rPr>
              <w:t>三级指标</w:t>
            </w:r>
          </w:p>
        </w:tc>
        <w:tc>
          <w:tcPr>
            <w:tcW w:w="808" w:type="dxa"/>
            <w:vAlign w:val="center"/>
          </w:tcPr>
          <w:p w14:paraId="2075DD99">
            <w:pPr>
              <w:keepNext/>
              <w:widowControl/>
              <w:snapToGrid w:val="0"/>
              <w:jc w:val="center"/>
              <w:rPr>
                <w:rFonts w:hint="eastAsia" w:ascii="宋体" w:hAnsi="宋体"/>
                <w:color w:val="000000"/>
                <w:kern w:val="0"/>
                <w:sz w:val="18"/>
                <w:szCs w:val="18"/>
              </w:rPr>
            </w:pPr>
          </w:p>
        </w:tc>
        <w:tc>
          <w:tcPr>
            <w:tcW w:w="602" w:type="dxa"/>
            <w:gridSpan w:val="2"/>
            <w:vAlign w:val="center"/>
          </w:tcPr>
          <w:p w14:paraId="64C2EC87">
            <w:pPr>
              <w:keepNext/>
              <w:widowControl/>
              <w:snapToGrid w:val="0"/>
              <w:jc w:val="center"/>
              <w:rPr>
                <w:rFonts w:hint="eastAsia" w:ascii="宋体" w:hAnsi="宋体"/>
                <w:b/>
                <w:bCs/>
                <w:color w:val="000000"/>
                <w:kern w:val="0"/>
                <w:sz w:val="18"/>
                <w:szCs w:val="18"/>
              </w:rPr>
            </w:pPr>
            <w:r>
              <w:rPr>
                <w:rFonts w:hint="eastAsia" w:ascii="宋体" w:hAnsi="宋体"/>
                <w:b/>
                <w:bCs/>
                <w:color w:val="000000"/>
                <w:kern w:val="0"/>
                <w:sz w:val="18"/>
                <w:szCs w:val="18"/>
              </w:rPr>
              <w:t>数值</w:t>
            </w:r>
          </w:p>
        </w:tc>
        <w:tc>
          <w:tcPr>
            <w:tcW w:w="627" w:type="dxa"/>
            <w:vAlign w:val="center"/>
          </w:tcPr>
          <w:p w14:paraId="24F8EEDB">
            <w:pPr>
              <w:keepNext/>
              <w:widowControl/>
              <w:snapToGrid w:val="0"/>
              <w:jc w:val="center"/>
              <w:rPr>
                <w:rFonts w:hint="eastAsia" w:ascii="宋体" w:hAnsi="宋体"/>
                <w:b/>
                <w:bCs/>
                <w:color w:val="000000"/>
                <w:kern w:val="0"/>
                <w:sz w:val="18"/>
                <w:szCs w:val="18"/>
              </w:rPr>
            </w:pPr>
            <w:r>
              <w:rPr>
                <w:rFonts w:hint="eastAsia" w:ascii="宋体" w:hAnsi="宋体"/>
                <w:b/>
                <w:bCs/>
                <w:color w:val="000000"/>
                <w:kern w:val="0"/>
                <w:sz w:val="18"/>
                <w:szCs w:val="18"/>
              </w:rPr>
              <w:t>来源</w:t>
            </w:r>
          </w:p>
        </w:tc>
        <w:tc>
          <w:tcPr>
            <w:tcW w:w="645" w:type="dxa"/>
            <w:vAlign w:val="center"/>
          </w:tcPr>
          <w:p w14:paraId="7CF00C0A">
            <w:pPr>
              <w:keepNext/>
              <w:widowControl/>
              <w:snapToGrid w:val="0"/>
              <w:jc w:val="center"/>
              <w:rPr>
                <w:rFonts w:hint="eastAsia" w:ascii="宋体" w:hAnsi="宋体"/>
                <w:color w:val="000000"/>
                <w:kern w:val="0"/>
                <w:sz w:val="18"/>
                <w:szCs w:val="18"/>
              </w:rPr>
            </w:pPr>
            <w:r>
              <w:rPr>
                <w:rFonts w:hint="eastAsia" w:ascii="宋体" w:hAnsi="宋体"/>
                <w:b/>
                <w:bCs/>
                <w:color w:val="000000"/>
                <w:kern w:val="0"/>
                <w:sz w:val="18"/>
                <w:szCs w:val="18"/>
              </w:rPr>
              <w:t>数值</w:t>
            </w:r>
          </w:p>
        </w:tc>
        <w:tc>
          <w:tcPr>
            <w:tcW w:w="768" w:type="dxa"/>
            <w:vAlign w:val="center"/>
          </w:tcPr>
          <w:p w14:paraId="200ADC96">
            <w:pPr>
              <w:keepNext/>
              <w:widowControl/>
              <w:snapToGrid w:val="0"/>
              <w:jc w:val="center"/>
              <w:rPr>
                <w:rFonts w:hint="eastAsia" w:ascii="宋体" w:hAnsi="宋体"/>
                <w:color w:val="000000"/>
                <w:kern w:val="0"/>
                <w:sz w:val="18"/>
                <w:szCs w:val="18"/>
              </w:rPr>
            </w:pPr>
            <w:r>
              <w:rPr>
                <w:rFonts w:hint="eastAsia" w:ascii="宋体" w:hAnsi="宋体"/>
                <w:b/>
                <w:bCs/>
                <w:color w:val="000000"/>
                <w:kern w:val="0"/>
                <w:sz w:val="18"/>
                <w:szCs w:val="18"/>
              </w:rPr>
              <w:t>来源</w:t>
            </w:r>
          </w:p>
        </w:tc>
        <w:tc>
          <w:tcPr>
            <w:tcW w:w="768" w:type="dxa"/>
            <w:vAlign w:val="center"/>
          </w:tcPr>
          <w:p w14:paraId="5BBD3132">
            <w:pPr>
              <w:keepNext/>
              <w:widowControl/>
              <w:snapToGrid w:val="0"/>
              <w:jc w:val="center"/>
              <w:rPr>
                <w:rFonts w:hint="eastAsia" w:ascii="宋体" w:hAnsi="宋体"/>
                <w:color w:val="000000"/>
                <w:kern w:val="0"/>
                <w:sz w:val="18"/>
                <w:szCs w:val="18"/>
              </w:rPr>
            </w:pPr>
            <w:r>
              <w:rPr>
                <w:rFonts w:hint="eastAsia" w:ascii="宋体" w:hAnsi="宋体"/>
                <w:b/>
                <w:bCs/>
                <w:color w:val="000000"/>
                <w:kern w:val="0"/>
                <w:sz w:val="18"/>
                <w:szCs w:val="18"/>
              </w:rPr>
              <w:t>数值</w:t>
            </w:r>
          </w:p>
        </w:tc>
        <w:tc>
          <w:tcPr>
            <w:tcW w:w="820" w:type="dxa"/>
            <w:gridSpan w:val="2"/>
            <w:vAlign w:val="center"/>
          </w:tcPr>
          <w:p w14:paraId="041528AE">
            <w:pPr>
              <w:keepNext/>
              <w:widowControl/>
              <w:snapToGrid w:val="0"/>
              <w:jc w:val="center"/>
              <w:rPr>
                <w:rFonts w:hint="eastAsia" w:ascii="宋体" w:hAnsi="宋体"/>
                <w:color w:val="000000"/>
                <w:kern w:val="0"/>
                <w:sz w:val="18"/>
                <w:szCs w:val="18"/>
              </w:rPr>
            </w:pPr>
            <w:r>
              <w:rPr>
                <w:rFonts w:hint="eastAsia" w:ascii="宋体" w:hAnsi="宋体"/>
                <w:b/>
                <w:bCs/>
                <w:color w:val="000000"/>
                <w:kern w:val="0"/>
                <w:sz w:val="18"/>
                <w:szCs w:val="18"/>
              </w:rPr>
              <w:t>来源</w:t>
            </w:r>
          </w:p>
        </w:tc>
        <w:tc>
          <w:tcPr>
            <w:tcW w:w="860" w:type="dxa"/>
            <w:vAlign w:val="center"/>
          </w:tcPr>
          <w:p w14:paraId="3AC642B3">
            <w:pPr>
              <w:keepNext/>
              <w:widowControl/>
              <w:snapToGrid w:val="0"/>
              <w:jc w:val="center"/>
              <w:rPr>
                <w:rFonts w:hint="eastAsia" w:ascii="宋体" w:hAnsi="宋体"/>
                <w:color w:val="000000"/>
                <w:kern w:val="0"/>
                <w:sz w:val="18"/>
                <w:szCs w:val="18"/>
              </w:rPr>
            </w:pPr>
            <w:r>
              <w:rPr>
                <w:rFonts w:hint="eastAsia" w:ascii="宋体" w:hAnsi="宋体"/>
                <w:b/>
                <w:bCs/>
                <w:color w:val="000000"/>
                <w:kern w:val="0"/>
                <w:sz w:val="18"/>
                <w:szCs w:val="18"/>
              </w:rPr>
              <w:t>数值</w:t>
            </w:r>
          </w:p>
        </w:tc>
        <w:tc>
          <w:tcPr>
            <w:tcW w:w="901" w:type="dxa"/>
            <w:vAlign w:val="center"/>
          </w:tcPr>
          <w:p w14:paraId="62F99C4D">
            <w:pPr>
              <w:keepNext/>
              <w:widowControl/>
              <w:snapToGrid w:val="0"/>
              <w:jc w:val="center"/>
              <w:rPr>
                <w:rFonts w:hint="eastAsia" w:ascii="宋体" w:hAnsi="宋体"/>
                <w:color w:val="000000"/>
                <w:kern w:val="0"/>
                <w:sz w:val="18"/>
                <w:szCs w:val="18"/>
              </w:rPr>
            </w:pPr>
            <w:r>
              <w:rPr>
                <w:rFonts w:hint="eastAsia" w:ascii="宋体" w:hAnsi="宋体"/>
                <w:b/>
                <w:bCs/>
                <w:color w:val="000000"/>
                <w:kern w:val="0"/>
                <w:sz w:val="18"/>
                <w:szCs w:val="18"/>
              </w:rPr>
              <w:t>来源</w:t>
            </w:r>
          </w:p>
        </w:tc>
        <w:tc>
          <w:tcPr>
            <w:tcW w:w="860" w:type="dxa"/>
            <w:vAlign w:val="center"/>
          </w:tcPr>
          <w:p w14:paraId="1CEE168F">
            <w:pPr>
              <w:keepNext/>
              <w:widowControl/>
              <w:snapToGrid w:val="0"/>
              <w:jc w:val="center"/>
              <w:rPr>
                <w:rFonts w:hint="eastAsia" w:ascii="宋体" w:hAnsi="宋体"/>
                <w:color w:val="000000"/>
                <w:kern w:val="0"/>
                <w:sz w:val="18"/>
                <w:szCs w:val="18"/>
              </w:rPr>
            </w:pPr>
            <w:r>
              <w:rPr>
                <w:rFonts w:hint="eastAsia" w:ascii="宋体" w:hAnsi="宋体"/>
                <w:b/>
                <w:bCs/>
                <w:color w:val="000000"/>
                <w:kern w:val="0"/>
                <w:sz w:val="18"/>
                <w:szCs w:val="18"/>
              </w:rPr>
              <w:t>数值</w:t>
            </w:r>
          </w:p>
        </w:tc>
        <w:tc>
          <w:tcPr>
            <w:tcW w:w="912" w:type="dxa"/>
            <w:gridSpan w:val="2"/>
            <w:vAlign w:val="center"/>
          </w:tcPr>
          <w:p w14:paraId="74E42498">
            <w:pPr>
              <w:keepNext/>
              <w:widowControl/>
              <w:snapToGrid w:val="0"/>
              <w:jc w:val="center"/>
              <w:rPr>
                <w:rFonts w:hint="eastAsia" w:ascii="宋体" w:hAnsi="宋体"/>
                <w:color w:val="000000"/>
                <w:kern w:val="0"/>
                <w:sz w:val="18"/>
                <w:szCs w:val="18"/>
              </w:rPr>
            </w:pPr>
            <w:r>
              <w:rPr>
                <w:rFonts w:hint="eastAsia" w:ascii="宋体" w:hAnsi="宋体"/>
                <w:b/>
                <w:bCs/>
                <w:color w:val="000000"/>
                <w:kern w:val="0"/>
                <w:sz w:val="18"/>
                <w:szCs w:val="18"/>
              </w:rPr>
              <w:t>来源</w:t>
            </w:r>
          </w:p>
        </w:tc>
        <w:tc>
          <w:tcPr>
            <w:tcW w:w="796" w:type="dxa"/>
            <w:vAlign w:val="center"/>
          </w:tcPr>
          <w:p w14:paraId="6F5CC158">
            <w:pPr>
              <w:keepNext/>
              <w:widowControl/>
              <w:snapToGrid w:val="0"/>
              <w:jc w:val="center"/>
              <w:rPr>
                <w:rFonts w:hint="eastAsia" w:ascii="宋体" w:hAnsi="宋体"/>
                <w:color w:val="000000"/>
                <w:kern w:val="0"/>
                <w:sz w:val="18"/>
                <w:szCs w:val="18"/>
              </w:rPr>
            </w:pPr>
            <w:r>
              <w:rPr>
                <w:rFonts w:hint="eastAsia" w:ascii="宋体" w:hAnsi="宋体"/>
                <w:b/>
                <w:bCs/>
                <w:color w:val="000000"/>
                <w:kern w:val="0"/>
                <w:sz w:val="18"/>
                <w:szCs w:val="18"/>
              </w:rPr>
              <w:t>数值</w:t>
            </w:r>
          </w:p>
        </w:tc>
        <w:tc>
          <w:tcPr>
            <w:tcW w:w="796" w:type="dxa"/>
            <w:vAlign w:val="center"/>
          </w:tcPr>
          <w:p w14:paraId="54723CFC">
            <w:pPr>
              <w:keepNext/>
              <w:widowControl/>
              <w:snapToGrid w:val="0"/>
              <w:jc w:val="center"/>
              <w:rPr>
                <w:rFonts w:hint="eastAsia" w:ascii="宋体" w:hAnsi="宋体"/>
                <w:b/>
                <w:bCs/>
                <w:color w:val="000000"/>
                <w:kern w:val="0"/>
                <w:sz w:val="18"/>
                <w:szCs w:val="18"/>
              </w:rPr>
            </w:pPr>
            <w:r>
              <w:rPr>
                <w:rFonts w:hint="eastAsia" w:ascii="宋体" w:hAnsi="宋体"/>
                <w:b/>
                <w:bCs/>
                <w:color w:val="000000"/>
                <w:kern w:val="0"/>
                <w:sz w:val="18"/>
                <w:szCs w:val="18"/>
              </w:rPr>
              <w:t>来源</w:t>
            </w:r>
          </w:p>
        </w:tc>
        <w:tc>
          <w:tcPr>
            <w:tcW w:w="1592" w:type="dxa"/>
            <w:vAlign w:val="center"/>
          </w:tcPr>
          <w:p w14:paraId="3D9A7EAA">
            <w:pPr>
              <w:keepNext/>
              <w:widowControl/>
              <w:snapToGrid w:val="0"/>
              <w:jc w:val="center"/>
              <w:rPr>
                <w:rFonts w:hint="eastAsia" w:ascii="宋体" w:hAnsi="宋体"/>
                <w:color w:val="000000"/>
                <w:kern w:val="0"/>
                <w:sz w:val="18"/>
                <w:szCs w:val="18"/>
              </w:rPr>
            </w:pPr>
            <w:r>
              <w:rPr>
                <w:rFonts w:hint="eastAsia" w:ascii="宋体" w:hAnsi="宋体"/>
                <w:color w:val="000000"/>
                <w:kern w:val="0"/>
                <w:sz w:val="18"/>
                <w:szCs w:val="18"/>
              </w:rPr>
              <w:t>监测数据</w:t>
            </w:r>
          </w:p>
          <w:p w14:paraId="6AFA27E8">
            <w:pPr>
              <w:keepNext/>
              <w:widowControl/>
              <w:snapToGrid w:val="0"/>
              <w:jc w:val="center"/>
              <w:rPr>
                <w:rFonts w:hint="eastAsia" w:ascii="宋体" w:hAnsi="宋体"/>
                <w:color w:val="000000"/>
                <w:kern w:val="0"/>
                <w:sz w:val="18"/>
                <w:szCs w:val="18"/>
              </w:rPr>
            </w:pPr>
            <w:r>
              <w:rPr>
                <w:rFonts w:hint="eastAsia" w:ascii="宋体" w:hAnsi="宋体"/>
                <w:color w:val="000000"/>
                <w:kern w:val="0"/>
                <w:sz w:val="18"/>
                <w:szCs w:val="18"/>
              </w:rPr>
              <w:t>其他信息</w:t>
            </w:r>
          </w:p>
        </w:tc>
      </w:tr>
      <w:tr w14:paraId="5EFB3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1" w:type="dxa"/>
            <w:vMerge w:val="restart"/>
            <w:vAlign w:val="center"/>
          </w:tcPr>
          <w:p w14:paraId="55C89C31">
            <w:pPr>
              <w:keepNext/>
              <w:widowControl/>
              <w:snapToGrid w:val="0"/>
              <w:jc w:val="center"/>
              <w:rPr>
                <w:rFonts w:hint="eastAsia" w:ascii="宋体" w:hAnsi="宋体"/>
                <w:color w:val="000000"/>
                <w:kern w:val="0"/>
                <w:sz w:val="18"/>
                <w:szCs w:val="18"/>
              </w:rPr>
            </w:pPr>
            <w:r>
              <w:rPr>
                <w:rFonts w:hint="eastAsia" w:ascii="宋体" w:hAnsi="宋体"/>
                <w:color w:val="000000"/>
                <w:kern w:val="0"/>
                <w:sz w:val="18"/>
                <w:szCs w:val="18"/>
              </w:rPr>
              <w:t>生态胁迫</w:t>
            </w:r>
          </w:p>
        </w:tc>
        <w:tc>
          <w:tcPr>
            <w:tcW w:w="1301" w:type="dxa"/>
            <w:vAlign w:val="center"/>
          </w:tcPr>
          <w:p w14:paraId="0C1CFA31">
            <w:pPr>
              <w:keepNext/>
              <w:widowControl/>
              <w:snapToGrid w:val="0"/>
              <w:jc w:val="center"/>
              <w:rPr>
                <w:rFonts w:hint="eastAsia" w:ascii="宋体" w:hAnsi="宋体"/>
                <w:color w:val="000000"/>
                <w:kern w:val="0"/>
                <w:sz w:val="18"/>
                <w:szCs w:val="18"/>
              </w:rPr>
            </w:pPr>
            <w:r>
              <w:rPr>
                <w:rFonts w:hint="eastAsia" w:ascii="宋体" w:hAnsi="宋体"/>
                <w:color w:val="000000"/>
                <w:kern w:val="0"/>
                <w:sz w:val="18"/>
                <w:szCs w:val="18"/>
              </w:rPr>
              <w:t>耕地复种指数</w:t>
            </w:r>
          </w:p>
        </w:tc>
        <w:tc>
          <w:tcPr>
            <w:tcW w:w="808" w:type="dxa"/>
            <w:vAlign w:val="center"/>
          </w:tcPr>
          <w:p w14:paraId="4EB6DCFA">
            <w:pPr>
              <w:keepNext/>
              <w:widowControl/>
              <w:snapToGrid w:val="0"/>
              <w:jc w:val="center"/>
              <w:rPr>
                <w:rFonts w:hint="eastAsia" w:ascii="宋体" w:hAnsi="宋体"/>
                <w:color w:val="000000"/>
                <w:kern w:val="0"/>
                <w:sz w:val="18"/>
                <w:szCs w:val="18"/>
              </w:rPr>
            </w:pPr>
          </w:p>
        </w:tc>
        <w:tc>
          <w:tcPr>
            <w:tcW w:w="1229" w:type="dxa"/>
            <w:gridSpan w:val="3"/>
            <w:vAlign w:val="center"/>
          </w:tcPr>
          <w:p w14:paraId="58483EFB">
            <w:pPr>
              <w:keepNext/>
              <w:widowControl/>
              <w:snapToGrid w:val="0"/>
              <w:jc w:val="center"/>
              <w:rPr>
                <w:rFonts w:hint="eastAsia" w:ascii="宋体" w:hAnsi="宋体"/>
                <w:color w:val="000000"/>
                <w:kern w:val="0"/>
                <w:sz w:val="18"/>
                <w:szCs w:val="18"/>
              </w:rPr>
            </w:pPr>
          </w:p>
        </w:tc>
        <w:tc>
          <w:tcPr>
            <w:tcW w:w="1413" w:type="dxa"/>
            <w:gridSpan w:val="2"/>
            <w:vAlign w:val="center"/>
          </w:tcPr>
          <w:p w14:paraId="66A50D0E">
            <w:pPr>
              <w:keepNext/>
              <w:widowControl/>
              <w:snapToGrid w:val="0"/>
              <w:jc w:val="center"/>
              <w:rPr>
                <w:rFonts w:hint="eastAsia" w:ascii="宋体" w:hAnsi="宋体"/>
                <w:color w:val="000000"/>
                <w:kern w:val="0"/>
                <w:sz w:val="18"/>
                <w:szCs w:val="18"/>
              </w:rPr>
            </w:pPr>
          </w:p>
        </w:tc>
        <w:tc>
          <w:tcPr>
            <w:tcW w:w="1588" w:type="dxa"/>
            <w:gridSpan w:val="3"/>
            <w:vAlign w:val="center"/>
          </w:tcPr>
          <w:p w14:paraId="64F2C52D">
            <w:pPr>
              <w:keepNext/>
              <w:widowControl/>
              <w:snapToGrid w:val="0"/>
              <w:jc w:val="center"/>
              <w:rPr>
                <w:rFonts w:hint="eastAsia" w:ascii="宋体" w:hAnsi="宋体"/>
                <w:color w:val="000000"/>
                <w:kern w:val="0"/>
                <w:sz w:val="18"/>
                <w:szCs w:val="18"/>
              </w:rPr>
            </w:pPr>
          </w:p>
        </w:tc>
        <w:tc>
          <w:tcPr>
            <w:tcW w:w="1761" w:type="dxa"/>
            <w:gridSpan w:val="2"/>
            <w:vAlign w:val="center"/>
          </w:tcPr>
          <w:p w14:paraId="50832930">
            <w:pPr>
              <w:keepNext/>
              <w:widowControl/>
              <w:snapToGrid w:val="0"/>
              <w:jc w:val="center"/>
              <w:rPr>
                <w:rFonts w:hint="eastAsia" w:ascii="宋体" w:hAnsi="宋体"/>
                <w:color w:val="000000"/>
                <w:kern w:val="0"/>
                <w:sz w:val="18"/>
                <w:szCs w:val="18"/>
              </w:rPr>
            </w:pPr>
          </w:p>
        </w:tc>
        <w:tc>
          <w:tcPr>
            <w:tcW w:w="1772" w:type="dxa"/>
            <w:gridSpan w:val="3"/>
            <w:vAlign w:val="center"/>
          </w:tcPr>
          <w:p w14:paraId="52CFE81C">
            <w:pPr>
              <w:keepNext/>
              <w:widowControl/>
              <w:snapToGrid w:val="0"/>
              <w:jc w:val="center"/>
              <w:rPr>
                <w:rFonts w:hint="eastAsia" w:ascii="宋体" w:hAnsi="宋体"/>
                <w:color w:val="000000"/>
                <w:kern w:val="0"/>
                <w:sz w:val="18"/>
                <w:szCs w:val="18"/>
              </w:rPr>
            </w:pPr>
          </w:p>
        </w:tc>
        <w:tc>
          <w:tcPr>
            <w:tcW w:w="1592" w:type="dxa"/>
            <w:gridSpan w:val="2"/>
            <w:vAlign w:val="center"/>
          </w:tcPr>
          <w:p w14:paraId="0D085391">
            <w:pPr>
              <w:keepNext/>
              <w:widowControl/>
              <w:snapToGrid w:val="0"/>
              <w:jc w:val="center"/>
              <w:rPr>
                <w:rFonts w:hint="eastAsia" w:ascii="宋体" w:hAnsi="宋体"/>
                <w:color w:val="000000"/>
                <w:kern w:val="0"/>
                <w:sz w:val="18"/>
                <w:szCs w:val="18"/>
              </w:rPr>
            </w:pPr>
          </w:p>
        </w:tc>
        <w:tc>
          <w:tcPr>
            <w:tcW w:w="1592" w:type="dxa"/>
            <w:vAlign w:val="center"/>
          </w:tcPr>
          <w:p w14:paraId="137A898A">
            <w:pPr>
              <w:keepNext/>
              <w:widowControl/>
              <w:snapToGrid w:val="0"/>
              <w:jc w:val="center"/>
              <w:rPr>
                <w:rFonts w:hint="eastAsia" w:ascii="宋体" w:hAnsi="宋体"/>
                <w:color w:val="000000"/>
                <w:kern w:val="0"/>
                <w:sz w:val="18"/>
                <w:szCs w:val="18"/>
              </w:rPr>
            </w:pPr>
          </w:p>
        </w:tc>
      </w:tr>
      <w:tr w14:paraId="22659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1" w:type="dxa"/>
            <w:vMerge w:val="continue"/>
            <w:vAlign w:val="center"/>
          </w:tcPr>
          <w:p w14:paraId="67A85671">
            <w:pPr>
              <w:keepNext/>
              <w:widowControl/>
              <w:snapToGrid w:val="0"/>
              <w:jc w:val="center"/>
              <w:rPr>
                <w:rFonts w:hint="eastAsia" w:ascii="宋体" w:hAnsi="宋体"/>
                <w:color w:val="000000"/>
                <w:kern w:val="0"/>
                <w:sz w:val="18"/>
                <w:szCs w:val="18"/>
              </w:rPr>
            </w:pPr>
          </w:p>
        </w:tc>
        <w:tc>
          <w:tcPr>
            <w:tcW w:w="1301" w:type="dxa"/>
            <w:vAlign w:val="center"/>
          </w:tcPr>
          <w:p w14:paraId="40090DEF">
            <w:pPr>
              <w:keepNext/>
              <w:widowControl/>
              <w:snapToGrid w:val="0"/>
              <w:jc w:val="center"/>
              <w:rPr>
                <w:rFonts w:hint="eastAsia" w:ascii="宋体" w:hAnsi="宋体"/>
                <w:color w:val="000000"/>
                <w:kern w:val="0"/>
                <w:sz w:val="18"/>
                <w:szCs w:val="18"/>
              </w:rPr>
            </w:pPr>
            <w:r>
              <w:rPr>
                <w:rFonts w:hint="eastAsia" w:ascii="宋体" w:hAnsi="宋体"/>
                <w:color w:val="000000"/>
                <w:kern w:val="0"/>
                <w:sz w:val="18"/>
                <w:szCs w:val="18"/>
              </w:rPr>
              <w:t>土地垦殖率</w:t>
            </w:r>
          </w:p>
        </w:tc>
        <w:tc>
          <w:tcPr>
            <w:tcW w:w="808" w:type="dxa"/>
            <w:vAlign w:val="center"/>
          </w:tcPr>
          <w:p w14:paraId="36685E58">
            <w:pPr>
              <w:keepNext/>
              <w:widowControl/>
              <w:snapToGrid w:val="0"/>
              <w:jc w:val="center"/>
              <w:rPr>
                <w:rFonts w:hint="eastAsia" w:ascii="宋体" w:hAnsi="宋体"/>
                <w:color w:val="000000"/>
                <w:kern w:val="0"/>
                <w:sz w:val="18"/>
                <w:szCs w:val="18"/>
              </w:rPr>
            </w:pPr>
          </w:p>
        </w:tc>
        <w:tc>
          <w:tcPr>
            <w:tcW w:w="1229" w:type="dxa"/>
            <w:gridSpan w:val="3"/>
            <w:vAlign w:val="center"/>
          </w:tcPr>
          <w:p w14:paraId="5CF82B9C">
            <w:pPr>
              <w:keepNext/>
              <w:widowControl/>
              <w:snapToGrid w:val="0"/>
              <w:jc w:val="center"/>
              <w:rPr>
                <w:rFonts w:hint="eastAsia" w:ascii="宋体" w:hAnsi="宋体"/>
                <w:color w:val="000000"/>
                <w:kern w:val="0"/>
                <w:sz w:val="18"/>
                <w:szCs w:val="18"/>
              </w:rPr>
            </w:pPr>
          </w:p>
        </w:tc>
        <w:tc>
          <w:tcPr>
            <w:tcW w:w="1413" w:type="dxa"/>
            <w:gridSpan w:val="2"/>
            <w:vAlign w:val="center"/>
          </w:tcPr>
          <w:p w14:paraId="37ADF11D">
            <w:pPr>
              <w:keepNext/>
              <w:widowControl/>
              <w:snapToGrid w:val="0"/>
              <w:jc w:val="center"/>
              <w:rPr>
                <w:rFonts w:hint="eastAsia" w:ascii="宋体" w:hAnsi="宋体"/>
                <w:color w:val="000000"/>
                <w:kern w:val="0"/>
                <w:sz w:val="18"/>
                <w:szCs w:val="18"/>
              </w:rPr>
            </w:pPr>
          </w:p>
        </w:tc>
        <w:tc>
          <w:tcPr>
            <w:tcW w:w="1588" w:type="dxa"/>
            <w:gridSpan w:val="3"/>
            <w:vAlign w:val="center"/>
          </w:tcPr>
          <w:p w14:paraId="2707BF87">
            <w:pPr>
              <w:keepNext/>
              <w:widowControl/>
              <w:snapToGrid w:val="0"/>
              <w:jc w:val="center"/>
              <w:rPr>
                <w:rFonts w:hint="eastAsia" w:ascii="宋体" w:hAnsi="宋体"/>
                <w:color w:val="000000"/>
                <w:kern w:val="0"/>
                <w:sz w:val="18"/>
                <w:szCs w:val="18"/>
              </w:rPr>
            </w:pPr>
          </w:p>
        </w:tc>
        <w:tc>
          <w:tcPr>
            <w:tcW w:w="1761" w:type="dxa"/>
            <w:gridSpan w:val="2"/>
            <w:vAlign w:val="center"/>
          </w:tcPr>
          <w:p w14:paraId="6F4B5749">
            <w:pPr>
              <w:keepNext/>
              <w:widowControl/>
              <w:snapToGrid w:val="0"/>
              <w:jc w:val="center"/>
              <w:rPr>
                <w:rFonts w:hint="eastAsia" w:ascii="宋体" w:hAnsi="宋体"/>
                <w:color w:val="000000"/>
                <w:kern w:val="0"/>
                <w:sz w:val="18"/>
                <w:szCs w:val="18"/>
              </w:rPr>
            </w:pPr>
          </w:p>
        </w:tc>
        <w:tc>
          <w:tcPr>
            <w:tcW w:w="1772" w:type="dxa"/>
            <w:gridSpan w:val="3"/>
            <w:vAlign w:val="center"/>
          </w:tcPr>
          <w:p w14:paraId="38608308">
            <w:pPr>
              <w:keepNext/>
              <w:widowControl/>
              <w:snapToGrid w:val="0"/>
              <w:jc w:val="center"/>
              <w:rPr>
                <w:rFonts w:hint="eastAsia" w:ascii="宋体" w:hAnsi="宋体"/>
                <w:color w:val="000000"/>
                <w:kern w:val="0"/>
                <w:sz w:val="18"/>
                <w:szCs w:val="18"/>
              </w:rPr>
            </w:pPr>
          </w:p>
        </w:tc>
        <w:tc>
          <w:tcPr>
            <w:tcW w:w="1592" w:type="dxa"/>
            <w:gridSpan w:val="2"/>
            <w:vAlign w:val="center"/>
          </w:tcPr>
          <w:p w14:paraId="698F98F4">
            <w:pPr>
              <w:keepNext/>
              <w:widowControl/>
              <w:snapToGrid w:val="0"/>
              <w:jc w:val="center"/>
              <w:rPr>
                <w:rFonts w:hint="eastAsia" w:ascii="宋体" w:hAnsi="宋体"/>
                <w:color w:val="000000"/>
                <w:kern w:val="0"/>
                <w:sz w:val="18"/>
                <w:szCs w:val="18"/>
              </w:rPr>
            </w:pPr>
          </w:p>
        </w:tc>
        <w:tc>
          <w:tcPr>
            <w:tcW w:w="1592" w:type="dxa"/>
            <w:vAlign w:val="center"/>
          </w:tcPr>
          <w:p w14:paraId="44EBBAAE">
            <w:pPr>
              <w:keepNext/>
              <w:widowControl/>
              <w:snapToGrid w:val="0"/>
              <w:jc w:val="center"/>
              <w:rPr>
                <w:rFonts w:hint="eastAsia" w:ascii="宋体" w:hAnsi="宋体"/>
                <w:color w:val="000000"/>
                <w:kern w:val="0"/>
                <w:sz w:val="18"/>
                <w:szCs w:val="18"/>
              </w:rPr>
            </w:pPr>
          </w:p>
        </w:tc>
      </w:tr>
      <w:tr w14:paraId="10342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1" w:type="dxa"/>
            <w:vMerge w:val="continue"/>
            <w:vAlign w:val="center"/>
          </w:tcPr>
          <w:p w14:paraId="2D688922">
            <w:pPr>
              <w:keepNext/>
              <w:widowControl/>
              <w:snapToGrid w:val="0"/>
              <w:jc w:val="center"/>
              <w:rPr>
                <w:rFonts w:hint="eastAsia" w:ascii="宋体" w:hAnsi="宋体"/>
                <w:color w:val="000000"/>
                <w:kern w:val="0"/>
                <w:sz w:val="18"/>
                <w:szCs w:val="18"/>
              </w:rPr>
            </w:pPr>
          </w:p>
        </w:tc>
        <w:tc>
          <w:tcPr>
            <w:tcW w:w="1301" w:type="dxa"/>
            <w:vAlign w:val="center"/>
          </w:tcPr>
          <w:p w14:paraId="1E61B180">
            <w:pPr>
              <w:keepNext/>
              <w:widowControl/>
              <w:snapToGrid w:val="0"/>
              <w:jc w:val="center"/>
              <w:rPr>
                <w:rFonts w:hint="eastAsia" w:ascii="宋体" w:hAnsi="宋体"/>
                <w:color w:val="000000"/>
                <w:kern w:val="0"/>
                <w:sz w:val="18"/>
                <w:szCs w:val="18"/>
              </w:rPr>
            </w:pPr>
            <w:r>
              <w:rPr>
                <w:rFonts w:hint="eastAsia" w:ascii="宋体" w:hAnsi="宋体"/>
                <w:color w:val="000000"/>
                <w:kern w:val="0"/>
                <w:sz w:val="18"/>
                <w:szCs w:val="18"/>
              </w:rPr>
              <w:t>……</w:t>
            </w:r>
          </w:p>
        </w:tc>
        <w:tc>
          <w:tcPr>
            <w:tcW w:w="808" w:type="dxa"/>
            <w:vAlign w:val="center"/>
          </w:tcPr>
          <w:p w14:paraId="24E32E4E">
            <w:pPr>
              <w:keepNext/>
              <w:widowControl/>
              <w:snapToGrid w:val="0"/>
              <w:jc w:val="center"/>
              <w:rPr>
                <w:rFonts w:hint="eastAsia" w:ascii="宋体" w:hAnsi="宋体"/>
                <w:color w:val="000000"/>
                <w:kern w:val="0"/>
                <w:sz w:val="18"/>
                <w:szCs w:val="18"/>
              </w:rPr>
            </w:pPr>
          </w:p>
        </w:tc>
        <w:tc>
          <w:tcPr>
            <w:tcW w:w="1229" w:type="dxa"/>
            <w:gridSpan w:val="3"/>
            <w:vAlign w:val="center"/>
          </w:tcPr>
          <w:p w14:paraId="3A741FA8">
            <w:pPr>
              <w:keepNext/>
              <w:widowControl/>
              <w:snapToGrid w:val="0"/>
              <w:jc w:val="center"/>
              <w:rPr>
                <w:rFonts w:hint="eastAsia" w:ascii="宋体" w:hAnsi="宋体"/>
                <w:color w:val="000000"/>
                <w:kern w:val="0"/>
                <w:sz w:val="18"/>
                <w:szCs w:val="18"/>
              </w:rPr>
            </w:pPr>
          </w:p>
        </w:tc>
        <w:tc>
          <w:tcPr>
            <w:tcW w:w="1413" w:type="dxa"/>
            <w:gridSpan w:val="2"/>
            <w:vAlign w:val="center"/>
          </w:tcPr>
          <w:p w14:paraId="13EF4826">
            <w:pPr>
              <w:keepNext/>
              <w:widowControl/>
              <w:snapToGrid w:val="0"/>
              <w:jc w:val="center"/>
              <w:rPr>
                <w:rFonts w:hint="eastAsia" w:ascii="宋体" w:hAnsi="宋体"/>
                <w:color w:val="000000"/>
                <w:kern w:val="0"/>
                <w:sz w:val="18"/>
                <w:szCs w:val="18"/>
              </w:rPr>
            </w:pPr>
          </w:p>
        </w:tc>
        <w:tc>
          <w:tcPr>
            <w:tcW w:w="1588" w:type="dxa"/>
            <w:gridSpan w:val="3"/>
            <w:vAlign w:val="center"/>
          </w:tcPr>
          <w:p w14:paraId="5DAFA4A8">
            <w:pPr>
              <w:keepNext/>
              <w:widowControl/>
              <w:snapToGrid w:val="0"/>
              <w:jc w:val="center"/>
              <w:rPr>
                <w:rFonts w:hint="eastAsia" w:ascii="宋体" w:hAnsi="宋体"/>
                <w:color w:val="000000"/>
                <w:kern w:val="0"/>
                <w:sz w:val="18"/>
                <w:szCs w:val="18"/>
              </w:rPr>
            </w:pPr>
          </w:p>
        </w:tc>
        <w:tc>
          <w:tcPr>
            <w:tcW w:w="1761" w:type="dxa"/>
            <w:gridSpan w:val="2"/>
            <w:vAlign w:val="center"/>
          </w:tcPr>
          <w:p w14:paraId="364CAC7B">
            <w:pPr>
              <w:keepNext/>
              <w:widowControl/>
              <w:snapToGrid w:val="0"/>
              <w:jc w:val="center"/>
              <w:rPr>
                <w:rFonts w:hint="eastAsia" w:ascii="宋体" w:hAnsi="宋体"/>
                <w:color w:val="000000"/>
                <w:kern w:val="0"/>
                <w:sz w:val="18"/>
                <w:szCs w:val="18"/>
              </w:rPr>
            </w:pPr>
          </w:p>
        </w:tc>
        <w:tc>
          <w:tcPr>
            <w:tcW w:w="1772" w:type="dxa"/>
            <w:gridSpan w:val="3"/>
            <w:vAlign w:val="center"/>
          </w:tcPr>
          <w:p w14:paraId="3681B04B">
            <w:pPr>
              <w:keepNext/>
              <w:widowControl/>
              <w:snapToGrid w:val="0"/>
              <w:jc w:val="center"/>
              <w:rPr>
                <w:rFonts w:hint="eastAsia" w:ascii="宋体" w:hAnsi="宋体"/>
                <w:color w:val="000000"/>
                <w:kern w:val="0"/>
                <w:sz w:val="18"/>
                <w:szCs w:val="18"/>
              </w:rPr>
            </w:pPr>
          </w:p>
        </w:tc>
        <w:tc>
          <w:tcPr>
            <w:tcW w:w="1592" w:type="dxa"/>
            <w:gridSpan w:val="2"/>
            <w:vAlign w:val="center"/>
          </w:tcPr>
          <w:p w14:paraId="2854FD45">
            <w:pPr>
              <w:keepNext/>
              <w:widowControl/>
              <w:snapToGrid w:val="0"/>
              <w:jc w:val="center"/>
              <w:rPr>
                <w:rFonts w:hint="eastAsia" w:ascii="宋体" w:hAnsi="宋体"/>
                <w:color w:val="000000"/>
                <w:kern w:val="0"/>
                <w:sz w:val="18"/>
                <w:szCs w:val="18"/>
              </w:rPr>
            </w:pPr>
          </w:p>
        </w:tc>
        <w:tc>
          <w:tcPr>
            <w:tcW w:w="1592" w:type="dxa"/>
            <w:vAlign w:val="center"/>
          </w:tcPr>
          <w:p w14:paraId="5F85199B">
            <w:pPr>
              <w:keepNext/>
              <w:widowControl/>
              <w:snapToGrid w:val="0"/>
              <w:jc w:val="center"/>
              <w:rPr>
                <w:rFonts w:hint="eastAsia" w:ascii="宋体" w:hAnsi="宋体"/>
                <w:color w:val="000000"/>
                <w:kern w:val="0"/>
                <w:sz w:val="18"/>
                <w:szCs w:val="18"/>
              </w:rPr>
            </w:pPr>
          </w:p>
        </w:tc>
      </w:tr>
      <w:tr w14:paraId="31509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1" w:type="dxa"/>
            <w:vMerge w:val="restart"/>
            <w:vAlign w:val="center"/>
          </w:tcPr>
          <w:p w14:paraId="3C748478">
            <w:pPr>
              <w:keepNext/>
              <w:widowControl/>
              <w:snapToGrid w:val="0"/>
              <w:jc w:val="center"/>
              <w:rPr>
                <w:rFonts w:hint="eastAsia" w:ascii="宋体" w:hAnsi="宋体"/>
                <w:color w:val="000000"/>
                <w:kern w:val="0"/>
                <w:sz w:val="18"/>
                <w:szCs w:val="18"/>
              </w:rPr>
            </w:pPr>
            <w:r>
              <w:rPr>
                <w:rFonts w:hint="eastAsia" w:ascii="宋体" w:hAnsi="宋体"/>
                <w:color w:val="000000"/>
                <w:kern w:val="0"/>
                <w:sz w:val="18"/>
                <w:szCs w:val="18"/>
              </w:rPr>
              <w:t>景观格局</w:t>
            </w:r>
          </w:p>
        </w:tc>
        <w:tc>
          <w:tcPr>
            <w:tcW w:w="1301" w:type="dxa"/>
            <w:vAlign w:val="center"/>
          </w:tcPr>
          <w:p w14:paraId="5D0ABC52">
            <w:pPr>
              <w:keepNext/>
              <w:widowControl/>
              <w:snapToGrid w:val="0"/>
              <w:jc w:val="center"/>
              <w:rPr>
                <w:rFonts w:hint="eastAsia" w:ascii="宋体" w:hAnsi="宋体"/>
                <w:color w:val="000000"/>
                <w:kern w:val="0"/>
                <w:sz w:val="18"/>
                <w:szCs w:val="18"/>
              </w:rPr>
            </w:pPr>
            <w:r>
              <w:rPr>
                <w:rFonts w:hint="eastAsia" w:ascii="宋体" w:hAnsi="宋体"/>
                <w:color w:val="000000"/>
                <w:kern w:val="0"/>
                <w:sz w:val="18"/>
                <w:szCs w:val="18"/>
              </w:rPr>
              <w:t>生态系统类型数量</w:t>
            </w:r>
          </w:p>
        </w:tc>
        <w:tc>
          <w:tcPr>
            <w:tcW w:w="808" w:type="dxa"/>
            <w:vAlign w:val="center"/>
          </w:tcPr>
          <w:p w14:paraId="7FE76FA0">
            <w:pPr>
              <w:keepNext/>
              <w:widowControl/>
              <w:snapToGrid w:val="0"/>
              <w:jc w:val="center"/>
              <w:rPr>
                <w:rFonts w:hint="eastAsia" w:ascii="宋体" w:hAnsi="宋体"/>
                <w:color w:val="000000"/>
                <w:kern w:val="0"/>
                <w:sz w:val="18"/>
                <w:szCs w:val="18"/>
              </w:rPr>
            </w:pPr>
          </w:p>
        </w:tc>
        <w:tc>
          <w:tcPr>
            <w:tcW w:w="1229" w:type="dxa"/>
            <w:gridSpan w:val="3"/>
            <w:vAlign w:val="center"/>
          </w:tcPr>
          <w:p w14:paraId="6CB24528">
            <w:pPr>
              <w:keepNext/>
              <w:widowControl/>
              <w:snapToGrid w:val="0"/>
              <w:jc w:val="center"/>
              <w:rPr>
                <w:rFonts w:hint="eastAsia" w:ascii="宋体" w:hAnsi="宋体"/>
                <w:color w:val="000000"/>
                <w:kern w:val="0"/>
                <w:sz w:val="18"/>
                <w:szCs w:val="18"/>
              </w:rPr>
            </w:pPr>
          </w:p>
        </w:tc>
        <w:tc>
          <w:tcPr>
            <w:tcW w:w="1413" w:type="dxa"/>
            <w:gridSpan w:val="2"/>
            <w:vAlign w:val="center"/>
          </w:tcPr>
          <w:p w14:paraId="0E140F70">
            <w:pPr>
              <w:keepNext/>
              <w:widowControl/>
              <w:snapToGrid w:val="0"/>
              <w:jc w:val="center"/>
              <w:rPr>
                <w:rFonts w:hint="eastAsia" w:ascii="宋体" w:hAnsi="宋体"/>
                <w:color w:val="000000"/>
                <w:kern w:val="0"/>
                <w:sz w:val="18"/>
                <w:szCs w:val="18"/>
              </w:rPr>
            </w:pPr>
          </w:p>
        </w:tc>
        <w:tc>
          <w:tcPr>
            <w:tcW w:w="1588" w:type="dxa"/>
            <w:gridSpan w:val="3"/>
            <w:vAlign w:val="center"/>
          </w:tcPr>
          <w:p w14:paraId="32A0F190">
            <w:pPr>
              <w:keepNext/>
              <w:widowControl/>
              <w:snapToGrid w:val="0"/>
              <w:jc w:val="center"/>
              <w:rPr>
                <w:rFonts w:hint="eastAsia" w:ascii="宋体" w:hAnsi="宋体"/>
                <w:color w:val="000000"/>
                <w:kern w:val="0"/>
                <w:sz w:val="18"/>
                <w:szCs w:val="18"/>
              </w:rPr>
            </w:pPr>
          </w:p>
        </w:tc>
        <w:tc>
          <w:tcPr>
            <w:tcW w:w="1761" w:type="dxa"/>
            <w:gridSpan w:val="2"/>
            <w:vAlign w:val="center"/>
          </w:tcPr>
          <w:p w14:paraId="635FEBCA">
            <w:pPr>
              <w:keepNext/>
              <w:widowControl/>
              <w:snapToGrid w:val="0"/>
              <w:jc w:val="center"/>
              <w:rPr>
                <w:rFonts w:hint="eastAsia" w:ascii="宋体" w:hAnsi="宋体"/>
                <w:color w:val="000000"/>
                <w:kern w:val="0"/>
                <w:sz w:val="18"/>
                <w:szCs w:val="18"/>
              </w:rPr>
            </w:pPr>
          </w:p>
        </w:tc>
        <w:tc>
          <w:tcPr>
            <w:tcW w:w="1772" w:type="dxa"/>
            <w:gridSpan w:val="3"/>
            <w:vAlign w:val="center"/>
          </w:tcPr>
          <w:p w14:paraId="71E59359">
            <w:pPr>
              <w:keepNext/>
              <w:widowControl/>
              <w:snapToGrid w:val="0"/>
              <w:jc w:val="center"/>
              <w:rPr>
                <w:rFonts w:hint="eastAsia" w:ascii="宋体" w:hAnsi="宋体"/>
                <w:color w:val="000000"/>
                <w:kern w:val="0"/>
                <w:sz w:val="18"/>
                <w:szCs w:val="18"/>
              </w:rPr>
            </w:pPr>
          </w:p>
        </w:tc>
        <w:tc>
          <w:tcPr>
            <w:tcW w:w="1592" w:type="dxa"/>
            <w:gridSpan w:val="2"/>
            <w:vAlign w:val="center"/>
          </w:tcPr>
          <w:p w14:paraId="0F52BDEA">
            <w:pPr>
              <w:keepNext/>
              <w:widowControl/>
              <w:snapToGrid w:val="0"/>
              <w:jc w:val="center"/>
              <w:rPr>
                <w:rFonts w:hint="eastAsia" w:ascii="宋体" w:hAnsi="宋体"/>
                <w:color w:val="000000"/>
                <w:kern w:val="0"/>
                <w:sz w:val="18"/>
                <w:szCs w:val="18"/>
              </w:rPr>
            </w:pPr>
          </w:p>
        </w:tc>
        <w:tc>
          <w:tcPr>
            <w:tcW w:w="1592" w:type="dxa"/>
            <w:vAlign w:val="center"/>
          </w:tcPr>
          <w:p w14:paraId="744C61CB">
            <w:pPr>
              <w:keepNext/>
              <w:widowControl/>
              <w:snapToGrid w:val="0"/>
              <w:jc w:val="center"/>
              <w:rPr>
                <w:rFonts w:hint="eastAsia" w:ascii="宋体" w:hAnsi="宋体"/>
                <w:color w:val="000000"/>
                <w:kern w:val="0"/>
                <w:sz w:val="18"/>
                <w:szCs w:val="18"/>
              </w:rPr>
            </w:pPr>
          </w:p>
        </w:tc>
      </w:tr>
      <w:tr w14:paraId="35666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 w:hRule="atLeast"/>
        </w:trPr>
        <w:tc>
          <w:tcPr>
            <w:tcW w:w="1111" w:type="dxa"/>
            <w:vMerge w:val="continue"/>
            <w:vAlign w:val="center"/>
          </w:tcPr>
          <w:p w14:paraId="7B468870">
            <w:pPr>
              <w:keepNext/>
              <w:widowControl/>
              <w:snapToGrid w:val="0"/>
              <w:jc w:val="center"/>
              <w:rPr>
                <w:rFonts w:hint="eastAsia" w:ascii="宋体" w:hAnsi="宋体"/>
                <w:color w:val="000000"/>
                <w:kern w:val="0"/>
                <w:sz w:val="18"/>
                <w:szCs w:val="18"/>
              </w:rPr>
            </w:pPr>
          </w:p>
        </w:tc>
        <w:tc>
          <w:tcPr>
            <w:tcW w:w="1301" w:type="dxa"/>
            <w:vAlign w:val="center"/>
          </w:tcPr>
          <w:p w14:paraId="5BED1F21">
            <w:pPr>
              <w:keepNext/>
              <w:widowControl/>
              <w:snapToGrid w:val="0"/>
              <w:jc w:val="center"/>
              <w:rPr>
                <w:rFonts w:hint="eastAsia" w:ascii="宋体" w:hAnsi="宋体"/>
                <w:color w:val="000000"/>
                <w:kern w:val="0"/>
                <w:sz w:val="18"/>
                <w:szCs w:val="18"/>
              </w:rPr>
            </w:pPr>
            <w:r>
              <w:rPr>
                <w:rFonts w:hint="eastAsia" w:ascii="宋体" w:hAnsi="宋体"/>
                <w:color w:val="000000"/>
                <w:kern w:val="0"/>
                <w:sz w:val="18"/>
                <w:szCs w:val="18"/>
              </w:rPr>
              <w:t>不同类型生态系统面积</w:t>
            </w:r>
          </w:p>
        </w:tc>
        <w:tc>
          <w:tcPr>
            <w:tcW w:w="808" w:type="dxa"/>
            <w:vAlign w:val="center"/>
          </w:tcPr>
          <w:p w14:paraId="32D02B4D">
            <w:pPr>
              <w:keepNext/>
              <w:widowControl/>
              <w:snapToGrid w:val="0"/>
              <w:jc w:val="center"/>
              <w:rPr>
                <w:rFonts w:hint="eastAsia" w:ascii="宋体" w:hAnsi="宋体"/>
                <w:color w:val="000000"/>
                <w:kern w:val="0"/>
                <w:sz w:val="18"/>
                <w:szCs w:val="18"/>
              </w:rPr>
            </w:pPr>
          </w:p>
        </w:tc>
        <w:tc>
          <w:tcPr>
            <w:tcW w:w="1229" w:type="dxa"/>
            <w:gridSpan w:val="3"/>
            <w:vAlign w:val="center"/>
          </w:tcPr>
          <w:p w14:paraId="7719FB8A">
            <w:pPr>
              <w:keepNext/>
              <w:widowControl/>
              <w:snapToGrid w:val="0"/>
              <w:jc w:val="center"/>
              <w:rPr>
                <w:rFonts w:hint="eastAsia" w:ascii="宋体" w:hAnsi="宋体"/>
                <w:color w:val="000000"/>
                <w:kern w:val="0"/>
                <w:sz w:val="18"/>
                <w:szCs w:val="18"/>
              </w:rPr>
            </w:pPr>
          </w:p>
        </w:tc>
        <w:tc>
          <w:tcPr>
            <w:tcW w:w="1413" w:type="dxa"/>
            <w:gridSpan w:val="2"/>
            <w:vAlign w:val="center"/>
          </w:tcPr>
          <w:p w14:paraId="3AD3E3C8">
            <w:pPr>
              <w:keepNext/>
              <w:widowControl/>
              <w:snapToGrid w:val="0"/>
              <w:jc w:val="center"/>
              <w:rPr>
                <w:rFonts w:hint="eastAsia" w:ascii="宋体" w:hAnsi="宋体"/>
                <w:color w:val="000000"/>
                <w:kern w:val="0"/>
                <w:sz w:val="18"/>
                <w:szCs w:val="18"/>
              </w:rPr>
            </w:pPr>
          </w:p>
        </w:tc>
        <w:tc>
          <w:tcPr>
            <w:tcW w:w="1588" w:type="dxa"/>
            <w:gridSpan w:val="3"/>
            <w:vAlign w:val="center"/>
          </w:tcPr>
          <w:p w14:paraId="6DD632DD">
            <w:pPr>
              <w:keepNext/>
              <w:widowControl/>
              <w:snapToGrid w:val="0"/>
              <w:jc w:val="center"/>
              <w:rPr>
                <w:rFonts w:hint="eastAsia" w:ascii="宋体" w:hAnsi="宋体"/>
                <w:color w:val="000000"/>
                <w:kern w:val="0"/>
                <w:sz w:val="18"/>
                <w:szCs w:val="18"/>
              </w:rPr>
            </w:pPr>
          </w:p>
        </w:tc>
        <w:tc>
          <w:tcPr>
            <w:tcW w:w="1761" w:type="dxa"/>
            <w:gridSpan w:val="2"/>
            <w:vAlign w:val="center"/>
          </w:tcPr>
          <w:p w14:paraId="4D6A45DD">
            <w:pPr>
              <w:keepNext/>
              <w:widowControl/>
              <w:snapToGrid w:val="0"/>
              <w:jc w:val="center"/>
              <w:rPr>
                <w:rFonts w:hint="eastAsia" w:ascii="宋体" w:hAnsi="宋体"/>
                <w:color w:val="000000"/>
                <w:kern w:val="0"/>
                <w:sz w:val="18"/>
                <w:szCs w:val="18"/>
              </w:rPr>
            </w:pPr>
          </w:p>
        </w:tc>
        <w:tc>
          <w:tcPr>
            <w:tcW w:w="1772" w:type="dxa"/>
            <w:gridSpan w:val="3"/>
            <w:vAlign w:val="center"/>
          </w:tcPr>
          <w:p w14:paraId="0107199D">
            <w:pPr>
              <w:keepNext/>
              <w:widowControl/>
              <w:snapToGrid w:val="0"/>
              <w:jc w:val="center"/>
              <w:rPr>
                <w:rFonts w:hint="eastAsia" w:ascii="宋体" w:hAnsi="宋体"/>
                <w:color w:val="000000"/>
                <w:kern w:val="0"/>
                <w:sz w:val="18"/>
                <w:szCs w:val="18"/>
              </w:rPr>
            </w:pPr>
          </w:p>
        </w:tc>
        <w:tc>
          <w:tcPr>
            <w:tcW w:w="1592" w:type="dxa"/>
            <w:gridSpan w:val="2"/>
            <w:vAlign w:val="center"/>
          </w:tcPr>
          <w:p w14:paraId="086E45D9">
            <w:pPr>
              <w:keepNext/>
              <w:widowControl/>
              <w:snapToGrid w:val="0"/>
              <w:jc w:val="center"/>
              <w:rPr>
                <w:rFonts w:hint="eastAsia" w:ascii="宋体" w:hAnsi="宋体"/>
                <w:color w:val="000000"/>
                <w:kern w:val="0"/>
                <w:sz w:val="18"/>
                <w:szCs w:val="18"/>
              </w:rPr>
            </w:pPr>
          </w:p>
        </w:tc>
        <w:tc>
          <w:tcPr>
            <w:tcW w:w="1592" w:type="dxa"/>
            <w:vAlign w:val="center"/>
          </w:tcPr>
          <w:p w14:paraId="097A56F3">
            <w:pPr>
              <w:keepNext/>
              <w:widowControl/>
              <w:snapToGrid w:val="0"/>
              <w:jc w:val="center"/>
              <w:rPr>
                <w:rFonts w:hint="eastAsia" w:ascii="宋体" w:hAnsi="宋体"/>
                <w:color w:val="000000"/>
                <w:kern w:val="0"/>
                <w:sz w:val="18"/>
                <w:szCs w:val="18"/>
              </w:rPr>
            </w:pPr>
          </w:p>
        </w:tc>
      </w:tr>
      <w:tr w14:paraId="7D5A4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 w:hRule="atLeast"/>
        </w:trPr>
        <w:tc>
          <w:tcPr>
            <w:tcW w:w="1111" w:type="dxa"/>
            <w:vMerge w:val="continue"/>
            <w:vAlign w:val="center"/>
          </w:tcPr>
          <w:p w14:paraId="33B0F327">
            <w:pPr>
              <w:keepNext/>
              <w:widowControl/>
              <w:snapToGrid w:val="0"/>
              <w:jc w:val="center"/>
              <w:rPr>
                <w:rFonts w:hint="eastAsia" w:ascii="宋体" w:hAnsi="宋体"/>
                <w:color w:val="000000"/>
                <w:kern w:val="0"/>
                <w:sz w:val="18"/>
                <w:szCs w:val="18"/>
              </w:rPr>
            </w:pPr>
          </w:p>
        </w:tc>
        <w:tc>
          <w:tcPr>
            <w:tcW w:w="1301" w:type="dxa"/>
            <w:vAlign w:val="center"/>
          </w:tcPr>
          <w:p w14:paraId="266CE54E">
            <w:pPr>
              <w:keepNext/>
              <w:widowControl/>
              <w:snapToGrid w:val="0"/>
              <w:jc w:val="center"/>
              <w:rPr>
                <w:rFonts w:hint="eastAsia" w:ascii="宋体" w:hAnsi="宋体"/>
                <w:color w:val="000000"/>
                <w:kern w:val="0"/>
                <w:sz w:val="18"/>
                <w:szCs w:val="18"/>
              </w:rPr>
            </w:pPr>
            <w:r>
              <w:rPr>
                <w:rFonts w:hint="eastAsia" w:ascii="宋体" w:hAnsi="宋体"/>
                <w:color w:val="000000"/>
                <w:kern w:val="0"/>
                <w:sz w:val="18"/>
                <w:szCs w:val="18"/>
              </w:rPr>
              <w:t>斑块数</w:t>
            </w:r>
          </w:p>
        </w:tc>
        <w:tc>
          <w:tcPr>
            <w:tcW w:w="808" w:type="dxa"/>
            <w:vAlign w:val="center"/>
          </w:tcPr>
          <w:p w14:paraId="3AA59569">
            <w:pPr>
              <w:keepNext/>
              <w:widowControl/>
              <w:snapToGrid w:val="0"/>
              <w:jc w:val="center"/>
              <w:rPr>
                <w:rFonts w:hint="eastAsia" w:ascii="宋体" w:hAnsi="宋体"/>
                <w:color w:val="000000"/>
                <w:kern w:val="0"/>
                <w:sz w:val="18"/>
                <w:szCs w:val="18"/>
              </w:rPr>
            </w:pPr>
          </w:p>
        </w:tc>
        <w:tc>
          <w:tcPr>
            <w:tcW w:w="1229" w:type="dxa"/>
            <w:gridSpan w:val="3"/>
            <w:vAlign w:val="center"/>
          </w:tcPr>
          <w:p w14:paraId="7D61C032">
            <w:pPr>
              <w:keepNext/>
              <w:widowControl/>
              <w:snapToGrid w:val="0"/>
              <w:jc w:val="center"/>
              <w:rPr>
                <w:rFonts w:hint="eastAsia" w:ascii="宋体" w:hAnsi="宋体"/>
                <w:color w:val="000000"/>
                <w:kern w:val="0"/>
                <w:sz w:val="18"/>
                <w:szCs w:val="18"/>
              </w:rPr>
            </w:pPr>
          </w:p>
        </w:tc>
        <w:tc>
          <w:tcPr>
            <w:tcW w:w="1413" w:type="dxa"/>
            <w:gridSpan w:val="2"/>
            <w:vAlign w:val="center"/>
          </w:tcPr>
          <w:p w14:paraId="2A174350">
            <w:pPr>
              <w:keepNext/>
              <w:widowControl/>
              <w:snapToGrid w:val="0"/>
              <w:jc w:val="center"/>
              <w:rPr>
                <w:rFonts w:hint="eastAsia" w:ascii="宋体" w:hAnsi="宋体"/>
                <w:color w:val="000000"/>
                <w:kern w:val="0"/>
                <w:sz w:val="18"/>
                <w:szCs w:val="18"/>
              </w:rPr>
            </w:pPr>
          </w:p>
        </w:tc>
        <w:tc>
          <w:tcPr>
            <w:tcW w:w="1588" w:type="dxa"/>
            <w:gridSpan w:val="3"/>
            <w:vAlign w:val="center"/>
          </w:tcPr>
          <w:p w14:paraId="597E255C">
            <w:pPr>
              <w:keepNext/>
              <w:widowControl/>
              <w:snapToGrid w:val="0"/>
              <w:jc w:val="center"/>
              <w:rPr>
                <w:rFonts w:hint="eastAsia" w:ascii="宋体" w:hAnsi="宋体"/>
                <w:color w:val="000000"/>
                <w:kern w:val="0"/>
                <w:sz w:val="18"/>
                <w:szCs w:val="18"/>
              </w:rPr>
            </w:pPr>
          </w:p>
        </w:tc>
        <w:tc>
          <w:tcPr>
            <w:tcW w:w="1761" w:type="dxa"/>
            <w:gridSpan w:val="2"/>
            <w:vAlign w:val="center"/>
          </w:tcPr>
          <w:p w14:paraId="576C1755">
            <w:pPr>
              <w:keepNext/>
              <w:widowControl/>
              <w:snapToGrid w:val="0"/>
              <w:jc w:val="center"/>
              <w:rPr>
                <w:rFonts w:hint="eastAsia" w:ascii="宋体" w:hAnsi="宋体"/>
                <w:color w:val="000000"/>
                <w:kern w:val="0"/>
                <w:sz w:val="18"/>
                <w:szCs w:val="18"/>
              </w:rPr>
            </w:pPr>
          </w:p>
        </w:tc>
        <w:tc>
          <w:tcPr>
            <w:tcW w:w="1772" w:type="dxa"/>
            <w:gridSpan w:val="3"/>
            <w:vAlign w:val="center"/>
          </w:tcPr>
          <w:p w14:paraId="68C7FAB5">
            <w:pPr>
              <w:keepNext/>
              <w:widowControl/>
              <w:snapToGrid w:val="0"/>
              <w:jc w:val="center"/>
              <w:rPr>
                <w:rFonts w:hint="eastAsia" w:ascii="宋体" w:hAnsi="宋体"/>
                <w:color w:val="000000"/>
                <w:kern w:val="0"/>
                <w:sz w:val="18"/>
                <w:szCs w:val="18"/>
              </w:rPr>
            </w:pPr>
          </w:p>
        </w:tc>
        <w:tc>
          <w:tcPr>
            <w:tcW w:w="1592" w:type="dxa"/>
            <w:gridSpan w:val="2"/>
            <w:vAlign w:val="center"/>
          </w:tcPr>
          <w:p w14:paraId="5AE9E1FF">
            <w:pPr>
              <w:keepNext/>
              <w:widowControl/>
              <w:snapToGrid w:val="0"/>
              <w:jc w:val="center"/>
              <w:rPr>
                <w:rFonts w:hint="eastAsia" w:ascii="宋体" w:hAnsi="宋体"/>
                <w:color w:val="000000"/>
                <w:kern w:val="0"/>
                <w:sz w:val="18"/>
                <w:szCs w:val="18"/>
              </w:rPr>
            </w:pPr>
          </w:p>
        </w:tc>
        <w:tc>
          <w:tcPr>
            <w:tcW w:w="1592" w:type="dxa"/>
            <w:vAlign w:val="center"/>
          </w:tcPr>
          <w:p w14:paraId="598FD139">
            <w:pPr>
              <w:keepNext/>
              <w:widowControl/>
              <w:snapToGrid w:val="0"/>
              <w:jc w:val="center"/>
              <w:rPr>
                <w:rFonts w:hint="eastAsia" w:ascii="宋体" w:hAnsi="宋体"/>
                <w:color w:val="000000"/>
                <w:kern w:val="0"/>
                <w:sz w:val="18"/>
                <w:szCs w:val="18"/>
              </w:rPr>
            </w:pPr>
          </w:p>
        </w:tc>
      </w:tr>
      <w:tr w14:paraId="7DB40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 w:hRule="atLeast"/>
        </w:trPr>
        <w:tc>
          <w:tcPr>
            <w:tcW w:w="1111" w:type="dxa"/>
            <w:vMerge w:val="continue"/>
            <w:vAlign w:val="center"/>
          </w:tcPr>
          <w:p w14:paraId="0C36A233">
            <w:pPr>
              <w:keepNext/>
              <w:widowControl/>
              <w:snapToGrid w:val="0"/>
              <w:jc w:val="center"/>
              <w:rPr>
                <w:rFonts w:hint="eastAsia" w:ascii="宋体" w:hAnsi="宋体"/>
                <w:color w:val="000000"/>
                <w:kern w:val="0"/>
                <w:sz w:val="18"/>
                <w:szCs w:val="18"/>
              </w:rPr>
            </w:pPr>
          </w:p>
        </w:tc>
        <w:tc>
          <w:tcPr>
            <w:tcW w:w="1301" w:type="dxa"/>
            <w:vAlign w:val="center"/>
          </w:tcPr>
          <w:p w14:paraId="26F93933">
            <w:pPr>
              <w:keepNext/>
              <w:widowControl/>
              <w:snapToGrid w:val="0"/>
              <w:jc w:val="center"/>
              <w:rPr>
                <w:rFonts w:hint="eastAsia" w:ascii="宋体" w:hAnsi="宋体"/>
                <w:color w:val="000000"/>
                <w:kern w:val="0"/>
                <w:sz w:val="18"/>
                <w:szCs w:val="18"/>
              </w:rPr>
            </w:pPr>
            <w:r>
              <w:rPr>
                <w:rFonts w:hint="eastAsia" w:ascii="宋体" w:hAnsi="宋体"/>
                <w:color w:val="000000"/>
                <w:kern w:val="0"/>
                <w:sz w:val="18"/>
                <w:szCs w:val="18"/>
              </w:rPr>
              <w:t>……</w:t>
            </w:r>
          </w:p>
        </w:tc>
        <w:tc>
          <w:tcPr>
            <w:tcW w:w="808" w:type="dxa"/>
            <w:vAlign w:val="center"/>
          </w:tcPr>
          <w:p w14:paraId="4214159F">
            <w:pPr>
              <w:keepNext/>
              <w:widowControl/>
              <w:snapToGrid w:val="0"/>
              <w:jc w:val="center"/>
              <w:rPr>
                <w:rFonts w:hint="eastAsia" w:ascii="宋体" w:hAnsi="宋体"/>
                <w:color w:val="000000"/>
                <w:kern w:val="0"/>
                <w:sz w:val="18"/>
                <w:szCs w:val="18"/>
              </w:rPr>
            </w:pPr>
          </w:p>
        </w:tc>
        <w:tc>
          <w:tcPr>
            <w:tcW w:w="1229" w:type="dxa"/>
            <w:gridSpan w:val="3"/>
            <w:vAlign w:val="center"/>
          </w:tcPr>
          <w:p w14:paraId="178E422A">
            <w:pPr>
              <w:keepNext/>
              <w:widowControl/>
              <w:snapToGrid w:val="0"/>
              <w:jc w:val="center"/>
              <w:rPr>
                <w:rFonts w:hint="eastAsia" w:ascii="宋体" w:hAnsi="宋体"/>
                <w:color w:val="000000"/>
                <w:kern w:val="0"/>
                <w:sz w:val="18"/>
                <w:szCs w:val="18"/>
              </w:rPr>
            </w:pPr>
          </w:p>
        </w:tc>
        <w:tc>
          <w:tcPr>
            <w:tcW w:w="1413" w:type="dxa"/>
            <w:gridSpan w:val="2"/>
            <w:vAlign w:val="center"/>
          </w:tcPr>
          <w:p w14:paraId="478D1116">
            <w:pPr>
              <w:keepNext/>
              <w:widowControl/>
              <w:snapToGrid w:val="0"/>
              <w:jc w:val="center"/>
              <w:rPr>
                <w:rFonts w:hint="eastAsia" w:ascii="宋体" w:hAnsi="宋体"/>
                <w:color w:val="000000"/>
                <w:kern w:val="0"/>
                <w:sz w:val="18"/>
                <w:szCs w:val="18"/>
              </w:rPr>
            </w:pPr>
          </w:p>
        </w:tc>
        <w:tc>
          <w:tcPr>
            <w:tcW w:w="1588" w:type="dxa"/>
            <w:gridSpan w:val="3"/>
            <w:vAlign w:val="center"/>
          </w:tcPr>
          <w:p w14:paraId="09D54BF1">
            <w:pPr>
              <w:keepNext/>
              <w:widowControl/>
              <w:snapToGrid w:val="0"/>
              <w:jc w:val="center"/>
              <w:rPr>
                <w:rFonts w:hint="eastAsia" w:ascii="宋体" w:hAnsi="宋体"/>
                <w:color w:val="000000"/>
                <w:kern w:val="0"/>
                <w:sz w:val="18"/>
                <w:szCs w:val="18"/>
              </w:rPr>
            </w:pPr>
          </w:p>
        </w:tc>
        <w:tc>
          <w:tcPr>
            <w:tcW w:w="1761" w:type="dxa"/>
            <w:gridSpan w:val="2"/>
            <w:vAlign w:val="center"/>
          </w:tcPr>
          <w:p w14:paraId="56CF12F3">
            <w:pPr>
              <w:keepNext/>
              <w:widowControl/>
              <w:snapToGrid w:val="0"/>
              <w:jc w:val="center"/>
              <w:rPr>
                <w:rFonts w:hint="eastAsia" w:ascii="宋体" w:hAnsi="宋体"/>
                <w:color w:val="000000"/>
                <w:kern w:val="0"/>
                <w:sz w:val="18"/>
                <w:szCs w:val="18"/>
              </w:rPr>
            </w:pPr>
          </w:p>
        </w:tc>
        <w:tc>
          <w:tcPr>
            <w:tcW w:w="1772" w:type="dxa"/>
            <w:gridSpan w:val="3"/>
            <w:vAlign w:val="center"/>
          </w:tcPr>
          <w:p w14:paraId="6116C92B">
            <w:pPr>
              <w:keepNext/>
              <w:widowControl/>
              <w:snapToGrid w:val="0"/>
              <w:jc w:val="center"/>
              <w:rPr>
                <w:rFonts w:hint="eastAsia" w:ascii="宋体" w:hAnsi="宋体"/>
                <w:color w:val="000000"/>
                <w:kern w:val="0"/>
                <w:sz w:val="18"/>
                <w:szCs w:val="18"/>
              </w:rPr>
            </w:pPr>
          </w:p>
        </w:tc>
        <w:tc>
          <w:tcPr>
            <w:tcW w:w="1592" w:type="dxa"/>
            <w:gridSpan w:val="2"/>
            <w:vAlign w:val="center"/>
          </w:tcPr>
          <w:p w14:paraId="42306F1B">
            <w:pPr>
              <w:keepNext/>
              <w:widowControl/>
              <w:snapToGrid w:val="0"/>
              <w:jc w:val="center"/>
              <w:rPr>
                <w:rFonts w:hint="eastAsia" w:ascii="宋体" w:hAnsi="宋体"/>
                <w:color w:val="000000"/>
                <w:kern w:val="0"/>
                <w:sz w:val="18"/>
                <w:szCs w:val="18"/>
              </w:rPr>
            </w:pPr>
          </w:p>
        </w:tc>
        <w:tc>
          <w:tcPr>
            <w:tcW w:w="1592" w:type="dxa"/>
            <w:vAlign w:val="center"/>
          </w:tcPr>
          <w:p w14:paraId="57233BA5">
            <w:pPr>
              <w:keepNext/>
              <w:widowControl/>
              <w:snapToGrid w:val="0"/>
              <w:jc w:val="center"/>
              <w:rPr>
                <w:rFonts w:hint="eastAsia" w:ascii="宋体" w:hAnsi="宋体"/>
                <w:color w:val="000000"/>
                <w:kern w:val="0"/>
                <w:sz w:val="18"/>
                <w:szCs w:val="18"/>
              </w:rPr>
            </w:pPr>
          </w:p>
        </w:tc>
      </w:tr>
      <w:tr w14:paraId="6D2E9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rPr>
        <w:tc>
          <w:tcPr>
            <w:tcW w:w="1111" w:type="dxa"/>
            <w:vMerge w:val="restart"/>
            <w:vAlign w:val="center"/>
          </w:tcPr>
          <w:p w14:paraId="7E2920D5">
            <w:pPr>
              <w:keepNext/>
              <w:widowControl/>
              <w:snapToGrid w:val="0"/>
              <w:jc w:val="center"/>
              <w:rPr>
                <w:rFonts w:hint="eastAsia" w:ascii="宋体" w:hAnsi="宋体"/>
                <w:color w:val="000000"/>
                <w:kern w:val="0"/>
                <w:sz w:val="18"/>
                <w:szCs w:val="18"/>
              </w:rPr>
            </w:pPr>
            <w:r>
              <w:rPr>
                <w:rFonts w:hint="eastAsia" w:ascii="宋体" w:hAnsi="宋体"/>
                <w:color w:val="000000"/>
                <w:kern w:val="0"/>
                <w:sz w:val="18"/>
                <w:szCs w:val="18"/>
              </w:rPr>
              <w:t>生态系统质量</w:t>
            </w:r>
          </w:p>
        </w:tc>
        <w:tc>
          <w:tcPr>
            <w:tcW w:w="1301" w:type="dxa"/>
            <w:vAlign w:val="center"/>
          </w:tcPr>
          <w:p w14:paraId="0ADD8F08">
            <w:pPr>
              <w:keepNext/>
              <w:widowControl/>
              <w:snapToGrid w:val="0"/>
              <w:jc w:val="center"/>
              <w:rPr>
                <w:rFonts w:hint="eastAsia" w:ascii="宋体" w:hAnsi="宋体"/>
                <w:color w:val="000000"/>
                <w:kern w:val="0"/>
                <w:sz w:val="18"/>
                <w:szCs w:val="18"/>
              </w:rPr>
            </w:pPr>
            <w:r>
              <w:rPr>
                <w:rFonts w:hint="eastAsia" w:ascii="宋体" w:hAnsi="宋体"/>
                <w:color w:val="000000"/>
                <w:kern w:val="0"/>
                <w:sz w:val="18"/>
                <w:szCs w:val="18"/>
              </w:rPr>
              <w:t>植被覆盖度指数</w:t>
            </w:r>
          </w:p>
        </w:tc>
        <w:tc>
          <w:tcPr>
            <w:tcW w:w="808" w:type="dxa"/>
            <w:vAlign w:val="center"/>
          </w:tcPr>
          <w:p w14:paraId="70C4DEED">
            <w:pPr>
              <w:keepNext/>
              <w:widowControl/>
              <w:snapToGrid w:val="0"/>
              <w:jc w:val="center"/>
              <w:rPr>
                <w:rFonts w:hint="eastAsia" w:ascii="宋体" w:hAnsi="宋体"/>
                <w:color w:val="000000"/>
                <w:kern w:val="0"/>
                <w:sz w:val="18"/>
                <w:szCs w:val="18"/>
              </w:rPr>
            </w:pPr>
          </w:p>
        </w:tc>
        <w:tc>
          <w:tcPr>
            <w:tcW w:w="1229" w:type="dxa"/>
            <w:gridSpan w:val="3"/>
            <w:vAlign w:val="center"/>
          </w:tcPr>
          <w:p w14:paraId="4BA90CB4">
            <w:pPr>
              <w:keepNext/>
              <w:widowControl/>
              <w:snapToGrid w:val="0"/>
              <w:jc w:val="center"/>
              <w:rPr>
                <w:rFonts w:hint="eastAsia" w:ascii="宋体" w:hAnsi="宋体"/>
                <w:color w:val="000000"/>
                <w:kern w:val="0"/>
                <w:sz w:val="18"/>
                <w:szCs w:val="18"/>
              </w:rPr>
            </w:pPr>
          </w:p>
        </w:tc>
        <w:tc>
          <w:tcPr>
            <w:tcW w:w="1413" w:type="dxa"/>
            <w:gridSpan w:val="2"/>
            <w:vAlign w:val="center"/>
          </w:tcPr>
          <w:p w14:paraId="2F5930BB">
            <w:pPr>
              <w:keepNext/>
              <w:widowControl/>
              <w:snapToGrid w:val="0"/>
              <w:jc w:val="center"/>
              <w:rPr>
                <w:rFonts w:hint="eastAsia" w:ascii="宋体" w:hAnsi="宋体"/>
                <w:color w:val="000000"/>
                <w:kern w:val="0"/>
                <w:sz w:val="18"/>
                <w:szCs w:val="18"/>
              </w:rPr>
            </w:pPr>
          </w:p>
        </w:tc>
        <w:tc>
          <w:tcPr>
            <w:tcW w:w="1588" w:type="dxa"/>
            <w:gridSpan w:val="3"/>
            <w:vAlign w:val="center"/>
          </w:tcPr>
          <w:p w14:paraId="0BAF3986">
            <w:pPr>
              <w:keepNext/>
              <w:widowControl/>
              <w:snapToGrid w:val="0"/>
              <w:jc w:val="center"/>
              <w:rPr>
                <w:rFonts w:hint="eastAsia" w:ascii="宋体" w:hAnsi="宋体"/>
                <w:color w:val="000000"/>
                <w:kern w:val="0"/>
                <w:sz w:val="18"/>
                <w:szCs w:val="18"/>
              </w:rPr>
            </w:pPr>
          </w:p>
        </w:tc>
        <w:tc>
          <w:tcPr>
            <w:tcW w:w="1761" w:type="dxa"/>
            <w:gridSpan w:val="2"/>
            <w:vAlign w:val="center"/>
          </w:tcPr>
          <w:p w14:paraId="5C3E7703">
            <w:pPr>
              <w:keepNext/>
              <w:widowControl/>
              <w:snapToGrid w:val="0"/>
              <w:jc w:val="center"/>
              <w:rPr>
                <w:rFonts w:hint="eastAsia" w:ascii="宋体" w:hAnsi="宋体"/>
                <w:color w:val="000000"/>
                <w:kern w:val="0"/>
                <w:sz w:val="18"/>
                <w:szCs w:val="18"/>
              </w:rPr>
            </w:pPr>
          </w:p>
        </w:tc>
        <w:tc>
          <w:tcPr>
            <w:tcW w:w="1772" w:type="dxa"/>
            <w:gridSpan w:val="3"/>
            <w:vAlign w:val="center"/>
          </w:tcPr>
          <w:p w14:paraId="636883CE">
            <w:pPr>
              <w:keepNext/>
              <w:widowControl/>
              <w:snapToGrid w:val="0"/>
              <w:jc w:val="center"/>
              <w:rPr>
                <w:rFonts w:hint="eastAsia" w:ascii="宋体" w:hAnsi="宋体"/>
                <w:color w:val="000000"/>
                <w:kern w:val="0"/>
                <w:sz w:val="18"/>
                <w:szCs w:val="18"/>
              </w:rPr>
            </w:pPr>
          </w:p>
        </w:tc>
        <w:tc>
          <w:tcPr>
            <w:tcW w:w="1592" w:type="dxa"/>
            <w:gridSpan w:val="2"/>
            <w:vAlign w:val="center"/>
          </w:tcPr>
          <w:p w14:paraId="3B956E3F">
            <w:pPr>
              <w:keepNext/>
              <w:widowControl/>
              <w:snapToGrid w:val="0"/>
              <w:jc w:val="center"/>
              <w:rPr>
                <w:rFonts w:hint="eastAsia" w:ascii="宋体" w:hAnsi="宋体"/>
                <w:color w:val="000000"/>
                <w:kern w:val="0"/>
                <w:sz w:val="18"/>
                <w:szCs w:val="18"/>
              </w:rPr>
            </w:pPr>
          </w:p>
        </w:tc>
        <w:tc>
          <w:tcPr>
            <w:tcW w:w="1592" w:type="dxa"/>
            <w:vAlign w:val="center"/>
          </w:tcPr>
          <w:p w14:paraId="6EB33CC1">
            <w:pPr>
              <w:keepNext/>
              <w:widowControl/>
              <w:snapToGrid w:val="0"/>
              <w:jc w:val="center"/>
              <w:rPr>
                <w:rFonts w:hint="eastAsia" w:ascii="宋体" w:hAnsi="宋体"/>
                <w:color w:val="000000"/>
                <w:kern w:val="0"/>
                <w:sz w:val="18"/>
                <w:szCs w:val="18"/>
              </w:rPr>
            </w:pPr>
          </w:p>
        </w:tc>
      </w:tr>
      <w:tr w14:paraId="109B7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rPr>
        <w:tc>
          <w:tcPr>
            <w:tcW w:w="1111" w:type="dxa"/>
            <w:vMerge w:val="continue"/>
            <w:vAlign w:val="center"/>
          </w:tcPr>
          <w:p w14:paraId="2F8DC4C9">
            <w:pPr>
              <w:keepNext/>
              <w:widowControl/>
              <w:snapToGrid w:val="0"/>
              <w:jc w:val="center"/>
              <w:rPr>
                <w:rFonts w:hint="eastAsia" w:ascii="宋体" w:hAnsi="宋体"/>
                <w:color w:val="000000"/>
                <w:kern w:val="0"/>
                <w:sz w:val="18"/>
                <w:szCs w:val="18"/>
              </w:rPr>
            </w:pPr>
          </w:p>
        </w:tc>
        <w:tc>
          <w:tcPr>
            <w:tcW w:w="1301" w:type="dxa"/>
            <w:vAlign w:val="center"/>
          </w:tcPr>
          <w:p w14:paraId="6CC3146E">
            <w:pPr>
              <w:keepNext/>
              <w:widowControl/>
              <w:snapToGrid w:val="0"/>
              <w:jc w:val="center"/>
              <w:rPr>
                <w:rFonts w:hint="eastAsia" w:ascii="宋体" w:hAnsi="宋体"/>
                <w:color w:val="000000"/>
                <w:kern w:val="0"/>
                <w:sz w:val="18"/>
                <w:szCs w:val="18"/>
              </w:rPr>
            </w:pPr>
            <w:r>
              <w:rPr>
                <w:rFonts w:hint="eastAsia" w:ascii="宋体" w:hAnsi="宋体"/>
                <w:color w:val="000000"/>
                <w:kern w:val="0"/>
                <w:sz w:val="18"/>
                <w:szCs w:val="18"/>
              </w:rPr>
              <w:t>叶面积指数</w:t>
            </w:r>
          </w:p>
        </w:tc>
        <w:tc>
          <w:tcPr>
            <w:tcW w:w="808" w:type="dxa"/>
            <w:vAlign w:val="center"/>
          </w:tcPr>
          <w:p w14:paraId="12F3AFC2">
            <w:pPr>
              <w:keepNext/>
              <w:widowControl/>
              <w:snapToGrid w:val="0"/>
              <w:jc w:val="center"/>
              <w:rPr>
                <w:rFonts w:hint="eastAsia" w:ascii="宋体" w:hAnsi="宋体"/>
                <w:color w:val="000000"/>
                <w:kern w:val="0"/>
                <w:sz w:val="18"/>
                <w:szCs w:val="18"/>
              </w:rPr>
            </w:pPr>
          </w:p>
        </w:tc>
        <w:tc>
          <w:tcPr>
            <w:tcW w:w="1229" w:type="dxa"/>
            <w:gridSpan w:val="3"/>
            <w:vAlign w:val="center"/>
          </w:tcPr>
          <w:p w14:paraId="29AA5941">
            <w:pPr>
              <w:keepNext/>
              <w:widowControl/>
              <w:snapToGrid w:val="0"/>
              <w:jc w:val="center"/>
              <w:rPr>
                <w:rFonts w:hint="eastAsia" w:ascii="宋体" w:hAnsi="宋体"/>
                <w:color w:val="000000"/>
                <w:kern w:val="0"/>
                <w:sz w:val="18"/>
                <w:szCs w:val="18"/>
              </w:rPr>
            </w:pPr>
          </w:p>
        </w:tc>
        <w:tc>
          <w:tcPr>
            <w:tcW w:w="1413" w:type="dxa"/>
            <w:gridSpan w:val="2"/>
            <w:vAlign w:val="center"/>
          </w:tcPr>
          <w:p w14:paraId="072ED9CD">
            <w:pPr>
              <w:keepNext/>
              <w:widowControl/>
              <w:snapToGrid w:val="0"/>
              <w:jc w:val="center"/>
              <w:rPr>
                <w:rFonts w:hint="eastAsia" w:ascii="宋体" w:hAnsi="宋体"/>
                <w:color w:val="000000"/>
                <w:kern w:val="0"/>
                <w:sz w:val="18"/>
                <w:szCs w:val="18"/>
              </w:rPr>
            </w:pPr>
          </w:p>
        </w:tc>
        <w:tc>
          <w:tcPr>
            <w:tcW w:w="1588" w:type="dxa"/>
            <w:gridSpan w:val="3"/>
            <w:vAlign w:val="center"/>
          </w:tcPr>
          <w:p w14:paraId="2B663004">
            <w:pPr>
              <w:keepNext/>
              <w:widowControl/>
              <w:snapToGrid w:val="0"/>
              <w:jc w:val="center"/>
              <w:rPr>
                <w:rFonts w:hint="eastAsia" w:ascii="宋体" w:hAnsi="宋体"/>
                <w:color w:val="000000"/>
                <w:kern w:val="0"/>
                <w:sz w:val="18"/>
                <w:szCs w:val="18"/>
              </w:rPr>
            </w:pPr>
          </w:p>
        </w:tc>
        <w:tc>
          <w:tcPr>
            <w:tcW w:w="1761" w:type="dxa"/>
            <w:gridSpan w:val="2"/>
            <w:vAlign w:val="center"/>
          </w:tcPr>
          <w:p w14:paraId="0A4CD92E">
            <w:pPr>
              <w:keepNext/>
              <w:widowControl/>
              <w:snapToGrid w:val="0"/>
              <w:jc w:val="center"/>
              <w:rPr>
                <w:rFonts w:hint="eastAsia" w:ascii="宋体" w:hAnsi="宋体"/>
                <w:color w:val="000000"/>
                <w:kern w:val="0"/>
                <w:sz w:val="18"/>
                <w:szCs w:val="18"/>
              </w:rPr>
            </w:pPr>
          </w:p>
        </w:tc>
        <w:tc>
          <w:tcPr>
            <w:tcW w:w="1772" w:type="dxa"/>
            <w:gridSpan w:val="3"/>
            <w:vAlign w:val="center"/>
          </w:tcPr>
          <w:p w14:paraId="41347761">
            <w:pPr>
              <w:keepNext/>
              <w:widowControl/>
              <w:snapToGrid w:val="0"/>
              <w:jc w:val="center"/>
              <w:rPr>
                <w:rFonts w:hint="eastAsia" w:ascii="宋体" w:hAnsi="宋体"/>
                <w:color w:val="000000"/>
                <w:kern w:val="0"/>
                <w:sz w:val="18"/>
                <w:szCs w:val="18"/>
              </w:rPr>
            </w:pPr>
          </w:p>
        </w:tc>
        <w:tc>
          <w:tcPr>
            <w:tcW w:w="1592" w:type="dxa"/>
            <w:gridSpan w:val="2"/>
            <w:vAlign w:val="center"/>
          </w:tcPr>
          <w:p w14:paraId="14D48A86">
            <w:pPr>
              <w:keepNext/>
              <w:widowControl/>
              <w:snapToGrid w:val="0"/>
              <w:jc w:val="center"/>
              <w:rPr>
                <w:rFonts w:hint="eastAsia" w:ascii="宋体" w:hAnsi="宋体"/>
                <w:color w:val="000000"/>
                <w:kern w:val="0"/>
                <w:sz w:val="18"/>
                <w:szCs w:val="18"/>
              </w:rPr>
            </w:pPr>
          </w:p>
        </w:tc>
        <w:tc>
          <w:tcPr>
            <w:tcW w:w="1592" w:type="dxa"/>
            <w:vAlign w:val="center"/>
          </w:tcPr>
          <w:p w14:paraId="38D2F8B1">
            <w:pPr>
              <w:keepNext/>
              <w:widowControl/>
              <w:snapToGrid w:val="0"/>
              <w:jc w:val="center"/>
              <w:rPr>
                <w:rFonts w:hint="eastAsia" w:ascii="宋体" w:hAnsi="宋体"/>
                <w:color w:val="000000"/>
                <w:kern w:val="0"/>
                <w:sz w:val="18"/>
                <w:szCs w:val="18"/>
              </w:rPr>
            </w:pPr>
          </w:p>
        </w:tc>
      </w:tr>
      <w:tr w14:paraId="53F04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rPr>
        <w:tc>
          <w:tcPr>
            <w:tcW w:w="1111" w:type="dxa"/>
            <w:vMerge w:val="continue"/>
            <w:vAlign w:val="center"/>
          </w:tcPr>
          <w:p w14:paraId="37822D12">
            <w:pPr>
              <w:keepNext/>
              <w:widowControl/>
              <w:snapToGrid w:val="0"/>
              <w:jc w:val="center"/>
              <w:rPr>
                <w:rFonts w:hint="eastAsia" w:ascii="宋体" w:hAnsi="宋体"/>
                <w:color w:val="000000"/>
                <w:kern w:val="0"/>
                <w:sz w:val="18"/>
                <w:szCs w:val="18"/>
              </w:rPr>
            </w:pPr>
          </w:p>
        </w:tc>
        <w:tc>
          <w:tcPr>
            <w:tcW w:w="1301" w:type="dxa"/>
            <w:vAlign w:val="center"/>
          </w:tcPr>
          <w:p w14:paraId="1807D5B9">
            <w:pPr>
              <w:keepNext/>
              <w:widowControl/>
              <w:snapToGrid w:val="0"/>
              <w:jc w:val="center"/>
              <w:rPr>
                <w:rFonts w:hint="eastAsia" w:ascii="宋体" w:hAnsi="宋体"/>
                <w:color w:val="000000"/>
                <w:kern w:val="0"/>
                <w:sz w:val="18"/>
                <w:szCs w:val="18"/>
              </w:rPr>
            </w:pPr>
            <w:r>
              <w:rPr>
                <w:rFonts w:hint="eastAsia" w:ascii="宋体" w:hAnsi="宋体"/>
                <w:color w:val="000000"/>
                <w:kern w:val="0"/>
                <w:sz w:val="18"/>
                <w:szCs w:val="18"/>
              </w:rPr>
              <w:t>总初级生产力</w:t>
            </w:r>
          </w:p>
        </w:tc>
        <w:tc>
          <w:tcPr>
            <w:tcW w:w="808" w:type="dxa"/>
            <w:vAlign w:val="center"/>
          </w:tcPr>
          <w:p w14:paraId="7F9EC6F0">
            <w:pPr>
              <w:keepNext/>
              <w:widowControl/>
              <w:snapToGrid w:val="0"/>
              <w:jc w:val="center"/>
              <w:rPr>
                <w:rFonts w:hint="eastAsia" w:ascii="宋体" w:hAnsi="宋体"/>
                <w:color w:val="000000"/>
                <w:kern w:val="0"/>
                <w:sz w:val="18"/>
                <w:szCs w:val="18"/>
              </w:rPr>
            </w:pPr>
          </w:p>
        </w:tc>
        <w:tc>
          <w:tcPr>
            <w:tcW w:w="1229" w:type="dxa"/>
            <w:gridSpan w:val="3"/>
            <w:vAlign w:val="center"/>
          </w:tcPr>
          <w:p w14:paraId="0942CFE4">
            <w:pPr>
              <w:keepNext/>
              <w:widowControl/>
              <w:snapToGrid w:val="0"/>
              <w:jc w:val="center"/>
              <w:rPr>
                <w:rFonts w:hint="eastAsia" w:ascii="宋体" w:hAnsi="宋体"/>
                <w:color w:val="000000"/>
                <w:kern w:val="0"/>
                <w:sz w:val="18"/>
                <w:szCs w:val="18"/>
              </w:rPr>
            </w:pPr>
          </w:p>
        </w:tc>
        <w:tc>
          <w:tcPr>
            <w:tcW w:w="1413" w:type="dxa"/>
            <w:gridSpan w:val="2"/>
            <w:vAlign w:val="center"/>
          </w:tcPr>
          <w:p w14:paraId="632E041D">
            <w:pPr>
              <w:keepNext/>
              <w:widowControl/>
              <w:snapToGrid w:val="0"/>
              <w:jc w:val="center"/>
              <w:rPr>
                <w:rFonts w:hint="eastAsia" w:ascii="宋体" w:hAnsi="宋体"/>
                <w:color w:val="000000"/>
                <w:kern w:val="0"/>
                <w:sz w:val="18"/>
                <w:szCs w:val="18"/>
              </w:rPr>
            </w:pPr>
          </w:p>
        </w:tc>
        <w:tc>
          <w:tcPr>
            <w:tcW w:w="1588" w:type="dxa"/>
            <w:gridSpan w:val="3"/>
            <w:vAlign w:val="center"/>
          </w:tcPr>
          <w:p w14:paraId="7760C5C4">
            <w:pPr>
              <w:keepNext/>
              <w:widowControl/>
              <w:snapToGrid w:val="0"/>
              <w:jc w:val="center"/>
              <w:rPr>
                <w:rFonts w:hint="eastAsia" w:ascii="宋体" w:hAnsi="宋体"/>
                <w:color w:val="000000"/>
                <w:kern w:val="0"/>
                <w:sz w:val="18"/>
                <w:szCs w:val="18"/>
              </w:rPr>
            </w:pPr>
          </w:p>
        </w:tc>
        <w:tc>
          <w:tcPr>
            <w:tcW w:w="1761" w:type="dxa"/>
            <w:gridSpan w:val="2"/>
            <w:vAlign w:val="center"/>
          </w:tcPr>
          <w:p w14:paraId="568FEC5C">
            <w:pPr>
              <w:keepNext/>
              <w:widowControl/>
              <w:snapToGrid w:val="0"/>
              <w:jc w:val="center"/>
              <w:rPr>
                <w:rFonts w:hint="eastAsia" w:ascii="宋体" w:hAnsi="宋体"/>
                <w:color w:val="000000"/>
                <w:kern w:val="0"/>
                <w:sz w:val="18"/>
                <w:szCs w:val="18"/>
              </w:rPr>
            </w:pPr>
          </w:p>
        </w:tc>
        <w:tc>
          <w:tcPr>
            <w:tcW w:w="1772" w:type="dxa"/>
            <w:gridSpan w:val="3"/>
            <w:vAlign w:val="center"/>
          </w:tcPr>
          <w:p w14:paraId="6A6B5E82">
            <w:pPr>
              <w:keepNext/>
              <w:widowControl/>
              <w:snapToGrid w:val="0"/>
              <w:jc w:val="center"/>
              <w:rPr>
                <w:rFonts w:hint="eastAsia" w:ascii="宋体" w:hAnsi="宋体"/>
                <w:color w:val="000000"/>
                <w:kern w:val="0"/>
                <w:sz w:val="18"/>
                <w:szCs w:val="18"/>
              </w:rPr>
            </w:pPr>
          </w:p>
        </w:tc>
        <w:tc>
          <w:tcPr>
            <w:tcW w:w="1592" w:type="dxa"/>
            <w:gridSpan w:val="2"/>
            <w:vAlign w:val="center"/>
          </w:tcPr>
          <w:p w14:paraId="3415A04E">
            <w:pPr>
              <w:keepNext/>
              <w:widowControl/>
              <w:snapToGrid w:val="0"/>
              <w:jc w:val="center"/>
              <w:rPr>
                <w:rFonts w:hint="eastAsia" w:ascii="宋体" w:hAnsi="宋体"/>
                <w:color w:val="000000"/>
                <w:kern w:val="0"/>
                <w:sz w:val="18"/>
                <w:szCs w:val="18"/>
              </w:rPr>
            </w:pPr>
          </w:p>
        </w:tc>
        <w:tc>
          <w:tcPr>
            <w:tcW w:w="1592" w:type="dxa"/>
            <w:vAlign w:val="center"/>
          </w:tcPr>
          <w:p w14:paraId="3CB3AC93">
            <w:pPr>
              <w:keepNext/>
              <w:widowControl/>
              <w:snapToGrid w:val="0"/>
              <w:jc w:val="center"/>
              <w:rPr>
                <w:rFonts w:hint="eastAsia" w:ascii="宋体" w:hAnsi="宋体"/>
                <w:color w:val="000000"/>
                <w:kern w:val="0"/>
                <w:sz w:val="18"/>
                <w:szCs w:val="18"/>
              </w:rPr>
            </w:pPr>
          </w:p>
        </w:tc>
      </w:tr>
      <w:tr w14:paraId="2150B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rPr>
        <w:tc>
          <w:tcPr>
            <w:tcW w:w="1111" w:type="dxa"/>
            <w:vMerge w:val="continue"/>
            <w:vAlign w:val="center"/>
          </w:tcPr>
          <w:p w14:paraId="44E89FB5">
            <w:pPr>
              <w:keepNext/>
              <w:widowControl/>
              <w:snapToGrid w:val="0"/>
              <w:jc w:val="center"/>
              <w:rPr>
                <w:rFonts w:hint="eastAsia" w:ascii="宋体" w:hAnsi="宋体"/>
                <w:color w:val="000000"/>
                <w:kern w:val="0"/>
                <w:sz w:val="18"/>
                <w:szCs w:val="18"/>
              </w:rPr>
            </w:pPr>
          </w:p>
        </w:tc>
        <w:tc>
          <w:tcPr>
            <w:tcW w:w="1301" w:type="dxa"/>
            <w:vAlign w:val="center"/>
          </w:tcPr>
          <w:p w14:paraId="2B43BCF8">
            <w:pPr>
              <w:keepNext/>
              <w:widowControl/>
              <w:snapToGrid w:val="0"/>
              <w:jc w:val="center"/>
              <w:rPr>
                <w:rFonts w:hint="eastAsia" w:ascii="宋体" w:hAnsi="宋体"/>
                <w:color w:val="000000"/>
                <w:kern w:val="0"/>
                <w:sz w:val="18"/>
                <w:szCs w:val="18"/>
              </w:rPr>
            </w:pPr>
            <w:r>
              <w:rPr>
                <w:rFonts w:hint="eastAsia" w:ascii="宋体" w:hAnsi="宋体"/>
                <w:color w:val="000000"/>
                <w:kern w:val="0"/>
                <w:sz w:val="18"/>
                <w:szCs w:val="18"/>
              </w:rPr>
              <w:t>……</w:t>
            </w:r>
          </w:p>
        </w:tc>
        <w:tc>
          <w:tcPr>
            <w:tcW w:w="808" w:type="dxa"/>
            <w:vAlign w:val="center"/>
          </w:tcPr>
          <w:p w14:paraId="60B5443E">
            <w:pPr>
              <w:keepNext/>
              <w:widowControl/>
              <w:snapToGrid w:val="0"/>
              <w:jc w:val="center"/>
              <w:rPr>
                <w:rFonts w:hint="eastAsia" w:ascii="宋体" w:hAnsi="宋体"/>
                <w:color w:val="000000"/>
                <w:kern w:val="0"/>
                <w:sz w:val="18"/>
                <w:szCs w:val="18"/>
              </w:rPr>
            </w:pPr>
          </w:p>
        </w:tc>
        <w:tc>
          <w:tcPr>
            <w:tcW w:w="1229" w:type="dxa"/>
            <w:gridSpan w:val="3"/>
            <w:vAlign w:val="center"/>
          </w:tcPr>
          <w:p w14:paraId="2507E9AC">
            <w:pPr>
              <w:keepNext/>
              <w:widowControl/>
              <w:snapToGrid w:val="0"/>
              <w:jc w:val="center"/>
              <w:rPr>
                <w:rFonts w:hint="eastAsia" w:ascii="宋体" w:hAnsi="宋体"/>
                <w:color w:val="000000"/>
                <w:kern w:val="0"/>
                <w:sz w:val="18"/>
                <w:szCs w:val="18"/>
              </w:rPr>
            </w:pPr>
          </w:p>
        </w:tc>
        <w:tc>
          <w:tcPr>
            <w:tcW w:w="1413" w:type="dxa"/>
            <w:gridSpan w:val="2"/>
            <w:vAlign w:val="center"/>
          </w:tcPr>
          <w:p w14:paraId="3B9C3B95">
            <w:pPr>
              <w:keepNext/>
              <w:widowControl/>
              <w:snapToGrid w:val="0"/>
              <w:jc w:val="center"/>
              <w:rPr>
                <w:rFonts w:hint="eastAsia" w:ascii="宋体" w:hAnsi="宋体"/>
                <w:color w:val="000000"/>
                <w:kern w:val="0"/>
                <w:sz w:val="18"/>
                <w:szCs w:val="18"/>
              </w:rPr>
            </w:pPr>
          </w:p>
        </w:tc>
        <w:tc>
          <w:tcPr>
            <w:tcW w:w="1588" w:type="dxa"/>
            <w:gridSpan w:val="3"/>
            <w:vAlign w:val="center"/>
          </w:tcPr>
          <w:p w14:paraId="73A6A3A2">
            <w:pPr>
              <w:keepNext/>
              <w:widowControl/>
              <w:snapToGrid w:val="0"/>
              <w:jc w:val="center"/>
              <w:rPr>
                <w:rFonts w:hint="eastAsia" w:ascii="宋体" w:hAnsi="宋体"/>
                <w:color w:val="000000"/>
                <w:kern w:val="0"/>
                <w:sz w:val="18"/>
                <w:szCs w:val="18"/>
              </w:rPr>
            </w:pPr>
          </w:p>
        </w:tc>
        <w:tc>
          <w:tcPr>
            <w:tcW w:w="1761" w:type="dxa"/>
            <w:gridSpan w:val="2"/>
            <w:vAlign w:val="center"/>
          </w:tcPr>
          <w:p w14:paraId="5AE07C41">
            <w:pPr>
              <w:keepNext/>
              <w:widowControl/>
              <w:snapToGrid w:val="0"/>
              <w:jc w:val="center"/>
              <w:rPr>
                <w:rFonts w:hint="eastAsia" w:ascii="宋体" w:hAnsi="宋体"/>
                <w:color w:val="000000"/>
                <w:kern w:val="0"/>
                <w:sz w:val="18"/>
                <w:szCs w:val="18"/>
              </w:rPr>
            </w:pPr>
          </w:p>
        </w:tc>
        <w:tc>
          <w:tcPr>
            <w:tcW w:w="1772" w:type="dxa"/>
            <w:gridSpan w:val="3"/>
            <w:vAlign w:val="center"/>
          </w:tcPr>
          <w:p w14:paraId="710BB3EF">
            <w:pPr>
              <w:keepNext/>
              <w:widowControl/>
              <w:snapToGrid w:val="0"/>
              <w:jc w:val="center"/>
              <w:rPr>
                <w:rFonts w:hint="eastAsia" w:ascii="宋体" w:hAnsi="宋体"/>
                <w:color w:val="000000"/>
                <w:kern w:val="0"/>
                <w:sz w:val="18"/>
                <w:szCs w:val="18"/>
              </w:rPr>
            </w:pPr>
          </w:p>
        </w:tc>
        <w:tc>
          <w:tcPr>
            <w:tcW w:w="1592" w:type="dxa"/>
            <w:gridSpan w:val="2"/>
            <w:vAlign w:val="center"/>
          </w:tcPr>
          <w:p w14:paraId="6902CE5C">
            <w:pPr>
              <w:keepNext/>
              <w:widowControl/>
              <w:snapToGrid w:val="0"/>
              <w:jc w:val="center"/>
              <w:rPr>
                <w:rFonts w:hint="eastAsia" w:ascii="宋体" w:hAnsi="宋体"/>
                <w:color w:val="000000"/>
                <w:kern w:val="0"/>
                <w:sz w:val="18"/>
                <w:szCs w:val="18"/>
              </w:rPr>
            </w:pPr>
          </w:p>
        </w:tc>
        <w:tc>
          <w:tcPr>
            <w:tcW w:w="1592" w:type="dxa"/>
            <w:vAlign w:val="center"/>
          </w:tcPr>
          <w:p w14:paraId="2BB3870D">
            <w:pPr>
              <w:keepNext/>
              <w:widowControl/>
              <w:snapToGrid w:val="0"/>
              <w:jc w:val="center"/>
              <w:rPr>
                <w:rFonts w:hint="eastAsia" w:ascii="宋体" w:hAnsi="宋体"/>
                <w:color w:val="000000"/>
                <w:kern w:val="0"/>
                <w:sz w:val="18"/>
                <w:szCs w:val="18"/>
              </w:rPr>
            </w:pPr>
          </w:p>
        </w:tc>
      </w:tr>
      <w:tr w14:paraId="1A4CA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rPr>
        <w:tc>
          <w:tcPr>
            <w:tcW w:w="1111" w:type="dxa"/>
            <w:vMerge w:val="restart"/>
            <w:vAlign w:val="center"/>
          </w:tcPr>
          <w:p w14:paraId="30DE555D">
            <w:pPr>
              <w:keepNext/>
              <w:widowControl/>
              <w:snapToGrid w:val="0"/>
              <w:jc w:val="center"/>
              <w:rPr>
                <w:rFonts w:hint="eastAsia" w:ascii="宋体" w:hAnsi="宋体"/>
                <w:color w:val="000000"/>
                <w:kern w:val="0"/>
                <w:sz w:val="18"/>
                <w:szCs w:val="18"/>
              </w:rPr>
            </w:pPr>
            <w:r>
              <w:rPr>
                <w:rFonts w:hint="eastAsia" w:ascii="宋体" w:hAnsi="宋体"/>
                <w:color w:val="000000"/>
                <w:kern w:val="0"/>
                <w:sz w:val="18"/>
                <w:szCs w:val="18"/>
              </w:rPr>
              <w:t>生态系统服务</w:t>
            </w:r>
          </w:p>
        </w:tc>
        <w:tc>
          <w:tcPr>
            <w:tcW w:w="1301" w:type="dxa"/>
            <w:vAlign w:val="center"/>
          </w:tcPr>
          <w:p w14:paraId="5C7D9737">
            <w:pPr>
              <w:keepNext/>
              <w:widowControl/>
              <w:snapToGrid w:val="0"/>
              <w:jc w:val="center"/>
              <w:rPr>
                <w:rFonts w:hint="eastAsia" w:ascii="宋体" w:hAnsi="宋体"/>
                <w:color w:val="000000"/>
                <w:kern w:val="0"/>
                <w:sz w:val="18"/>
                <w:szCs w:val="18"/>
              </w:rPr>
            </w:pPr>
            <w:r>
              <w:rPr>
                <w:rFonts w:hint="eastAsia" w:ascii="宋体" w:hAnsi="宋体"/>
                <w:color w:val="000000"/>
                <w:kern w:val="0"/>
                <w:sz w:val="18"/>
                <w:szCs w:val="18"/>
              </w:rPr>
              <w:t>蒸散发量</w:t>
            </w:r>
          </w:p>
        </w:tc>
        <w:tc>
          <w:tcPr>
            <w:tcW w:w="808" w:type="dxa"/>
            <w:vAlign w:val="center"/>
          </w:tcPr>
          <w:p w14:paraId="591F0F4B">
            <w:pPr>
              <w:keepNext/>
              <w:widowControl/>
              <w:snapToGrid w:val="0"/>
              <w:jc w:val="center"/>
              <w:rPr>
                <w:rFonts w:hint="eastAsia" w:ascii="宋体" w:hAnsi="宋体"/>
                <w:color w:val="000000"/>
                <w:kern w:val="0"/>
                <w:sz w:val="18"/>
                <w:szCs w:val="18"/>
              </w:rPr>
            </w:pPr>
          </w:p>
        </w:tc>
        <w:tc>
          <w:tcPr>
            <w:tcW w:w="1229" w:type="dxa"/>
            <w:gridSpan w:val="3"/>
            <w:vAlign w:val="center"/>
          </w:tcPr>
          <w:p w14:paraId="179A82D2">
            <w:pPr>
              <w:keepNext/>
              <w:widowControl/>
              <w:snapToGrid w:val="0"/>
              <w:jc w:val="center"/>
              <w:rPr>
                <w:rFonts w:hint="eastAsia" w:ascii="宋体" w:hAnsi="宋体"/>
                <w:color w:val="000000"/>
                <w:kern w:val="0"/>
                <w:sz w:val="18"/>
                <w:szCs w:val="18"/>
              </w:rPr>
            </w:pPr>
          </w:p>
        </w:tc>
        <w:tc>
          <w:tcPr>
            <w:tcW w:w="1413" w:type="dxa"/>
            <w:gridSpan w:val="2"/>
            <w:vAlign w:val="center"/>
          </w:tcPr>
          <w:p w14:paraId="1D996C36">
            <w:pPr>
              <w:keepNext/>
              <w:widowControl/>
              <w:snapToGrid w:val="0"/>
              <w:jc w:val="center"/>
              <w:rPr>
                <w:rFonts w:hint="eastAsia" w:ascii="宋体" w:hAnsi="宋体"/>
                <w:color w:val="000000"/>
                <w:kern w:val="0"/>
                <w:sz w:val="18"/>
                <w:szCs w:val="18"/>
              </w:rPr>
            </w:pPr>
          </w:p>
        </w:tc>
        <w:tc>
          <w:tcPr>
            <w:tcW w:w="1588" w:type="dxa"/>
            <w:gridSpan w:val="3"/>
            <w:vAlign w:val="center"/>
          </w:tcPr>
          <w:p w14:paraId="21D916C1">
            <w:pPr>
              <w:keepNext/>
              <w:widowControl/>
              <w:snapToGrid w:val="0"/>
              <w:jc w:val="center"/>
              <w:rPr>
                <w:rFonts w:hint="eastAsia" w:ascii="宋体" w:hAnsi="宋体"/>
                <w:color w:val="000000"/>
                <w:kern w:val="0"/>
                <w:sz w:val="18"/>
                <w:szCs w:val="18"/>
              </w:rPr>
            </w:pPr>
          </w:p>
        </w:tc>
        <w:tc>
          <w:tcPr>
            <w:tcW w:w="1761" w:type="dxa"/>
            <w:gridSpan w:val="2"/>
            <w:vAlign w:val="center"/>
          </w:tcPr>
          <w:p w14:paraId="204ABA5D">
            <w:pPr>
              <w:keepNext/>
              <w:widowControl/>
              <w:snapToGrid w:val="0"/>
              <w:jc w:val="center"/>
              <w:rPr>
                <w:rFonts w:hint="eastAsia" w:ascii="宋体" w:hAnsi="宋体"/>
                <w:color w:val="000000"/>
                <w:kern w:val="0"/>
                <w:sz w:val="18"/>
                <w:szCs w:val="18"/>
              </w:rPr>
            </w:pPr>
          </w:p>
        </w:tc>
        <w:tc>
          <w:tcPr>
            <w:tcW w:w="1772" w:type="dxa"/>
            <w:gridSpan w:val="3"/>
            <w:vAlign w:val="center"/>
          </w:tcPr>
          <w:p w14:paraId="6DDC49DD">
            <w:pPr>
              <w:keepNext/>
              <w:widowControl/>
              <w:snapToGrid w:val="0"/>
              <w:jc w:val="center"/>
              <w:rPr>
                <w:rFonts w:hint="eastAsia" w:ascii="宋体" w:hAnsi="宋体"/>
                <w:color w:val="000000"/>
                <w:kern w:val="0"/>
                <w:sz w:val="18"/>
                <w:szCs w:val="18"/>
              </w:rPr>
            </w:pPr>
          </w:p>
        </w:tc>
        <w:tc>
          <w:tcPr>
            <w:tcW w:w="1592" w:type="dxa"/>
            <w:gridSpan w:val="2"/>
            <w:vAlign w:val="center"/>
          </w:tcPr>
          <w:p w14:paraId="370A9973">
            <w:pPr>
              <w:keepNext/>
              <w:widowControl/>
              <w:snapToGrid w:val="0"/>
              <w:jc w:val="center"/>
              <w:rPr>
                <w:rFonts w:hint="eastAsia" w:ascii="宋体" w:hAnsi="宋体"/>
                <w:color w:val="000000"/>
                <w:kern w:val="0"/>
                <w:sz w:val="18"/>
                <w:szCs w:val="18"/>
              </w:rPr>
            </w:pPr>
          </w:p>
        </w:tc>
        <w:tc>
          <w:tcPr>
            <w:tcW w:w="1592" w:type="dxa"/>
            <w:vAlign w:val="center"/>
          </w:tcPr>
          <w:p w14:paraId="2CAD957D">
            <w:pPr>
              <w:keepNext/>
              <w:widowControl/>
              <w:snapToGrid w:val="0"/>
              <w:jc w:val="center"/>
              <w:rPr>
                <w:rFonts w:hint="eastAsia" w:ascii="宋体" w:hAnsi="宋体"/>
                <w:color w:val="000000"/>
                <w:kern w:val="0"/>
                <w:sz w:val="18"/>
                <w:szCs w:val="18"/>
              </w:rPr>
            </w:pPr>
          </w:p>
        </w:tc>
      </w:tr>
      <w:tr w14:paraId="06325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rPr>
        <w:tc>
          <w:tcPr>
            <w:tcW w:w="1111" w:type="dxa"/>
            <w:vMerge w:val="continue"/>
            <w:vAlign w:val="center"/>
          </w:tcPr>
          <w:p w14:paraId="097783C4">
            <w:pPr>
              <w:keepNext/>
              <w:widowControl/>
              <w:snapToGrid w:val="0"/>
              <w:jc w:val="center"/>
              <w:rPr>
                <w:rFonts w:hint="eastAsia" w:ascii="宋体" w:hAnsi="宋体"/>
                <w:color w:val="000000"/>
                <w:kern w:val="0"/>
                <w:sz w:val="18"/>
                <w:szCs w:val="18"/>
              </w:rPr>
            </w:pPr>
          </w:p>
        </w:tc>
        <w:tc>
          <w:tcPr>
            <w:tcW w:w="1301" w:type="dxa"/>
            <w:vAlign w:val="center"/>
          </w:tcPr>
          <w:p w14:paraId="4906A781">
            <w:pPr>
              <w:keepNext/>
              <w:widowControl/>
              <w:snapToGrid w:val="0"/>
              <w:jc w:val="center"/>
              <w:rPr>
                <w:rFonts w:hint="eastAsia" w:ascii="宋体" w:hAnsi="宋体"/>
                <w:color w:val="000000"/>
                <w:kern w:val="0"/>
                <w:sz w:val="18"/>
                <w:szCs w:val="18"/>
              </w:rPr>
            </w:pPr>
            <w:r>
              <w:rPr>
                <w:rFonts w:hint="eastAsia" w:ascii="宋体" w:hAnsi="宋体"/>
                <w:color w:val="000000"/>
                <w:kern w:val="0"/>
                <w:sz w:val="18"/>
                <w:szCs w:val="18"/>
              </w:rPr>
              <w:t>水源涵养量</w:t>
            </w:r>
          </w:p>
        </w:tc>
        <w:tc>
          <w:tcPr>
            <w:tcW w:w="808" w:type="dxa"/>
            <w:vAlign w:val="center"/>
          </w:tcPr>
          <w:p w14:paraId="1F54EDA3">
            <w:pPr>
              <w:keepNext/>
              <w:widowControl/>
              <w:snapToGrid w:val="0"/>
              <w:jc w:val="center"/>
              <w:rPr>
                <w:rFonts w:hint="eastAsia" w:ascii="宋体" w:hAnsi="宋体"/>
                <w:color w:val="000000"/>
                <w:kern w:val="0"/>
                <w:sz w:val="18"/>
                <w:szCs w:val="18"/>
              </w:rPr>
            </w:pPr>
          </w:p>
        </w:tc>
        <w:tc>
          <w:tcPr>
            <w:tcW w:w="1229" w:type="dxa"/>
            <w:gridSpan w:val="3"/>
            <w:vAlign w:val="center"/>
          </w:tcPr>
          <w:p w14:paraId="182D3DAA">
            <w:pPr>
              <w:keepNext/>
              <w:widowControl/>
              <w:snapToGrid w:val="0"/>
              <w:jc w:val="center"/>
              <w:rPr>
                <w:rFonts w:hint="eastAsia" w:ascii="宋体" w:hAnsi="宋体"/>
                <w:color w:val="000000"/>
                <w:kern w:val="0"/>
                <w:sz w:val="18"/>
                <w:szCs w:val="18"/>
              </w:rPr>
            </w:pPr>
          </w:p>
        </w:tc>
        <w:tc>
          <w:tcPr>
            <w:tcW w:w="1413" w:type="dxa"/>
            <w:gridSpan w:val="2"/>
            <w:vAlign w:val="center"/>
          </w:tcPr>
          <w:p w14:paraId="1AA3661F">
            <w:pPr>
              <w:keepNext/>
              <w:widowControl/>
              <w:snapToGrid w:val="0"/>
              <w:jc w:val="center"/>
              <w:rPr>
                <w:rFonts w:hint="eastAsia" w:ascii="宋体" w:hAnsi="宋体"/>
                <w:color w:val="000000"/>
                <w:kern w:val="0"/>
                <w:sz w:val="18"/>
                <w:szCs w:val="18"/>
              </w:rPr>
            </w:pPr>
          </w:p>
        </w:tc>
        <w:tc>
          <w:tcPr>
            <w:tcW w:w="1588" w:type="dxa"/>
            <w:gridSpan w:val="3"/>
            <w:vAlign w:val="center"/>
          </w:tcPr>
          <w:p w14:paraId="0991720E">
            <w:pPr>
              <w:keepNext/>
              <w:widowControl/>
              <w:snapToGrid w:val="0"/>
              <w:jc w:val="center"/>
              <w:rPr>
                <w:rFonts w:hint="eastAsia" w:ascii="宋体" w:hAnsi="宋体"/>
                <w:color w:val="000000"/>
                <w:kern w:val="0"/>
                <w:sz w:val="18"/>
                <w:szCs w:val="18"/>
              </w:rPr>
            </w:pPr>
          </w:p>
        </w:tc>
        <w:tc>
          <w:tcPr>
            <w:tcW w:w="1761" w:type="dxa"/>
            <w:gridSpan w:val="2"/>
            <w:vAlign w:val="center"/>
          </w:tcPr>
          <w:p w14:paraId="2BD13ECE">
            <w:pPr>
              <w:keepNext/>
              <w:widowControl/>
              <w:snapToGrid w:val="0"/>
              <w:jc w:val="center"/>
              <w:rPr>
                <w:rFonts w:hint="eastAsia" w:ascii="宋体" w:hAnsi="宋体"/>
                <w:color w:val="000000"/>
                <w:kern w:val="0"/>
                <w:sz w:val="18"/>
                <w:szCs w:val="18"/>
              </w:rPr>
            </w:pPr>
          </w:p>
        </w:tc>
        <w:tc>
          <w:tcPr>
            <w:tcW w:w="1772" w:type="dxa"/>
            <w:gridSpan w:val="3"/>
            <w:vAlign w:val="center"/>
          </w:tcPr>
          <w:p w14:paraId="156335C3">
            <w:pPr>
              <w:keepNext/>
              <w:widowControl/>
              <w:snapToGrid w:val="0"/>
              <w:jc w:val="center"/>
              <w:rPr>
                <w:rFonts w:hint="eastAsia" w:ascii="宋体" w:hAnsi="宋体"/>
                <w:color w:val="000000"/>
                <w:kern w:val="0"/>
                <w:sz w:val="18"/>
                <w:szCs w:val="18"/>
              </w:rPr>
            </w:pPr>
          </w:p>
        </w:tc>
        <w:tc>
          <w:tcPr>
            <w:tcW w:w="1592" w:type="dxa"/>
            <w:gridSpan w:val="2"/>
            <w:vAlign w:val="center"/>
          </w:tcPr>
          <w:p w14:paraId="1A1233E9">
            <w:pPr>
              <w:keepNext/>
              <w:widowControl/>
              <w:snapToGrid w:val="0"/>
              <w:jc w:val="center"/>
              <w:rPr>
                <w:rFonts w:hint="eastAsia" w:ascii="宋体" w:hAnsi="宋体"/>
                <w:color w:val="000000"/>
                <w:kern w:val="0"/>
                <w:sz w:val="18"/>
                <w:szCs w:val="18"/>
              </w:rPr>
            </w:pPr>
          </w:p>
        </w:tc>
        <w:tc>
          <w:tcPr>
            <w:tcW w:w="1592" w:type="dxa"/>
            <w:vAlign w:val="center"/>
          </w:tcPr>
          <w:p w14:paraId="475E42B8">
            <w:pPr>
              <w:keepNext/>
              <w:widowControl/>
              <w:snapToGrid w:val="0"/>
              <w:jc w:val="center"/>
              <w:rPr>
                <w:rFonts w:hint="eastAsia" w:ascii="宋体" w:hAnsi="宋体"/>
                <w:color w:val="000000"/>
                <w:kern w:val="0"/>
                <w:sz w:val="18"/>
                <w:szCs w:val="18"/>
              </w:rPr>
            </w:pPr>
          </w:p>
        </w:tc>
      </w:tr>
      <w:tr w14:paraId="5BC7F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rPr>
        <w:tc>
          <w:tcPr>
            <w:tcW w:w="1111" w:type="dxa"/>
            <w:vMerge w:val="continue"/>
            <w:vAlign w:val="center"/>
          </w:tcPr>
          <w:p w14:paraId="53EDF806">
            <w:pPr>
              <w:keepNext/>
              <w:widowControl/>
              <w:snapToGrid w:val="0"/>
              <w:jc w:val="center"/>
              <w:rPr>
                <w:rFonts w:hint="eastAsia" w:ascii="宋体" w:hAnsi="宋体"/>
                <w:color w:val="000000"/>
                <w:kern w:val="0"/>
                <w:sz w:val="18"/>
                <w:szCs w:val="18"/>
              </w:rPr>
            </w:pPr>
          </w:p>
        </w:tc>
        <w:tc>
          <w:tcPr>
            <w:tcW w:w="1301" w:type="dxa"/>
            <w:vAlign w:val="center"/>
          </w:tcPr>
          <w:p w14:paraId="6B50ED4C">
            <w:pPr>
              <w:keepNext/>
              <w:widowControl/>
              <w:snapToGrid w:val="0"/>
              <w:jc w:val="center"/>
              <w:rPr>
                <w:rFonts w:hint="eastAsia" w:ascii="宋体" w:hAnsi="宋体"/>
                <w:color w:val="000000"/>
                <w:kern w:val="0"/>
                <w:sz w:val="18"/>
                <w:szCs w:val="18"/>
              </w:rPr>
            </w:pPr>
            <w:r>
              <w:rPr>
                <w:rFonts w:hint="eastAsia" w:ascii="宋体" w:hAnsi="宋体"/>
                <w:color w:val="000000"/>
                <w:kern w:val="0"/>
                <w:sz w:val="18"/>
                <w:szCs w:val="18"/>
              </w:rPr>
              <w:t>洪水调蓄量</w:t>
            </w:r>
          </w:p>
        </w:tc>
        <w:tc>
          <w:tcPr>
            <w:tcW w:w="808" w:type="dxa"/>
            <w:vAlign w:val="center"/>
          </w:tcPr>
          <w:p w14:paraId="1AAC64C3">
            <w:pPr>
              <w:keepNext/>
              <w:widowControl/>
              <w:snapToGrid w:val="0"/>
              <w:jc w:val="center"/>
              <w:rPr>
                <w:rFonts w:hint="eastAsia" w:ascii="宋体" w:hAnsi="宋体"/>
                <w:color w:val="000000"/>
                <w:kern w:val="0"/>
                <w:sz w:val="18"/>
                <w:szCs w:val="18"/>
              </w:rPr>
            </w:pPr>
          </w:p>
        </w:tc>
        <w:tc>
          <w:tcPr>
            <w:tcW w:w="1229" w:type="dxa"/>
            <w:gridSpan w:val="3"/>
            <w:vAlign w:val="center"/>
          </w:tcPr>
          <w:p w14:paraId="62A252E5">
            <w:pPr>
              <w:keepNext/>
              <w:widowControl/>
              <w:snapToGrid w:val="0"/>
              <w:jc w:val="center"/>
              <w:rPr>
                <w:rFonts w:hint="eastAsia" w:ascii="宋体" w:hAnsi="宋体"/>
                <w:color w:val="000000"/>
                <w:kern w:val="0"/>
                <w:sz w:val="18"/>
                <w:szCs w:val="18"/>
              </w:rPr>
            </w:pPr>
          </w:p>
        </w:tc>
        <w:tc>
          <w:tcPr>
            <w:tcW w:w="1413" w:type="dxa"/>
            <w:gridSpan w:val="2"/>
            <w:vAlign w:val="center"/>
          </w:tcPr>
          <w:p w14:paraId="08531507">
            <w:pPr>
              <w:keepNext/>
              <w:widowControl/>
              <w:snapToGrid w:val="0"/>
              <w:jc w:val="center"/>
              <w:rPr>
                <w:rFonts w:hint="eastAsia" w:ascii="宋体" w:hAnsi="宋体"/>
                <w:color w:val="000000"/>
                <w:kern w:val="0"/>
                <w:sz w:val="18"/>
                <w:szCs w:val="18"/>
              </w:rPr>
            </w:pPr>
          </w:p>
        </w:tc>
        <w:tc>
          <w:tcPr>
            <w:tcW w:w="1588" w:type="dxa"/>
            <w:gridSpan w:val="3"/>
            <w:vAlign w:val="center"/>
          </w:tcPr>
          <w:p w14:paraId="765A6E5A">
            <w:pPr>
              <w:keepNext/>
              <w:widowControl/>
              <w:snapToGrid w:val="0"/>
              <w:jc w:val="center"/>
              <w:rPr>
                <w:rFonts w:hint="eastAsia" w:ascii="宋体" w:hAnsi="宋体"/>
                <w:color w:val="000000"/>
                <w:kern w:val="0"/>
                <w:sz w:val="18"/>
                <w:szCs w:val="18"/>
              </w:rPr>
            </w:pPr>
          </w:p>
        </w:tc>
        <w:tc>
          <w:tcPr>
            <w:tcW w:w="1761" w:type="dxa"/>
            <w:gridSpan w:val="2"/>
            <w:vAlign w:val="center"/>
          </w:tcPr>
          <w:p w14:paraId="06487779">
            <w:pPr>
              <w:keepNext/>
              <w:widowControl/>
              <w:snapToGrid w:val="0"/>
              <w:jc w:val="center"/>
              <w:rPr>
                <w:rFonts w:hint="eastAsia" w:ascii="宋体" w:hAnsi="宋体"/>
                <w:color w:val="000000"/>
                <w:kern w:val="0"/>
                <w:sz w:val="18"/>
                <w:szCs w:val="18"/>
              </w:rPr>
            </w:pPr>
          </w:p>
        </w:tc>
        <w:tc>
          <w:tcPr>
            <w:tcW w:w="1772" w:type="dxa"/>
            <w:gridSpan w:val="3"/>
            <w:vAlign w:val="center"/>
          </w:tcPr>
          <w:p w14:paraId="251C0B57">
            <w:pPr>
              <w:keepNext/>
              <w:widowControl/>
              <w:snapToGrid w:val="0"/>
              <w:jc w:val="center"/>
              <w:rPr>
                <w:rFonts w:hint="eastAsia" w:ascii="宋体" w:hAnsi="宋体"/>
                <w:color w:val="000000"/>
                <w:kern w:val="0"/>
                <w:sz w:val="18"/>
                <w:szCs w:val="18"/>
              </w:rPr>
            </w:pPr>
          </w:p>
        </w:tc>
        <w:tc>
          <w:tcPr>
            <w:tcW w:w="1592" w:type="dxa"/>
            <w:gridSpan w:val="2"/>
            <w:vAlign w:val="center"/>
          </w:tcPr>
          <w:p w14:paraId="3FEBCCCA">
            <w:pPr>
              <w:keepNext/>
              <w:widowControl/>
              <w:snapToGrid w:val="0"/>
              <w:jc w:val="center"/>
              <w:rPr>
                <w:rFonts w:hint="eastAsia" w:ascii="宋体" w:hAnsi="宋体"/>
                <w:color w:val="000000"/>
                <w:kern w:val="0"/>
                <w:sz w:val="18"/>
                <w:szCs w:val="18"/>
              </w:rPr>
            </w:pPr>
          </w:p>
        </w:tc>
        <w:tc>
          <w:tcPr>
            <w:tcW w:w="1592" w:type="dxa"/>
            <w:vAlign w:val="center"/>
          </w:tcPr>
          <w:p w14:paraId="541C4676">
            <w:pPr>
              <w:keepNext/>
              <w:widowControl/>
              <w:snapToGrid w:val="0"/>
              <w:jc w:val="center"/>
              <w:rPr>
                <w:rFonts w:hint="eastAsia" w:ascii="宋体" w:hAnsi="宋体"/>
                <w:color w:val="000000"/>
                <w:kern w:val="0"/>
                <w:sz w:val="18"/>
                <w:szCs w:val="18"/>
              </w:rPr>
            </w:pPr>
          </w:p>
        </w:tc>
      </w:tr>
      <w:tr w14:paraId="272C5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rPr>
        <w:tc>
          <w:tcPr>
            <w:tcW w:w="1111" w:type="dxa"/>
            <w:vMerge w:val="continue"/>
            <w:vAlign w:val="center"/>
          </w:tcPr>
          <w:p w14:paraId="21812D3B">
            <w:pPr>
              <w:keepNext/>
              <w:widowControl/>
              <w:snapToGrid w:val="0"/>
              <w:jc w:val="center"/>
              <w:rPr>
                <w:rFonts w:hint="eastAsia" w:ascii="宋体" w:hAnsi="宋体"/>
                <w:color w:val="000000"/>
                <w:kern w:val="0"/>
                <w:sz w:val="18"/>
                <w:szCs w:val="18"/>
              </w:rPr>
            </w:pPr>
          </w:p>
        </w:tc>
        <w:tc>
          <w:tcPr>
            <w:tcW w:w="1301" w:type="dxa"/>
            <w:vAlign w:val="center"/>
          </w:tcPr>
          <w:p w14:paraId="73B0EA20">
            <w:pPr>
              <w:keepNext/>
              <w:widowControl/>
              <w:snapToGrid w:val="0"/>
              <w:jc w:val="center"/>
              <w:rPr>
                <w:rFonts w:hint="eastAsia" w:ascii="宋体" w:hAnsi="宋体"/>
                <w:color w:val="000000"/>
                <w:kern w:val="0"/>
                <w:sz w:val="18"/>
                <w:szCs w:val="18"/>
              </w:rPr>
            </w:pPr>
          </w:p>
        </w:tc>
        <w:tc>
          <w:tcPr>
            <w:tcW w:w="808" w:type="dxa"/>
            <w:vAlign w:val="center"/>
          </w:tcPr>
          <w:p w14:paraId="6512C895">
            <w:pPr>
              <w:keepNext/>
              <w:widowControl/>
              <w:snapToGrid w:val="0"/>
              <w:jc w:val="center"/>
              <w:rPr>
                <w:rFonts w:hint="eastAsia" w:ascii="宋体" w:hAnsi="宋体"/>
                <w:color w:val="000000"/>
                <w:kern w:val="0"/>
                <w:sz w:val="18"/>
                <w:szCs w:val="18"/>
              </w:rPr>
            </w:pPr>
          </w:p>
        </w:tc>
        <w:tc>
          <w:tcPr>
            <w:tcW w:w="1229" w:type="dxa"/>
            <w:gridSpan w:val="3"/>
            <w:vAlign w:val="center"/>
          </w:tcPr>
          <w:p w14:paraId="1CA5D8D1">
            <w:pPr>
              <w:keepNext/>
              <w:widowControl/>
              <w:snapToGrid w:val="0"/>
              <w:jc w:val="center"/>
              <w:rPr>
                <w:rFonts w:hint="eastAsia" w:ascii="宋体" w:hAnsi="宋体"/>
                <w:color w:val="000000"/>
                <w:kern w:val="0"/>
                <w:sz w:val="18"/>
                <w:szCs w:val="18"/>
              </w:rPr>
            </w:pPr>
          </w:p>
        </w:tc>
        <w:tc>
          <w:tcPr>
            <w:tcW w:w="1413" w:type="dxa"/>
            <w:gridSpan w:val="2"/>
            <w:vAlign w:val="center"/>
          </w:tcPr>
          <w:p w14:paraId="217B97DA">
            <w:pPr>
              <w:keepNext/>
              <w:widowControl/>
              <w:snapToGrid w:val="0"/>
              <w:jc w:val="center"/>
              <w:rPr>
                <w:rFonts w:hint="eastAsia" w:ascii="宋体" w:hAnsi="宋体"/>
                <w:color w:val="000000"/>
                <w:kern w:val="0"/>
                <w:sz w:val="18"/>
                <w:szCs w:val="18"/>
              </w:rPr>
            </w:pPr>
          </w:p>
        </w:tc>
        <w:tc>
          <w:tcPr>
            <w:tcW w:w="1588" w:type="dxa"/>
            <w:gridSpan w:val="3"/>
            <w:vAlign w:val="center"/>
          </w:tcPr>
          <w:p w14:paraId="1D7D5C71">
            <w:pPr>
              <w:keepNext/>
              <w:widowControl/>
              <w:snapToGrid w:val="0"/>
              <w:jc w:val="center"/>
              <w:rPr>
                <w:rFonts w:hint="eastAsia" w:ascii="宋体" w:hAnsi="宋体"/>
                <w:color w:val="000000"/>
                <w:kern w:val="0"/>
                <w:sz w:val="18"/>
                <w:szCs w:val="18"/>
              </w:rPr>
            </w:pPr>
          </w:p>
        </w:tc>
        <w:tc>
          <w:tcPr>
            <w:tcW w:w="1761" w:type="dxa"/>
            <w:gridSpan w:val="2"/>
            <w:vAlign w:val="center"/>
          </w:tcPr>
          <w:p w14:paraId="6D501126">
            <w:pPr>
              <w:keepNext/>
              <w:widowControl/>
              <w:snapToGrid w:val="0"/>
              <w:jc w:val="center"/>
              <w:rPr>
                <w:rFonts w:hint="eastAsia" w:ascii="宋体" w:hAnsi="宋体"/>
                <w:color w:val="000000"/>
                <w:kern w:val="0"/>
                <w:sz w:val="18"/>
                <w:szCs w:val="18"/>
              </w:rPr>
            </w:pPr>
          </w:p>
        </w:tc>
        <w:tc>
          <w:tcPr>
            <w:tcW w:w="1772" w:type="dxa"/>
            <w:gridSpan w:val="3"/>
            <w:vAlign w:val="center"/>
          </w:tcPr>
          <w:p w14:paraId="33AEBE31">
            <w:pPr>
              <w:keepNext/>
              <w:widowControl/>
              <w:snapToGrid w:val="0"/>
              <w:jc w:val="center"/>
              <w:rPr>
                <w:rFonts w:hint="eastAsia" w:ascii="宋体" w:hAnsi="宋体"/>
                <w:color w:val="000000"/>
                <w:kern w:val="0"/>
                <w:sz w:val="18"/>
                <w:szCs w:val="18"/>
              </w:rPr>
            </w:pPr>
          </w:p>
        </w:tc>
        <w:tc>
          <w:tcPr>
            <w:tcW w:w="1592" w:type="dxa"/>
            <w:gridSpan w:val="2"/>
            <w:vAlign w:val="center"/>
          </w:tcPr>
          <w:p w14:paraId="51C31A1E">
            <w:pPr>
              <w:keepNext/>
              <w:widowControl/>
              <w:snapToGrid w:val="0"/>
              <w:jc w:val="center"/>
              <w:rPr>
                <w:rFonts w:hint="eastAsia" w:ascii="宋体" w:hAnsi="宋体"/>
                <w:color w:val="000000"/>
                <w:kern w:val="0"/>
                <w:sz w:val="18"/>
                <w:szCs w:val="18"/>
              </w:rPr>
            </w:pPr>
          </w:p>
        </w:tc>
        <w:tc>
          <w:tcPr>
            <w:tcW w:w="1592" w:type="dxa"/>
            <w:vAlign w:val="center"/>
          </w:tcPr>
          <w:p w14:paraId="44CDD334">
            <w:pPr>
              <w:keepNext/>
              <w:widowControl/>
              <w:snapToGrid w:val="0"/>
              <w:jc w:val="center"/>
              <w:rPr>
                <w:rFonts w:hint="eastAsia" w:ascii="宋体" w:hAnsi="宋体"/>
                <w:color w:val="000000"/>
                <w:kern w:val="0"/>
                <w:sz w:val="18"/>
                <w:szCs w:val="18"/>
              </w:rPr>
            </w:pPr>
          </w:p>
        </w:tc>
      </w:tr>
      <w:tr w14:paraId="314F5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rPr>
        <w:tc>
          <w:tcPr>
            <w:tcW w:w="1111" w:type="dxa"/>
            <w:vMerge w:val="restart"/>
            <w:vAlign w:val="center"/>
          </w:tcPr>
          <w:p w14:paraId="6B2E01E9">
            <w:pPr>
              <w:keepNext/>
              <w:widowControl/>
              <w:snapToGrid w:val="0"/>
              <w:jc w:val="center"/>
              <w:rPr>
                <w:rFonts w:hint="eastAsia" w:ascii="宋体" w:hAnsi="宋体"/>
                <w:color w:val="000000"/>
                <w:kern w:val="0"/>
                <w:sz w:val="18"/>
                <w:szCs w:val="18"/>
              </w:rPr>
            </w:pPr>
            <w:r>
              <w:rPr>
                <w:rFonts w:hint="eastAsia" w:ascii="宋体" w:hAnsi="宋体"/>
                <w:color w:val="000000"/>
                <w:kern w:val="0"/>
                <w:sz w:val="18"/>
                <w:szCs w:val="18"/>
              </w:rPr>
              <w:t>工程监测管护</w:t>
            </w:r>
          </w:p>
        </w:tc>
        <w:tc>
          <w:tcPr>
            <w:tcW w:w="1301" w:type="dxa"/>
            <w:vAlign w:val="center"/>
          </w:tcPr>
          <w:p w14:paraId="5F0C4034">
            <w:pPr>
              <w:keepNext/>
              <w:widowControl/>
              <w:snapToGrid w:val="0"/>
              <w:jc w:val="center"/>
              <w:rPr>
                <w:rFonts w:hint="eastAsia" w:ascii="宋体" w:hAnsi="宋体"/>
                <w:color w:val="000000"/>
                <w:kern w:val="0"/>
                <w:sz w:val="18"/>
                <w:szCs w:val="18"/>
              </w:rPr>
            </w:pPr>
            <w:r>
              <w:rPr>
                <w:rFonts w:hint="eastAsia" w:ascii="宋体" w:hAnsi="宋体"/>
                <w:color w:val="000000"/>
                <w:kern w:val="0"/>
                <w:sz w:val="18"/>
                <w:szCs w:val="18"/>
              </w:rPr>
              <w:t>监测样点的数目</w:t>
            </w:r>
          </w:p>
        </w:tc>
        <w:tc>
          <w:tcPr>
            <w:tcW w:w="808" w:type="dxa"/>
            <w:vAlign w:val="center"/>
          </w:tcPr>
          <w:p w14:paraId="7407EEC4">
            <w:pPr>
              <w:keepNext/>
              <w:widowControl/>
              <w:snapToGrid w:val="0"/>
              <w:jc w:val="center"/>
              <w:rPr>
                <w:rFonts w:hint="eastAsia" w:ascii="宋体" w:hAnsi="宋体"/>
                <w:color w:val="000000"/>
                <w:kern w:val="0"/>
                <w:sz w:val="18"/>
                <w:szCs w:val="18"/>
              </w:rPr>
            </w:pPr>
          </w:p>
        </w:tc>
        <w:tc>
          <w:tcPr>
            <w:tcW w:w="1229" w:type="dxa"/>
            <w:gridSpan w:val="3"/>
            <w:vAlign w:val="center"/>
          </w:tcPr>
          <w:p w14:paraId="6F5FDA46">
            <w:pPr>
              <w:keepNext/>
              <w:widowControl/>
              <w:snapToGrid w:val="0"/>
              <w:jc w:val="center"/>
              <w:rPr>
                <w:rFonts w:hint="eastAsia" w:ascii="宋体" w:hAnsi="宋体"/>
                <w:color w:val="000000"/>
                <w:kern w:val="0"/>
                <w:sz w:val="18"/>
                <w:szCs w:val="18"/>
              </w:rPr>
            </w:pPr>
          </w:p>
        </w:tc>
        <w:tc>
          <w:tcPr>
            <w:tcW w:w="1413" w:type="dxa"/>
            <w:gridSpan w:val="2"/>
            <w:vAlign w:val="center"/>
          </w:tcPr>
          <w:p w14:paraId="4B45A00C">
            <w:pPr>
              <w:keepNext/>
              <w:widowControl/>
              <w:snapToGrid w:val="0"/>
              <w:jc w:val="center"/>
              <w:rPr>
                <w:rFonts w:hint="eastAsia" w:ascii="宋体" w:hAnsi="宋体"/>
                <w:color w:val="000000"/>
                <w:kern w:val="0"/>
                <w:sz w:val="18"/>
                <w:szCs w:val="18"/>
              </w:rPr>
            </w:pPr>
          </w:p>
        </w:tc>
        <w:tc>
          <w:tcPr>
            <w:tcW w:w="1588" w:type="dxa"/>
            <w:gridSpan w:val="3"/>
            <w:vAlign w:val="center"/>
          </w:tcPr>
          <w:p w14:paraId="4919C67F">
            <w:pPr>
              <w:keepNext/>
              <w:widowControl/>
              <w:snapToGrid w:val="0"/>
              <w:jc w:val="center"/>
              <w:rPr>
                <w:rFonts w:hint="eastAsia" w:ascii="宋体" w:hAnsi="宋体"/>
                <w:color w:val="000000"/>
                <w:kern w:val="0"/>
                <w:sz w:val="18"/>
                <w:szCs w:val="18"/>
              </w:rPr>
            </w:pPr>
          </w:p>
        </w:tc>
        <w:tc>
          <w:tcPr>
            <w:tcW w:w="1761" w:type="dxa"/>
            <w:gridSpan w:val="2"/>
            <w:vAlign w:val="center"/>
          </w:tcPr>
          <w:p w14:paraId="7CE0E3AE">
            <w:pPr>
              <w:keepNext/>
              <w:widowControl/>
              <w:snapToGrid w:val="0"/>
              <w:jc w:val="center"/>
              <w:rPr>
                <w:rFonts w:hint="eastAsia" w:ascii="宋体" w:hAnsi="宋体"/>
                <w:color w:val="000000"/>
                <w:kern w:val="0"/>
                <w:sz w:val="18"/>
                <w:szCs w:val="18"/>
              </w:rPr>
            </w:pPr>
          </w:p>
        </w:tc>
        <w:tc>
          <w:tcPr>
            <w:tcW w:w="1772" w:type="dxa"/>
            <w:gridSpan w:val="3"/>
            <w:vAlign w:val="center"/>
          </w:tcPr>
          <w:p w14:paraId="5A8B797A">
            <w:pPr>
              <w:keepNext/>
              <w:widowControl/>
              <w:snapToGrid w:val="0"/>
              <w:jc w:val="center"/>
              <w:rPr>
                <w:rFonts w:hint="eastAsia" w:ascii="宋体" w:hAnsi="宋体"/>
                <w:color w:val="000000"/>
                <w:kern w:val="0"/>
                <w:sz w:val="18"/>
                <w:szCs w:val="18"/>
              </w:rPr>
            </w:pPr>
          </w:p>
        </w:tc>
        <w:tc>
          <w:tcPr>
            <w:tcW w:w="1592" w:type="dxa"/>
            <w:gridSpan w:val="2"/>
            <w:vAlign w:val="center"/>
          </w:tcPr>
          <w:p w14:paraId="33C0337C">
            <w:pPr>
              <w:keepNext/>
              <w:widowControl/>
              <w:snapToGrid w:val="0"/>
              <w:jc w:val="center"/>
              <w:rPr>
                <w:rFonts w:hint="eastAsia" w:ascii="宋体" w:hAnsi="宋体"/>
                <w:color w:val="000000"/>
                <w:kern w:val="0"/>
                <w:sz w:val="18"/>
                <w:szCs w:val="18"/>
              </w:rPr>
            </w:pPr>
          </w:p>
        </w:tc>
        <w:tc>
          <w:tcPr>
            <w:tcW w:w="1592" w:type="dxa"/>
            <w:vAlign w:val="center"/>
          </w:tcPr>
          <w:p w14:paraId="6F83E0AE">
            <w:pPr>
              <w:keepNext/>
              <w:widowControl/>
              <w:snapToGrid w:val="0"/>
              <w:jc w:val="center"/>
              <w:rPr>
                <w:rFonts w:hint="eastAsia" w:ascii="宋体" w:hAnsi="宋体"/>
                <w:color w:val="000000"/>
                <w:kern w:val="0"/>
                <w:sz w:val="18"/>
                <w:szCs w:val="18"/>
              </w:rPr>
            </w:pPr>
          </w:p>
        </w:tc>
      </w:tr>
      <w:tr w14:paraId="0FB8B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rPr>
        <w:tc>
          <w:tcPr>
            <w:tcW w:w="1111" w:type="dxa"/>
            <w:vMerge w:val="continue"/>
            <w:vAlign w:val="center"/>
          </w:tcPr>
          <w:p w14:paraId="4C7F241F">
            <w:pPr>
              <w:keepNext/>
              <w:widowControl/>
              <w:snapToGrid w:val="0"/>
              <w:jc w:val="center"/>
              <w:rPr>
                <w:rFonts w:hint="eastAsia" w:ascii="宋体" w:hAnsi="宋体"/>
                <w:color w:val="000000"/>
                <w:kern w:val="0"/>
                <w:sz w:val="18"/>
                <w:szCs w:val="18"/>
              </w:rPr>
            </w:pPr>
          </w:p>
        </w:tc>
        <w:tc>
          <w:tcPr>
            <w:tcW w:w="1301" w:type="dxa"/>
            <w:vAlign w:val="center"/>
          </w:tcPr>
          <w:p w14:paraId="44999786">
            <w:pPr>
              <w:keepNext/>
              <w:widowControl/>
              <w:snapToGrid w:val="0"/>
              <w:jc w:val="center"/>
              <w:rPr>
                <w:rFonts w:hint="eastAsia" w:ascii="宋体" w:hAnsi="宋体"/>
                <w:color w:val="000000"/>
                <w:kern w:val="0"/>
                <w:sz w:val="18"/>
                <w:szCs w:val="18"/>
              </w:rPr>
            </w:pPr>
            <w:r>
              <w:rPr>
                <w:rFonts w:hint="eastAsia" w:ascii="宋体" w:hAnsi="宋体"/>
                <w:color w:val="000000"/>
                <w:kern w:val="0"/>
                <w:sz w:val="18"/>
                <w:szCs w:val="18"/>
              </w:rPr>
              <w:t>……</w:t>
            </w:r>
          </w:p>
        </w:tc>
        <w:tc>
          <w:tcPr>
            <w:tcW w:w="808" w:type="dxa"/>
            <w:vAlign w:val="center"/>
          </w:tcPr>
          <w:p w14:paraId="5356B67C">
            <w:pPr>
              <w:keepNext/>
              <w:widowControl/>
              <w:snapToGrid w:val="0"/>
              <w:jc w:val="center"/>
              <w:rPr>
                <w:rFonts w:hint="eastAsia" w:ascii="宋体" w:hAnsi="宋体"/>
                <w:color w:val="000000"/>
                <w:kern w:val="0"/>
                <w:sz w:val="18"/>
                <w:szCs w:val="18"/>
              </w:rPr>
            </w:pPr>
          </w:p>
        </w:tc>
        <w:tc>
          <w:tcPr>
            <w:tcW w:w="1229" w:type="dxa"/>
            <w:gridSpan w:val="3"/>
            <w:vAlign w:val="center"/>
          </w:tcPr>
          <w:p w14:paraId="40A3A5D6">
            <w:pPr>
              <w:keepNext/>
              <w:widowControl/>
              <w:snapToGrid w:val="0"/>
              <w:jc w:val="center"/>
              <w:rPr>
                <w:rFonts w:hint="eastAsia" w:ascii="宋体" w:hAnsi="宋体"/>
                <w:color w:val="000000"/>
                <w:kern w:val="0"/>
                <w:sz w:val="18"/>
                <w:szCs w:val="18"/>
              </w:rPr>
            </w:pPr>
          </w:p>
        </w:tc>
        <w:tc>
          <w:tcPr>
            <w:tcW w:w="1413" w:type="dxa"/>
            <w:gridSpan w:val="2"/>
            <w:vAlign w:val="center"/>
          </w:tcPr>
          <w:p w14:paraId="611DE712">
            <w:pPr>
              <w:keepNext/>
              <w:widowControl/>
              <w:snapToGrid w:val="0"/>
              <w:jc w:val="center"/>
              <w:rPr>
                <w:rFonts w:hint="eastAsia" w:ascii="宋体" w:hAnsi="宋体"/>
                <w:color w:val="000000"/>
                <w:kern w:val="0"/>
                <w:sz w:val="18"/>
                <w:szCs w:val="18"/>
              </w:rPr>
            </w:pPr>
          </w:p>
        </w:tc>
        <w:tc>
          <w:tcPr>
            <w:tcW w:w="1588" w:type="dxa"/>
            <w:gridSpan w:val="3"/>
            <w:vAlign w:val="center"/>
          </w:tcPr>
          <w:p w14:paraId="53367FB2">
            <w:pPr>
              <w:keepNext/>
              <w:widowControl/>
              <w:snapToGrid w:val="0"/>
              <w:jc w:val="center"/>
              <w:rPr>
                <w:rFonts w:hint="eastAsia" w:ascii="宋体" w:hAnsi="宋体"/>
                <w:color w:val="000000"/>
                <w:kern w:val="0"/>
                <w:sz w:val="18"/>
                <w:szCs w:val="18"/>
              </w:rPr>
            </w:pPr>
          </w:p>
        </w:tc>
        <w:tc>
          <w:tcPr>
            <w:tcW w:w="1761" w:type="dxa"/>
            <w:gridSpan w:val="2"/>
            <w:vAlign w:val="center"/>
          </w:tcPr>
          <w:p w14:paraId="6CCDA78D">
            <w:pPr>
              <w:keepNext/>
              <w:widowControl/>
              <w:snapToGrid w:val="0"/>
              <w:jc w:val="center"/>
              <w:rPr>
                <w:rFonts w:hint="eastAsia" w:ascii="宋体" w:hAnsi="宋体"/>
                <w:color w:val="000000"/>
                <w:kern w:val="0"/>
                <w:sz w:val="18"/>
                <w:szCs w:val="18"/>
              </w:rPr>
            </w:pPr>
          </w:p>
        </w:tc>
        <w:tc>
          <w:tcPr>
            <w:tcW w:w="1772" w:type="dxa"/>
            <w:gridSpan w:val="3"/>
            <w:vAlign w:val="center"/>
          </w:tcPr>
          <w:p w14:paraId="28A1CEE6">
            <w:pPr>
              <w:keepNext/>
              <w:widowControl/>
              <w:snapToGrid w:val="0"/>
              <w:jc w:val="center"/>
              <w:rPr>
                <w:rFonts w:hint="eastAsia" w:ascii="宋体" w:hAnsi="宋体"/>
                <w:color w:val="000000"/>
                <w:kern w:val="0"/>
                <w:sz w:val="18"/>
                <w:szCs w:val="18"/>
              </w:rPr>
            </w:pPr>
          </w:p>
        </w:tc>
        <w:tc>
          <w:tcPr>
            <w:tcW w:w="1592" w:type="dxa"/>
            <w:gridSpan w:val="2"/>
            <w:vAlign w:val="center"/>
          </w:tcPr>
          <w:p w14:paraId="628B1F00">
            <w:pPr>
              <w:keepNext/>
              <w:widowControl/>
              <w:snapToGrid w:val="0"/>
              <w:jc w:val="center"/>
              <w:rPr>
                <w:rFonts w:hint="eastAsia" w:ascii="宋体" w:hAnsi="宋体"/>
                <w:color w:val="000000"/>
                <w:kern w:val="0"/>
                <w:sz w:val="18"/>
                <w:szCs w:val="18"/>
              </w:rPr>
            </w:pPr>
          </w:p>
        </w:tc>
        <w:tc>
          <w:tcPr>
            <w:tcW w:w="1592" w:type="dxa"/>
            <w:vAlign w:val="center"/>
          </w:tcPr>
          <w:p w14:paraId="0E312DDA">
            <w:pPr>
              <w:keepNext/>
              <w:widowControl/>
              <w:snapToGrid w:val="0"/>
              <w:jc w:val="center"/>
              <w:rPr>
                <w:rFonts w:hint="eastAsia" w:ascii="宋体" w:hAnsi="宋体"/>
                <w:color w:val="000000"/>
                <w:kern w:val="0"/>
                <w:sz w:val="18"/>
                <w:szCs w:val="18"/>
              </w:rPr>
            </w:pPr>
          </w:p>
        </w:tc>
      </w:tr>
      <w:tr w14:paraId="6926E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rPr>
        <w:tc>
          <w:tcPr>
            <w:tcW w:w="3541" w:type="dxa"/>
            <w:gridSpan w:val="4"/>
            <w:vAlign w:val="center"/>
          </w:tcPr>
          <w:p w14:paraId="3C87D1DD">
            <w:pPr>
              <w:keepNext/>
              <w:widowControl/>
              <w:snapToGrid w:val="0"/>
              <w:jc w:val="left"/>
              <w:rPr>
                <w:rFonts w:hint="eastAsia" w:ascii="宋体" w:hAnsi="宋体"/>
                <w:color w:val="000000"/>
                <w:kern w:val="0"/>
                <w:sz w:val="18"/>
                <w:szCs w:val="18"/>
              </w:rPr>
            </w:pPr>
            <w:r>
              <w:rPr>
                <w:rFonts w:hint="eastAsia" w:ascii="宋体" w:hAnsi="宋体"/>
                <w:color w:val="000000"/>
                <w:kern w:val="0"/>
                <w:sz w:val="18"/>
                <w:szCs w:val="18"/>
              </w:rPr>
              <w:t>填表人：</w:t>
            </w:r>
          </w:p>
        </w:tc>
        <w:tc>
          <w:tcPr>
            <w:tcW w:w="3542" w:type="dxa"/>
            <w:gridSpan w:val="6"/>
            <w:vAlign w:val="center"/>
          </w:tcPr>
          <w:p w14:paraId="418AE1D4">
            <w:pPr>
              <w:keepNext/>
              <w:widowControl/>
              <w:snapToGrid w:val="0"/>
              <w:jc w:val="left"/>
              <w:rPr>
                <w:rFonts w:hint="eastAsia" w:ascii="宋体" w:hAnsi="宋体"/>
                <w:color w:val="000000"/>
                <w:kern w:val="0"/>
                <w:sz w:val="18"/>
                <w:szCs w:val="18"/>
              </w:rPr>
            </w:pPr>
            <w:r>
              <w:rPr>
                <w:rFonts w:hint="eastAsia" w:ascii="宋体" w:hAnsi="宋体"/>
                <w:color w:val="000000"/>
                <w:kern w:val="0"/>
                <w:sz w:val="18"/>
                <w:szCs w:val="18"/>
              </w:rPr>
              <w:t>时间：</w:t>
            </w:r>
          </w:p>
        </w:tc>
        <w:tc>
          <w:tcPr>
            <w:tcW w:w="3542" w:type="dxa"/>
            <w:gridSpan w:val="5"/>
            <w:vAlign w:val="center"/>
          </w:tcPr>
          <w:p w14:paraId="080653FE">
            <w:pPr>
              <w:keepNext/>
              <w:widowControl/>
              <w:snapToGrid w:val="0"/>
              <w:jc w:val="left"/>
              <w:rPr>
                <w:rFonts w:hint="eastAsia" w:ascii="宋体" w:hAnsi="宋体"/>
                <w:color w:val="000000"/>
                <w:kern w:val="0"/>
                <w:sz w:val="18"/>
                <w:szCs w:val="18"/>
              </w:rPr>
            </w:pPr>
            <w:r>
              <w:rPr>
                <w:rFonts w:hint="eastAsia" w:ascii="宋体" w:hAnsi="宋体"/>
                <w:color w:val="000000"/>
                <w:kern w:val="0"/>
                <w:sz w:val="18"/>
                <w:szCs w:val="18"/>
              </w:rPr>
              <w:t>审核人：</w:t>
            </w:r>
          </w:p>
        </w:tc>
        <w:tc>
          <w:tcPr>
            <w:tcW w:w="3542" w:type="dxa"/>
            <w:gridSpan w:val="4"/>
            <w:vAlign w:val="center"/>
          </w:tcPr>
          <w:p w14:paraId="75D0DFCF">
            <w:pPr>
              <w:keepNext/>
              <w:widowControl/>
              <w:snapToGrid w:val="0"/>
              <w:jc w:val="left"/>
              <w:rPr>
                <w:rFonts w:hint="eastAsia" w:ascii="宋体" w:hAnsi="宋体"/>
                <w:color w:val="000000"/>
                <w:kern w:val="0"/>
                <w:sz w:val="18"/>
                <w:szCs w:val="18"/>
              </w:rPr>
            </w:pPr>
            <w:r>
              <w:rPr>
                <w:rFonts w:hint="eastAsia" w:ascii="宋体" w:hAnsi="宋体"/>
                <w:color w:val="000000"/>
                <w:kern w:val="0"/>
                <w:sz w:val="18"/>
                <w:szCs w:val="18"/>
              </w:rPr>
              <w:t>时间：</w:t>
            </w:r>
          </w:p>
        </w:tc>
      </w:tr>
      <w:tr w14:paraId="3BDA7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0" w:hRule="atLeast"/>
        </w:trPr>
        <w:tc>
          <w:tcPr>
            <w:tcW w:w="1111" w:type="dxa"/>
            <w:vAlign w:val="center"/>
          </w:tcPr>
          <w:p w14:paraId="15443997">
            <w:pPr>
              <w:keepNext/>
              <w:widowControl/>
              <w:snapToGrid w:val="0"/>
              <w:jc w:val="left"/>
              <w:rPr>
                <w:rFonts w:hint="eastAsia" w:ascii="宋体" w:hAnsi="宋体"/>
                <w:color w:val="000000"/>
                <w:kern w:val="0"/>
                <w:sz w:val="18"/>
                <w:szCs w:val="18"/>
              </w:rPr>
            </w:pPr>
          </w:p>
        </w:tc>
        <w:tc>
          <w:tcPr>
            <w:tcW w:w="13056" w:type="dxa"/>
            <w:gridSpan w:val="18"/>
            <w:vAlign w:val="center"/>
          </w:tcPr>
          <w:p w14:paraId="756213BE">
            <w:pPr>
              <w:keepNext/>
              <w:widowControl/>
              <w:snapToGrid w:val="0"/>
              <w:jc w:val="left"/>
              <w:rPr>
                <w:rFonts w:hint="eastAsia" w:ascii="宋体" w:hAnsi="宋体"/>
                <w:color w:val="000000"/>
                <w:kern w:val="0"/>
                <w:sz w:val="18"/>
                <w:szCs w:val="18"/>
              </w:rPr>
            </w:pPr>
            <w:r>
              <w:rPr>
                <w:rFonts w:hint="eastAsia" w:ascii="宋体" w:hAnsi="宋体"/>
                <w:color w:val="000000"/>
                <w:kern w:val="0"/>
                <w:sz w:val="18"/>
                <w:szCs w:val="18"/>
              </w:rPr>
              <w:t>注1：本表可用于基础调查、监测评估。</w:t>
            </w:r>
          </w:p>
          <w:p w14:paraId="4E9C6193">
            <w:pPr>
              <w:keepNext/>
              <w:widowControl/>
              <w:snapToGrid w:val="0"/>
              <w:jc w:val="left"/>
              <w:rPr>
                <w:rFonts w:hint="eastAsia" w:ascii="宋体" w:hAnsi="宋体"/>
                <w:color w:val="000000"/>
                <w:kern w:val="0"/>
                <w:sz w:val="18"/>
                <w:szCs w:val="18"/>
              </w:rPr>
            </w:pPr>
            <w:r>
              <w:rPr>
                <w:rFonts w:hint="eastAsia" w:ascii="宋体" w:hAnsi="宋体"/>
                <w:color w:val="000000"/>
                <w:kern w:val="0"/>
                <w:sz w:val="18"/>
                <w:szCs w:val="18"/>
              </w:rPr>
              <w:t>注2:山水林田湖草沙一体化生态保护与修复成效监测评估指标,是指通过整体性、系统性、综合性实施生态系统保护修复工程，区域生态系统功能提升的具体、量化表现。各地根据实际和工程建设内容，可以增减调查监测评估指标。</w:t>
            </w:r>
          </w:p>
          <w:p w14:paraId="6058207D">
            <w:pPr>
              <w:keepNext/>
              <w:widowControl/>
              <w:snapToGrid w:val="0"/>
              <w:jc w:val="left"/>
              <w:rPr>
                <w:rFonts w:hint="eastAsia" w:ascii="宋体" w:hAnsi="宋体"/>
                <w:color w:val="000000"/>
                <w:kern w:val="0"/>
                <w:sz w:val="18"/>
                <w:szCs w:val="18"/>
              </w:rPr>
            </w:pPr>
            <w:r>
              <w:rPr>
                <w:rFonts w:hint="eastAsia" w:ascii="宋体" w:hAnsi="宋体"/>
                <w:color w:val="000000"/>
                <w:kern w:val="0"/>
                <w:sz w:val="18"/>
                <w:szCs w:val="18"/>
              </w:rPr>
              <w:t>注3:指标的“参照值”为参照生态系统或者现有国家、行业、地方标准规范或国家(地区)的相关要求。“基准值”为工程起始年份前至少两年的平均水平;“监测值”是根据需要在工程实施前一段时期、竣工验收后(包括后期管护期)的调查监测结果(根据需要可以增加监测频次和密度);“基期”是指工程实施起始年份;“基准值”“监测值”必须有出处,基于试验测定或实地调查。指标的“目标值”是实施方案和规划设计确定的约束性目标以及引导性目标。</w:t>
            </w:r>
          </w:p>
          <w:p w14:paraId="2FE33E51">
            <w:pPr>
              <w:keepNext/>
              <w:widowControl/>
              <w:snapToGrid w:val="0"/>
              <w:jc w:val="left"/>
              <w:rPr>
                <w:rFonts w:hint="eastAsia" w:ascii="宋体" w:hAnsi="宋体"/>
                <w:color w:val="000000"/>
                <w:kern w:val="0"/>
                <w:sz w:val="18"/>
                <w:szCs w:val="18"/>
              </w:rPr>
            </w:pPr>
            <w:r>
              <w:rPr>
                <w:rFonts w:hint="eastAsia" w:ascii="宋体" w:hAnsi="宋体"/>
                <w:color w:val="000000"/>
                <w:kern w:val="0"/>
                <w:sz w:val="18"/>
                <w:szCs w:val="18"/>
              </w:rPr>
              <w:t>注4:子项目、生态保护修复单元、工程范围三个尺度的监测评估指标应分别根据三个尺度的评估内容与指标体系针对性选取。</w:t>
            </w:r>
          </w:p>
        </w:tc>
      </w:tr>
    </w:tbl>
    <w:p w14:paraId="4791A8E5">
      <w:pPr>
        <w:widowControl/>
        <w:jc w:val="center"/>
        <w:rPr>
          <w:rFonts w:ascii="黑体" w:eastAsia="黑体"/>
          <w:kern w:val="0"/>
          <w:szCs w:val="20"/>
        </w:rPr>
      </w:pPr>
    </w:p>
    <w:p w14:paraId="3A092E63">
      <w:pPr>
        <w:widowControl/>
        <w:jc w:val="center"/>
        <w:rPr>
          <w:rFonts w:ascii="黑体" w:eastAsia="黑体"/>
          <w:kern w:val="0"/>
          <w:szCs w:val="20"/>
        </w:rPr>
      </w:pPr>
    </w:p>
    <w:p w14:paraId="0D45539A">
      <w:pPr>
        <w:widowControl/>
        <w:jc w:val="center"/>
        <w:rPr>
          <w:rFonts w:ascii="黑体" w:eastAsia="黑体"/>
          <w:kern w:val="0"/>
          <w:szCs w:val="20"/>
        </w:rPr>
        <w:sectPr>
          <w:pgSz w:w="16838" w:h="11906" w:orient="landscape"/>
          <w:pgMar w:top="1800" w:right="1440" w:bottom="1800" w:left="1440" w:header="851" w:footer="992" w:gutter="0"/>
          <w:cols w:space="425" w:num="1"/>
          <w:docGrid w:type="lines" w:linePitch="312" w:charSpace="0"/>
        </w:sectPr>
      </w:pPr>
    </w:p>
    <w:p w14:paraId="37A4E0EF">
      <w:pPr>
        <w:widowControl/>
        <w:jc w:val="center"/>
        <w:rPr>
          <w:rFonts w:ascii="黑体" w:eastAsia="黑体"/>
          <w:kern w:val="0"/>
          <w:szCs w:val="20"/>
        </w:rPr>
      </w:pPr>
      <w:r>
        <w:rPr>
          <w:rFonts w:hint="eastAsia" w:ascii="黑体" w:eastAsia="黑体"/>
          <w:kern w:val="0"/>
          <w:szCs w:val="20"/>
        </w:rPr>
        <w:t>表B.2 社会成效监测记录表</w:t>
      </w:r>
    </w:p>
    <w:tbl>
      <w:tblPr>
        <w:tblStyle w:val="42"/>
        <w:tblpPr w:leftFromText="180" w:rightFromText="180" w:vertAnchor="text" w:horzAnchor="page" w:tblpX="1789" w:tblpY="617"/>
        <w:tblOverlap w:val="never"/>
        <w:tblW w:w="1416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11"/>
        <w:gridCol w:w="1301"/>
        <w:gridCol w:w="808"/>
        <w:gridCol w:w="321"/>
        <w:gridCol w:w="281"/>
        <w:gridCol w:w="627"/>
        <w:gridCol w:w="645"/>
        <w:gridCol w:w="768"/>
        <w:gridCol w:w="768"/>
        <w:gridCol w:w="453"/>
        <w:gridCol w:w="367"/>
        <w:gridCol w:w="860"/>
        <w:gridCol w:w="901"/>
        <w:gridCol w:w="860"/>
        <w:gridCol w:w="554"/>
        <w:gridCol w:w="358"/>
        <w:gridCol w:w="796"/>
        <w:gridCol w:w="796"/>
        <w:gridCol w:w="1592"/>
      </w:tblGrid>
      <w:tr w14:paraId="73C68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12" w:type="dxa"/>
            <w:gridSpan w:val="2"/>
            <w:vAlign w:val="center"/>
          </w:tcPr>
          <w:p w14:paraId="4B560E2F">
            <w:pPr>
              <w:keepNext/>
              <w:widowControl/>
              <w:snapToGrid w:val="0"/>
              <w:jc w:val="center"/>
              <w:rPr>
                <w:rFonts w:hint="eastAsia" w:ascii="宋体" w:hAnsi="宋体"/>
                <w:color w:val="000000"/>
                <w:kern w:val="0"/>
                <w:sz w:val="18"/>
                <w:szCs w:val="18"/>
              </w:rPr>
            </w:pPr>
            <w:r>
              <w:rPr>
                <w:rFonts w:hint="eastAsia" w:ascii="宋体" w:hAnsi="宋体"/>
                <w:b/>
                <w:bCs/>
                <w:color w:val="000000"/>
                <w:kern w:val="0"/>
                <w:sz w:val="18"/>
                <w:szCs w:val="18"/>
              </w:rPr>
              <w:t>监测指标</w:t>
            </w:r>
          </w:p>
        </w:tc>
        <w:tc>
          <w:tcPr>
            <w:tcW w:w="808" w:type="dxa"/>
            <w:vAlign w:val="center"/>
          </w:tcPr>
          <w:p w14:paraId="3F6B075A">
            <w:pPr>
              <w:keepNext/>
              <w:widowControl/>
              <w:snapToGrid w:val="0"/>
              <w:jc w:val="center"/>
              <w:rPr>
                <w:rFonts w:hint="eastAsia" w:ascii="宋体" w:hAnsi="宋体"/>
                <w:color w:val="000000"/>
                <w:kern w:val="0"/>
                <w:sz w:val="18"/>
                <w:szCs w:val="18"/>
              </w:rPr>
            </w:pPr>
            <w:r>
              <w:rPr>
                <w:rFonts w:hint="eastAsia" w:ascii="宋体" w:hAnsi="宋体"/>
                <w:b/>
                <w:bCs/>
                <w:color w:val="000000"/>
                <w:kern w:val="0"/>
                <w:sz w:val="18"/>
                <w:szCs w:val="18"/>
              </w:rPr>
              <w:t>单位</w:t>
            </w:r>
          </w:p>
        </w:tc>
        <w:tc>
          <w:tcPr>
            <w:tcW w:w="1229" w:type="dxa"/>
            <w:gridSpan w:val="3"/>
            <w:vAlign w:val="center"/>
          </w:tcPr>
          <w:p w14:paraId="0805DF37">
            <w:pPr>
              <w:keepNext/>
              <w:widowControl/>
              <w:snapToGrid w:val="0"/>
              <w:jc w:val="center"/>
              <w:rPr>
                <w:rFonts w:hint="eastAsia" w:ascii="宋体" w:hAnsi="宋体"/>
                <w:b/>
                <w:bCs/>
                <w:color w:val="000000"/>
                <w:kern w:val="0"/>
                <w:sz w:val="18"/>
                <w:szCs w:val="18"/>
              </w:rPr>
            </w:pPr>
            <w:r>
              <w:rPr>
                <w:rFonts w:hint="eastAsia" w:ascii="宋体" w:hAnsi="宋体"/>
                <w:b/>
                <w:bCs/>
                <w:color w:val="000000"/>
                <w:kern w:val="0"/>
                <w:sz w:val="18"/>
                <w:szCs w:val="18"/>
              </w:rPr>
              <w:t>参照值</w:t>
            </w:r>
          </w:p>
        </w:tc>
        <w:tc>
          <w:tcPr>
            <w:tcW w:w="1413" w:type="dxa"/>
            <w:gridSpan w:val="2"/>
            <w:vAlign w:val="center"/>
          </w:tcPr>
          <w:p w14:paraId="6450FA73">
            <w:pPr>
              <w:keepNext/>
              <w:widowControl/>
              <w:snapToGrid w:val="0"/>
              <w:jc w:val="center"/>
              <w:rPr>
                <w:rFonts w:hint="eastAsia" w:ascii="宋体" w:hAnsi="宋体"/>
                <w:b/>
                <w:bCs/>
                <w:color w:val="000000"/>
                <w:kern w:val="0"/>
                <w:sz w:val="18"/>
                <w:szCs w:val="18"/>
              </w:rPr>
            </w:pPr>
            <w:r>
              <w:rPr>
                <w:rFonts w:hint="eastAsia" w:ascii="宋体" w:hAnsi="宋体"/>
                <w:b/>
                <w:bCs/>
                <w:color w:val="000000"/>
                <w:kern w:val="0"/>
                <w:sz w:val="18"/>
                <w:szCs w:val="18"/>
              </w:rPr>
              <w:t>基期</w:t>
            </w:r>
          </w:p>
        </w:tc>
        <w:tc>
          <w:tcPr>
            <w:tcW w:w="1588" w:type="dxa"/>
            <w:gridSpan w:val="3"/>
            <w:vAlign w:val="center"/>
          </w:tcPr>
          <w:p w14:paraId="11A4F3D5">
            <w:pPr>
              <w:keepNext/>
              <w:widowControl/>
              <w:snapToGrid w:val="0"/>
              <w:jc w:val="center"/>
              <w:rPr>
                <w:rFonts w:hint="eastAsia" w:ascii="宋体" w:hAnsi="宋体"/>
                <w:b/>
                <w:bCs/>
                <w:color w:val="000000"/>
                <w:kern w:val="0"/>
                <w:sz w:val="18"/>
                <w:szCs w:val="18"/>
              </w:rPr>
            </w:pPr>
            <w:r>
              <w:rPr>
                <w:rFonts w:hint="eastAsia" w:ascii="宋体" w:hAnsi="宋体"/>
                <w:b/>
                <w:bCs/>
                <w:color w:val="000000"/>
                <w:kern w:val="0"/>
                <w:sz w:val="18"/>
                <w:szCs w:val="18"/>
              </w:rPr>
              <w:t>验收期</w:t>
            </w:r>
          </w:p>
        </w:tc>
        <w:tc>
          <w:tcPr>
            <w:tcW w:w="1761" w:type="dxa"/>
            <w:gridSpan w:val="2"/>
            <w:vAlign w:val="center"/>
          </w:tcPr>
          <w:p w14:paraId="002AF4FF">
            <w:pPr>
              <w:keepNext/>
              <w:widowControl/>
              <w:snapToGrid w:val="0"/>
              <w:jc w:val="center"/>
              <w:rPr>
                <w:rFonts w:hint="eastAsia" w:ascii="宋体" w:hAnsi="宋体"/>
                <w:b/>
                <w:bCs/>
                <w:color w:val="000000"/>
                <w:kern w:val="0"/>
                <w:sz w:val="18"/>
                <w:szCs w:val="18"/>
              </w:rPr>
            </w:pPr>
            <w:r>
              <w:rPr>
                <w:rFonts w:hint="eastAsia" w:ascii="宋体" w:hAnsi="宋体"/>
                <w:b/>
                <w:bCs/>
                <w:color w:val="000000"/>
                <w:kern w:val="0"/>
                <w:sz w:val="18"/>
                <w:szCs w:val="18"/>
              </w:rPr>
              <w:t>管护期</w:t>
            </w:r>
          </w:p>
        </w:tc>
        <w:tc>
          <w:tcPr>
            <w:tcW w:w="1772" w:type="dxa"/>
            <w:gridSpan w:val="3"/>
            <w:vAlign w:val="center"/>
          </w:tcPr>
          <w:p w14:paraId="0B057A1C">
            <w:pPr>
              <w:keepNext/>
              <w:widowControl/>
              <w:snapToGrid w:val="0"/>
              <w:jc w:val="center"/>
              <w:rPr>
                <w:rFonts w:hint="eastAsia" w:ascii="宋体" w:hAnsi="宋体"/>
                <w:b/>
                <w:bCs/>
                <w:color w:val="000000"/>
                <w:kern w:val="0"/>
                <w:sz w:val="18"/>
                <w:szCs w:val="18"/>
              </w:rPr>
            </w:pPr>
            <w:r>
              <w:rPr>
                <w:rFonts w:hint="eastAsia" w:ascii="宋体" w:hAnsi="宋体"/>
                <w:b/>
                <w:bCs/>
                <w:color w:val="000000"/>
                <w:kern w:val="0"/>
                <w:sz w:val="18"/>
                <w:szCs w:val="18"/>
              </w:rPr>
              <w:t>常态化期监测</w:t>
            </w:r>
          </w:p>
        </w:tc>
        <w:tc>
          <w:tcPr>
            <w:tcW w:w="1592" w:type="dxa"/>
            <w:gridSpan w:val="2"/>
            <w:vAlign w:val="center"/>
          </w:tcPr>
          <w:p w14:paraId="6C2A42BC">
            <w:pPr>
              <w:keepNext/>
              <w:widowControl/>
              <w:snapToGrid w:val="0"/>
              <w:jc w:val="center"/>
              <w:rPr>
                <w:rFonts w:hint="eastAsia" w:ascii="宋体" w:hAnsi="宋体"/>
                <w:b/>
                <w:bCs/>
                <w:color w:val="000000"/>
                <w:kern w:val="0"/>
                <w:sz w:val="18"/>
                <w:szCs w:val="18"/>
              </w:rPr>
            </w:pPr>
            <w:r>
              <w:rPr>
                <w:rFonts w:hint="eastAsia" w:ascii="宋体" w:hAnsi="宋体"/>
                <w:b/>
                <w:bCs/>
                <w:color w:val="000000"/>
                <w:kern w:val="0"/>
                <w:sz w:val="18"/>
                <w:szCs w:val="18"/>
              </w:rPr>
              <w:t>目标值</w:t>
            </w:r>
          </w:p>
        </w:tc>
        <w:tc>
          <w:tcPr>
            <w:tcW w:w="1592" w:type="dxa"/>
            <w:vAlign w:val="center"/>
          </w:tcPr>
          <w:p w14:paraId="2C4F2837">
            <w:pPr>
              <w:keepNext/>
              <w:widowControl/>
              <w:snapToGrid w:val="0"/>
              <w:jc w:val="center"/>
              <w:rPr>
                <w:rFonts w:hint="eastAsia" w:ascii="宋体" w:hAnsi="宋体"/>
                <w:b/>
                <w:bCs/>
                <w:color w:val="000000"/>
                <w:kern w:val="0"/>
                <w:sz w:val="18"/>
                <w:szCs w:val="18"/>
              </w:rPr>
            </w:pPr>
            <w:r>
              <w:rPr>
                <w:rFonts w:hint="eastAsia" w:ascii="宋体" w:hAnsi="宋体"/>
                <w:b/>
                <w:bCs/>
                <w:color w:val="000000"/>
                <w:kern w:val="0"/>
                <w:sz w:val="18"/>
                <w:szCs w:val="18"/>
              </w:rPr>
              <w:t>备注</w:t>
            </w:r>
          </w:p>
        </w:tc>
      </w:tr>
      <w:tr w14:paraId="06720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1" w:type="dxa"/>
            <w:vAlign w:val="center"/>
          </w:tcPr>
          <w:p w14:paraId="2375A96A">
            <w:pPr>
              <w:keepNext/>
              <w:widowControl/>
              <w:snapToGrid w:val="0"/>
              <w:jc w:val="center"/>
              <w:rPr>
                <w:rFonts w:hint="eastAsia" w:ascii="宋体" w:hAnsi="宋体"/>
                <w:color w:val="000000"/>
                <w:kern w:val="0"/>
                <w:sz w:val="18"/>
                <w:szCs w:val="18"/>
              </w:rPr>
            </w:pPr>
            <w:r>
              <w:rPr>
                <w:rFonts w:hint="eastAsia" w:ascii="宋体" w:hAnsi="宋体"/>
                <w:color w:val="000000"/>
                <w:kern w:val="0"/>
                <w:sz w:val="18"/>
                <w:szCs w:val="18"/>
              </w:rPr>
              <w:t>一级指标</w:t>
            </w:r>
          </w:p>
        </w:tc>
        <w:tc>
          <w:tcPr>
            <w:tcW w:w="1301" w:type="dxa"/>
            <w:vAlign w:val="center"/>
          </w:tcPr>
          <w:p w14:paraId="73F112F5">
            <w:pPr>
              <w:keepNext/>
              <w:widowControl/>
              <w:snapToGrid w:val="0"/>
              <w:jc w:val="center"/>
              <w:rPr>
                <w:rFonts w:hint="eastAsia" w:ascii="宋体" w:hAnsi="宋体"/>
                <w:color w:val="000000"/>
                <w:kern w:val="0"/>
                <w:sz w:val="18"/>
                <w:szCs w:val="18"/>
              </w:rPr>
            </w:pPr>
            <w:r>
              <w:rPr>
                <w:rFonts w:hint="eastAsia" w:ascii="宋体" w:hAnsi="宋体"/>
                <w:color w:val="000000"/>
                <w:kern w:val="0"/>
                <w:sz w:val="18"/>
                <w:szCs w:val="18"/>
              </w:rPr>
              <w:t>三级指标</w:t>
            </w:r>
          </w:p>
        </w:tc>
        <w:tc>
          <w:tcPr>
            <w:tcW w:w="808" w:type="dxa"/>
            <w:vAlign w:val="center"/>
          </w:tcPr>
          <w:p w14:paraId="02713DD7">
            <w:pPr>
              <w:keepNext/>
              <w:widowControl/>
              <w:snapToGrid w:val="0"/>
              <w:jc w:val="center"/>
              <w:rPr>
                <w:rFonts w:hint="eastAsia" w:ascii="宋体" w:hAnsi="宋体"/>
                <w:color w:val="000000"/>
                <w:kern w:val="0"/>
                <w:sz w:val="18"/>
                <w:szCs w:val="18"/>
              </w:rPr>
            </w:pPr>
          </w:p>
        </w:tc>
        <w:tc>
          <w:tcPr>
            <w:tcW w:w="602" w:type="dxa"/>
            <w:gridSpan w:val="2"/>
            <w:vAlign w:val="center"/>
          </w:tcPr>
          <w:p w14:paraId="4D5E05E5">
            <w:pPr>
              <w:keepNext/>
              <w:widowControl/>
              <w:snapToGrid w:val="0"/>
              <w:jc w:val="center"/>
              <w:rPr>
                <w:rFonts w:hint="eastAsia" w:ascii="宋体" w:hAnsi="宋体"/>
                <w:b/>
                <w:bCs/>
                <w:color w:val="000000"/>
                <w:kern w:val="0"/>
                <w:sz w:val="18"/>
                <w:szCs w:val="18"/>
              </w:rPr>
            </w:pPr>
            <w:r>
              <w:rPr>
                <w:rFonts w:hint="eastAsia" w:ascii="宋体" w:hAnsi="宋体"/>
                <w:b/>
                <w:bCs/>
                <w:color w:val="000000"/>
                <w:kern w:val="0"/>
                <w:sz w:val="18"/>
                <w:szCs w:val="18"/>
              </w:rPr>
              <w:t>数值</w:t>
            </w:r>
          </w:p>
        </w:tc>
        <w:tc>
          <w:tcPr>
            <w:tcW w:w="627" w:type="dxa"/>
            <w:vAlign w:val="center"/>
          </w:tcPr>
          <w:p w14:paraId="2B150327">
            <w:pPr>
              <w:keepNext/>
              <w:widowControl/>
              <w:snapToGrid w:val="0"/>
              <w:jc w:val="center"/>
              <w:rPr>
                <w:rFonts w:hint="eastAsia" w:ascii="宋体" w:hAnsi="宋体"/>
                <w:b/>
                <w:bCs/>
                <w:color w:val="000000"/>
                <w:kern w:val="0"/>
                <w:sz w:val="18"/>
                <w:szCs w:val="18"/>
              </w:rPr>
            </w:pPr>
            <w:r>
              <w:rPr>
                <w:rFonts w:hint="eastAsia" w:ascii="宋体" w:hAnsi="宋体"/>
                <w:b/>
                <w:bCs/>
                <w:color w:val="000000"/>
                <w:kern w:val="0"/>
                <w:sz w:val="18"/>
                <w:szCs w:val="18"/>
              </w:rPr>
              <w:t>来源</w:t>
            </w:r>
          </w:p>
        </w:tc>
        <w:tc>
          <w:tcPr>
            <w:tcW w:w="645" w:type="dxa"/>
            <w:vAlign w:val="center"/>
          </w:tcPr>
          <w:p w14:paraId="6026BB4B">
            <w:pPr>
              <w:keepNext/>
              <w:widowControl/>
              <w:snapToGrid w:val="0"/>
              <w:jc w:val="center"/>
              <w:rPr>
                <w:rFonts w:hint="eastAsia" w:ascii="宋体" w:hAnsi="宋体"/>
                <w:color w:val="000000"/>
                <w:kern w:val="0"/>
                <w:sz w:val="18"/>
                <w:szCs w:val="18"/>
              </w:rPr>
            </w:pPr>
            <w:r>
              <w:rPr>
                <w:rFonts w:hint="eastAsia" w:ascii="宋体" w:hAnsi="宋体"/>
                <w:b/>
                <w:bCs/>
                <w:color w:val="000000"/>
                <w:kern w:val="0"/>
                <w:sz w:val="18"/>
                <w:szCs w:val="18"/>
              </w:rPr>
              <w:t>数值</w:t>
            </w:r>
          </w:p>
        </w:tc>
        <w:tc>
          <w:tcPr>
            <w:tcW w:w="768" w:type="dxa"/>
            <w:vAlign w:val="center"/>
          </w:tcPr>
          <w:p w14:paraId="48EC1B11">
            <w:pPr>
              <w:keepNext/>
              <w:widowControl/>
              <w:snapToGrid w:val="0"/>
              <w:jc w:val="center"/>
              <w:rPr>
                <w:rFonts w:hint="eastAsia" w:ascii="宋体" w:hAnsi="宋体"/>
                <w:color w:val="000000"/>
                <w:kern w:val="0"/>
                <w:sz w:val="18"/>
                <w:szCs w:val="18"/>
              </w:rPr>
            </w:pPr>
            <w:r>
              <w:rPr>
                <w:rFonts w:hint="eastAsia" w:ascii="宋体" w:hAnsi="宋体"/>
                <w:b/>
                <w:bCs/>
                <w:color w:val="000000"/>
                <w:kern w:val="0"/>
                <w:sz w:val="18"/>
                <w:szCs w:val="18"/>
              </w:rPr>
              <w:t>来源</w:t>
            </w:r>
          </w:p>
        </w:tc>
        <w:tc>
          <w:tcPr>
            <w:tcW w:w="768" w:type="dxa"/>
            <w:vAlign w:val="center"/>
          </w:tcPr>
          <w:p w14:paraId="24D72774">
            <w:pPr>
              <w:keepNext/>
              <w:widowControl/>
              <w:snapToGrid w:val="0"/>
              <w:jc w:val="center"/>
              <w:rPr>
                <w:rFonts w:hint="eastAsia" w:ascii="宋体" w:hAnsi="宋体"/>
                <w:color w:val="000000"/>
                <w:kern w:val="0"/>
                <w:sz w:val="18"/>
                <w:szCs w:val="18"/>
              </w:rPr>
            </w:pPr>
            <w:r>
              <w:rPr>
                <w:rFonts w:hint="eastAsia" w:ascii="宋体" w:hAnsi="宋体"/>
                <w:b/>
                <w:bCs/>
                <w:color w:val="000000"/>
                <w:kern w:val="0"/>
                <w:sz w:val="18"/>
                <w:szCs w:val="18"/>
              </w:rPr>
              <w:t>数值</w:t>
            </w:r>
          </w:p>
        </w:tc>
        <w:tc>
          <w:tcPr>
            <w:tcW w:w="820" w:type="dxa"/>
            <w:gridSpan w:val="2"/>
            <w:vAlign w:val="center"/>
          </w:tcPr>
          <w:p w14:paraId="6D116388">
            <w:pPr>
              <w:keepNext/>
              <w:widowControl/>
              <w:snapToGrid w:val="0"/>
              <w:jc w:val="center"/>
              <w:rPr>
                <w:rFonts w:hint="eastAsia" w:ascii="宋体" w:hAnsi="宋体"/>
                <w:color w:val="000000"/>
                <w:kern w:val="0"/>
                <w:sz w:val="18"/>
                <w:szCs w:val="18"/>
              </w:rPr>
            </w:pPr>
            <w:r>
              <w:rPr>
                <w:rFonts w:hint="eastAsia" w:ascii="宋体" w:hAnsi="宋体"/>
                <w:b/>
                <w:bCs/>
                <w:color w:val="000000"/>
                <w:kern w:val="0"/>
                <w:sz w:val="18"/>
                <w:szCs w:val="18"/>
              </w:rPr>
              <w:t>来源</w:t>
            </w:r>
          </w:p>
        </w:tc>
        <w:tc>
          <w:tcPr>
            <w:tcW w:w="860" w:type="dxa"/>
            <w:vAlign w:val="center"/>
          </w:tcPr>
          <w:p w14:paraId="4F2442CE">
            <w:pPr>
              <w:keepNext/>
              <w:widowControl/>
              <w:snapToGrid w:val="0"/>
              <w:jc w:val="center"/>
              <w:rPr>
                <w:rFonts w:hint="eastAsia" w:ascii="宋体" w:hAnsi="宋体"/>
                <w:color w:val="000000"/>
                <w:kern w:val="0"/>
                <w:sz w:val="18"/>
                <w:szCs w:val="18"/>
              </w:rPr>
            </w:pPr>
            <w:r>
              <w:rPr>
                <w:rFonts w:hint="eastAsia" w:ascii="宋体" w:hAnsi="宋体"/>
                <w:b/>
                <w:bCs/>
                <w:color w:val="000000"/>
                <w:kern w:val="0"/>
                <w:sz w:val="18"/>
                <w:szCs w:val="18"/>
              </w:rPr>
              <w:t>数值</w:t>
            </w:r>
          </w:p>
        </w:tc>
        <w:tc>
          <w:tcPr>
            <w:tcW w:w="901" w:type="dxa"/>
            <w:vAlign w:val="center"/>
          </w:tcPr>
          <w:p w14:paraId="3D23AFFA">
            <w:pPr>
              <w:keepNext/>
              <w:widowControl/>
              <w:snapToGrid w:val="0"/>
              <w:jc w:val="center"/>
              <w:rPr>
                <w:rFonts w:hint="eastAsia" w:ascii="宋体" w:hAnsi="宋体"/>
                <w:color w:val="000000"/>
                <w:kern w:val="0"/>
                <w:sz w:val="18"/>
                <w:szCs w:val="18"/>
              </w:rPr>
            </w:pPr>
            <w:r>
              <w:rPr>
                <w:rFonts w:hint="eastAsia" w:ascii="宋体" w:hAnsi="宋体"/>
                <w:b/>
                <w:bCs/>
                <w:color w:val="000000"/>
                <w:kern w:val="0"/>
                <w:sz w:val="18"/>
                <w:szCs w:val="18"/>
              </w:rPr>
              <w:t>来源</w:t>
            </w:r>
          </w:p>
        </w:tc>
        <w:tc>
          <w:tcPr>
            <w:tcW w:w="860" w:type="dxa"/>
            <w:vAlign w:val="center"/>
          </w:tcPr>
          <w:p w14:paraId="1D22ED2D">
            <w:pPr>
              <w:keepNext/>
              <w:widowControl/>
              <w:snapToGrid w:val="0"/>
              <w:jc w:val="center"/>
              <w:rPr>
                <w:rFonts w:hint="eastAsia" w:ascii="宋体" w:hAnsi="宋体"/>
                <w:color w:val="000000"/>
                <w:kern w:val="0"/>
                <w:sz w:val="18"/>
                <w:szCs w:val="18"/>
              </w:rPr>
            </w:pPr>
            <w:r>
              <w:rPr>
                <w:rFonts w:hint="eastAsia" w:ascii="宋体" w:hAnsi="宋体"/>
                <w:b/>
                <w:bCs/>
                <w:color w:val="000000"/>
                <w:kern w:val="0"/>
                <w:sz w:val="18"/>
                <w:szCs w:val="18"/>
              </w:rPr>
              <w:t>数值</w:t>
            </w:r>
          </w:p>
        </w:tc>
        <w:tc>
          <w:tcPr>
            <w:tcW w:w="912" w:type="dxa"/>
            <w:gridSpan w:val="2"/>
            <w:vAlign w:val="center"/>
          </w:tcPr>
          <w:p w14:paraId="5FF1ABA4">
            <w:pPr>
              <w:keepNext/>
              <w:widowControl/>
              <w:snapToGrid w:val="0"/>
              <w:jc w:val="center"/>
              <w:rPr>
                <w:rFonts w:hint="eastAsia" w:ascii="宋体" w:hAnsi="宋体"/>
                <w:color w:val="000000"/>
                <w:kern w:val="0"/>
                <w:sz w:val="18"/>
                <w:szCs w:val="18"/>
              </w:rPr>
            </w:pPr>
            <w:r>
              <w:rPr>
                <w:rFonts w:hint="eastAsia" w:ascii="宋体" w:hAnsi="宋体"/>
                <w:b/>
                <w:bCs/>
                <w:color w:val="000000"/>
                <w:kern w:val="0"/>
                <w:sz w:val="18"/>
                <w:szCs w:val="18"/>
              </w:rPr>
              <w:t>来源</w:t>
            </w:r>
          </w:p>
        </w:tc>
        <w:tc>
          <w:tcPr>
            <w:tcW w:w="796" w:type="dxa"/>
            <w:vAlign w:val="center"/>
          </w:tcPr>
          <w:p w14:paraId="555299AE">
            <w:pPr>
              <w:keepNext/>
              <w:widowControl/>
              <w:snapToGrid w:val="0"/>
              <w:jc w:val="center"/>
              <w:rPr>
                <w:rFonts w:hint="eastAsia" w:ascii="宋体" w:hAnsi="宋体"/>
                <w:color w:val="000000"/>
                <w:kern w:val="0"/>
                <w:sz w:val="18"/>
                <w:szCs w:val="18"/>
              </w:rPr>
            </w:pPr>
            <w:r>
              <w:rPr>
                <w:rFonts w:hint="eastAsia" w:ascii="宋体" w:hAnsi="宋体"/>
                <w:b/>
                <w:bCs/>
                <w:color w:val="000000"/>
                <w:kern w:val="0"/>
                <w:sz w:val="18"/>
                <w:szCs w:val="18"/>
              </w:rPr>
              <w:t>数值</w:t>
            </w:r>
          </w:p>
        </w:tc>
        <w:tc>
          <w:tcPr>
            <w:tcW w:w="796" w:type="dxa"/>
            <w:vAlign w:val="center"/>
          </w:tcPr>
          <w:p w14:paraId="5CDE7FA7">
            <w:pPr>
              <w:keepNext/>
              <w:widowControl/>
              <w:snapToGrid w:val="0"/>
              <w:jc w:val="center"/>
              <w:rPr>
                <w:rFonts w:hint="eastAsia" w:ascii="宋体" w:hAnsi="宋体"/>
                <w:b/>
                <w:bCs/>
                <w:color w:val="000000"/>
                <w:kern w:val="0"/>
                <w:sz w:val="18"/>
                <w:szCs w:val="18"/>
              </w:rPr>
            </w:pPr>
            <w:r>
              <w:rPr>
                <w:rFonts w:hint="eastAsia" w:ascii="宋体" w:hAnsi="宋体"/>
                <w:b/>
                <w:bCs/>
                <w:color w:val="000000"/>
                <w:kern w:val="0"/>
                <w:sz w:val="18"/>
                <w:szCs w:val="18"/>
              </w:rPr>
              <w:t>来源</w:t>
            </w:r>
          </w:p>
        </w:tc>
        <w:tc>
          <w:tcPr>
            <w:tcW w:w="1592" w:type="dxa"/>
            <w:vAlign w:val="center"/>
          </w:tcPr>
          <w:p w14:paraId="5ED40288">
            <w:pPr>
              <w:keepNext/>
              <w:widowControl/>
              <w:snapToGrid w:val="0"/>
              <w:jc w:val="center"/>
              <w:rPr>
                <w:rFonts w:hint="eastAsia" w:ascii="宋体" w:hAnsi="宋体"/>
                <w:color w:val="000000"/>
                <w:kern w:val="0"/>
                <w:sz w:val="18"/>
                <w:szCs w:val="18"/>
              </w:rPr>
            </w:pPr>
          </w:p>
        </w:tc>
      </w:tr>
      <w:tr w14:paraId="784EC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1" w:type="dxa"/>
            <w:vMerge w:val="restart"/>
            <w:vAlign w:val="center"/>
          </w:tcPr>
          <w:p w14:paraId="5F4CE75D">
            <w:pPr>
              <w:keepNext/>
              <w:widowControl/>
              <w:snapToGrid w:val="0"/>
              <w:jc w:val="center"/>
              <w:rPr>
                <w:rFonts w:hint="eastAsia" w:ascii="宋体" w:hAnsi="宋体"/>
                <w:color w:val="000000"/>
                <w:kern w:val="0"/>
                <w:sz w:val="18"/>
                <w:szCs w:val="18"/>
              </w:rPr>
            </w:pPr>
            <w:r>
              <w:rPr>
                <w:rFonts w:hint="eastAsia" w:ascii="宋体" w:hAnsi="宋体"/>
                <w:color w:val="000000"/>
                <w:kern w:val="0"/>
                <w:sz w:val="18"/>
                <w:szCs w:val="18"/>
              </w:rPr>
              <w:t>居民相关情况</w:t>
            </w:r>
          </w:p>
        </w:tc>
        <w:tc>
          <w:tcPr>
            <w:tcW w:w="1301" w:type="dxa"/>
            <w:vAlign w:val="center"/>
          </w:tcPr>
          <w:p w14:paraId="2454CA81">
            <w:pPr>
              <w:keepNext/>
              <w:widowControl/>
              <w:snapToGrid w:val="0"/>
              <w:jc w:val="center"/>
              <w:rPr>
                <w:rFonts w:hint="eastAsia" w:ascii="宋体" w:hAnsi="宋体"/>
                <w:color w:val="000000"/>
                <w:kern w:val="0"/>
                <w:sz w:val="18"/>
                <w:szCs w:val="18"/>
              </w:rPr>
            </w:pPr>
            <w:r>
              <w:rPr>
                <w:rFonts w:hint="eastAsia" w:ascii="宋体" w:hAnsi="宋体"/>
                <w:color w:val="000000"/>
                <w:kern w:val="0"/>
                <w:sz w:val="18"/>
                <w:szCs w:val="18"/>
              </w:rPr>
              <w:t>本地居民参与度</w:t>
            </w:r>
          </w:p>
        </w:tc>
        <w:tc>
          <w:tcPr>
            <w:tcW w:w="808" w:type="dxa"/>
            <w:vAlign w:val="center"/>
          </w:tcPr>
          <w:p w14:paraId="63E98A08">
            <w:pPr>
              <w:keepNext/>
              <w:widowControl/>
              <w:snapToGrid w:val="0"/>
              <w:jc w:val="center"/>
              <w:rPr>
                <w:rFonts w:hint="eastAsia" w:ascii="宋体" w:hAnsi="宋体"/>
                <w:color w:val="000000"/>
                <w:kern w:val="0"/>
                <w:sz w:val="18"/>
                <w:szCs w:val="18"/>
              </w:rPr>
            </w:pPr>
          </w:p>
        </w:tc>
        <w:tc>
          <w:tcPr>
            <w:tcW w:w="1229" w:type="dxa"/>
            <w:gridSpan w:val="3"/>
            <w:vAlign w:val="center"/>
          </w:tcPr>
          <w:p w14:paraId="11614693">
            <w:pPr>
              <w:keepNext/>
              <w:widowControl/>
              <w:snapToGrid w:val="0"/>
              <w:jc w:val="center"/>
              <w:rPr>
                <w:rFonts w:hint="eastAsia" w:ascii="宋体" w:hAnsi="宋体"/>
                <w:color w:val="000000"/>
                <w:kern w:val="0"/>
                <w:sz w:val="18"/>
                <w:szCs w:val="18"/>
              </w:rPr>
            </w:pPr>
          </w:p>
        </w:tc>
        <w:tc>
          <w:tcPr>
            <w:tcW w:w="1413" w:type="dxa"/>
            <w:gridSpan w:val="2"/>
            <w:vAlign w:val="center"/>
          </w:tcPr>
          <w:p w14:paraId="5BDD3DEE">
            <w:pPr>
              <w:keepNext/>
              <w:widowControl/>
              <w:snapToGrid w:val="0"/>
              <w:jc w:val="center"/>
              <w:rPr>
                <w:rFonts w:hint="eastAsia" w:ascii="宋体" w:hAnsi="宋体"/>
                <w:color w:val="000000"/>
                <w:kern w:val="0"/>
                <w:sz w:val="18"/>
                <w:szCs w:val="18"/>
              </w:rPr>
            </w:pPr>
          </w:p>
        </w:tc>
        <w:tc>
          <w:tcPr>
            <w:tcW w:w="1588" w:type="dxa"/>
            <w:gridSpan w:val="3"/>
            <w:vAlign w:val="center"/>
          </w:tcPr>
          <w:p w14:paraId="519DCD12">
            <w:pPr>
              <w:keepNext/>
              <w:widowControl/>
              <w:snapToGrid w:val="0"/>
              <w:jc w:val="center"/>
              <w:rPr>
                <w:rFonts w:hint="eastAsia" w:ascii="宋体" w:hAnsi="宋体"/>
                <w:color w:val="000000"/>
                <w:kern w:val="0"/>
                <w:sz w:val="18"/>
                <w:szCs w:val="18"/>
              </w:rPr>
            </w:pPr>
          </w:p>
        </w:tc>
        <w:tc>
          <w:tcPr>
            <w:tcW w:w="1761" w:type="dxa"/>
            <w:gridSpan w:val="2"/>
            <w:vAlign w:val="center"/>
          </w:tcPr>
          <w:p w14:paraId="2DD0FDD0">
            <w:pPr>
              <w:keepNext/>
              <w:widowControl/>
              <w:snapToGrid w:val="0"/>
              <w:jc w:val="center"/>
              <w:rPr>
                <w:rFonts w:hint="eastAsia" w:ascii="宋体" w:hAnsi="宋体"/>
                <w:color w:val="000000"/>
                <w:kern w:val="0"/>
                <w:sz w:val="18"/>
                <w:szCs w:val="18"/>
              </w:rPr>
            </w:pPr>
          </w:p>
        </w:tc>
        <w:tc>
          <w:tcPr>
            <w:tcW w:w="1772" w:type="dxa"/>
            <w:gridSpan w:val="3"/>
            <w:vAlign w:val="center"/>
          </w:tcPr>
          <w:p w14:paraId="45A5D8F9">
            <w:pPr>
              <w:keepNext/>
              <w:widowControl/>
              <w:snapToGrid w:val="0"/>
              <w:jc w:val="center"/>
              <w:rPr>
                <w:rFonts w:hint="eastAsia" w:ascii="宋体" w:hAnsi="宋体"/>
                <w:color w:val="000000"/>
                <w:kern w:val="0"/>
                <w:sz w:val="18"/>
                <w:szCs w:val="18"/>
              </w:rPr>
            </w:pPr>
          </w:p>
        </w:tc>
        <w:tc>
          <w:tcPr>
            <w:tcW w:w="1592" w:type="dxa"/>
            <w:gridSpan w:val="2"/>
            <w:vAlign w:val="center"/>
          </w:tcPr>
          <w:p w14:paraId="06819C15">
            <w:pPr>
              <w:keepNext/>
              <w:widowControl/>
              <w:snapToGrid w:val="0"/>
              <w:jc w:val="center"/>
              <w:rPr>
                <w:rFonts w:hint="eastAsia" w:ascii="宋体" w:hAnsi="宋体"/>
                <w:color w:val="000000"/>
                <w:kern w:val="0"/>
                <w:sz w:val="18"/>
                <w:szCs w:val="18"/>
              </w:rPr>
            </w:pPr>
          </w:p>
        </w:tc>
        <w:tc>
          <w:tcPr>
            <w:tcW w:w="1592" w:type="dxa"/>
            <w:vAlign w:val="center"/>
          </w:tcPr>
          <w:p w14:paraId="354D7A04">
            <w:pPr>
              <w:keepNext/>
              <w:widowControl/>
              <w:snapToGrid w:val="0"/>
              <w:jc w:val="center"/>
              <w:rPr>
                <w:rFonts w:hint="eastAsia" w:ascii="宋体" w:hAnsi="宋体"/>
                <w:color w:val="000000"/>
                <w:kern w:val="0"/>
                <w:sz w:val="18"/>
                <w:szCs w:val="18"/>
              </w:rPr>
            </w:pPr>
          </w:p>
        </w:tc>
      </w:tr>
      <w:tr w14:paraId="071BB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 w:hRule="atLeast"/>
        </w:trPr>
        <w:tc>
          <w:tcPr>
            <w:tcW w:w="1111" w:type="dxa"/>
            <w:vMerge w:val="continue"/>
            <w:vAlign w:val="center"/>
          </w:tcPr>
          <w:p w14:paraId="0066C642">
            <w:pPr>
              <w:keepNext/>
              <w:widowControl/>
              <w:snapToGrid w:val="0"/>
              <w:jc w:val="center"/>
              <w:rPr>
                <w:rFonts w:hint="eastAsia" w:ascii="宋体" w:hAnsi="宋体"/>
                <w:color w:val="000000"/>
                <w:kern w:val="0"/>
                <w:sz w:val="18"/>
                <w:szCs w:val="18"/>
              </w:rPr>
            </w:pPr>
          </w:p>
        </w:tc>
        <w:tc>
          <w:tcPr>
            <w:tcW w:w="1301" w:type="dxa"/>
            <w:vAlign w:val="center"/>
          </w:tcPr>
          <w:p w14:paraId="01D08F32">
            <w:pPr>
              <w:keepNext/>
              <w:widowControl/>
              <w:snapToGrid w:val="0"/>
              <w:jc w:val="center"/>
              <w:rPr>
                <w:rFonts w:hint="eastAsia" w:ascii="宋体" w:hAnsi="宋体"/>
                <w:color w:val="000000"/>
                <w:kern w:val="0"/>
                <w:sz w:val="18"/>
                <w:szCs w:val="18"/>
              </w:rPr>
            </w:pPr>
            <w:r>
              <w:rPr>
                <w:rFonts w:hint="eastAsia" w:ascii="宋体" w:hAnsi="宋体"/>
                <w:color w:val="000000"/>
                <w:kern w:val="0"/>
                <w:sz w:val="18"/>
                <w:szCs w:val="18"/>
              </w:rPr>
              <w:t>本地居民满意度指数</w:t>
            </w:r>
          </w:p>
        </w:tc>
        <w:tc>
          <w:tcPr>
            <w:tcW w:w="808" w:type="dxa"/>
            <w:vAlign w:val="center"/>
          </w:tcPr>
          <w:p w14:paraId="39123401">
            <w:pPr>
              <w:keepNext/>
              <w:widowControl/>
              <w:snapToGrid w:val="0"/>
              <w:jc w:val="center"/>
              <w:rPr>
                <w:rFonts w:hint="eastAsia" w:ascii="宋体" w:hAnsi="宋体"/>
                <w:color w:val="000000"/>
                <w:kern w:val="0"/>
                <w:sz w:val="18"/>
                <w:szCs w:val="18"/>
              </w:rPr>
            </w:pPr>
          </w:p>
        </w:tc>
        <w:tc>
          <w:tcPr>
            <w:tcW w:w="1229" w:type="dxa"/>
            <w:gridSpan w:val="3"/>
            <w:vAlign w:val="center"/>
          </w:tcPr>
          <w:p w14:paraId="0A61CD1E">
            <w:pPr>
              <w:keepNext/>
              <w:widowControl/>
              <w:snapToGrid w:val="0"/>
              <w:jc w:val="center"/>
              <w:rPr>
                <w:rFonts w:hint="eastAsia" w:ascii="宋体" w:hAnsi="宋体"/>
                <w:color w:val="000000"/>
                <w:kern w:val="0"/>
                <w:sz w:val="18"/>
                <w:szCs w:val="18"/>
              </w:rPr>
            </w:pPr>
          </w:p>
        </w:tc>
        <w:tc>
          <w:tcPr>
            <w:tcW w:w="1413" w:type="dxa"/>
            <w:gridSpan w:val="2"/>
            <w:vAlign w:val="center"/>
          </w:tcPr>
          <w:p w14:paraId="6506A561">
            <w:pPr>
              <w:keepNext/>
              <w:widowControl/>
              <w:snapToGrid w:val="0"/>
              <w:jc w:val="center"/>
              <w:rPr>
                <w:rFonts w:hint="eastAsia" w:ascii="宋体" w:hAnsi="宋体"/>
                <w:color w:val="000000"/>
                <w:kern w:val="0"/>
                <w:sz w:val="18"/>
                <w:szCs w:val="18"/>
              </w:rPr>
            </w:pPr>
          </w:p>
        </w:tc>
        <w:tc>
          <w:tcPr>
            <w:tcW w:w="1588" w:type="dxa"/>
            <w:gridSpan w:val="3"/>
            <w:vAlign w:val="center"/>
          </w:tcPr>
          <w:p w14:paraId="4B035DE4">
            <w:pPr>
              <w:keepNext/>
              <w:widowControl/>
              <w:snapToGrid w:val="0"/>
              <w:jc w:val="center"/>
              <w:rPr>
                <w:rFonts w:hint="eastAsia" w:ascii="宋体" w:hAnsi="宋体"/>
                <w:color w:val="000000"/>
                <w:kern w:val="0"/>
                <w:sz w:val="18"/>
                <w:szCs w:val="18"/>
              </w:rPr>
            </w:pPr>
          </w:p>
        </w:tc>
        <w:tc>
          <w:tcPr>
            <w:tcW w:w="1761" w:type="dxa"/>
            <w:gridSpan w:val="2"/>
            <w:vAlign w:val="center"/>
          </w:tcPr>
          <w:p w14:paraId="5B35E3FF">
            <w:pPr>
              <w:keepNext/>
              <w:widowControl/>
              <w:snapToGrid w:val="0"/>
              <w:jc w:val="center"/>
              <w:rPr>
                <w:rFonts w:hint="eastAsia" w:ascii="宋体" w:hAnsi="宋体"/>
                <w:color w:val="000000"/>
                <w:kern w:val="0"/>
                <w:sz w:val="18"/>
                <w:szCs w:val="18"/>
              </w:rPr>
            </w:pPr>
          </w:p>
        </w:tc>
        <w:tc>
          <w:tcPr>
            <w:tcW w:w="1772" w:type="dxa"/>
            <w:gridSpan w:val="3"/>
            <w:vAlign w:val="center"/>
          </w:tcPr>
          <w:p w14:paraId="3D788441">
            <w:pPr>
              <w:keepNext/>
              <w:widowControl/>
              <w:snapToGrid w:val="0"/>
              <w:jc w:val="center"/>
              <w:rPr>
                <w:rFonts w:hint="eastAsia" w:ascii="宋体" w:hAnsi="宋体"/>
                <w:color w:val="000000"/>
                <w:kern w:val="0"/>
                <w:sz w:val="18"/>
                <w:szCs w:val="18"/>
              </w:rPr>
            </w:pPr>
          </w:p>
        </w:tc>
        <w:tc>
          <w:tcPr>
            <w:tcW w:w="1592" w:type="dxa"/>
            <w:gridSpan w:val="2"/>
            <w:vAlign w:val="center"/>
          </w:tcPr>
          <w:p w14:paraId="53768A8D">
            <w:pPr>
              <w:keepNext/>
              <w:widowControl/>
              <w:snapToGrid w:val="0"/>
              <w:jc w:val="center"/>
              <w:rPr>
                <w:rFonts w:hint="eastAsia" w:ascii="宋体" w:hAnsi="宋体"/>
                <w:color w:val="000000"/>
                <w:kern w:val="0"/>
                <w:sz w:val="18"/>
                <w:szCs w:val="18"/>
              </w:rPr>
            </w:pPr>
          </w:p>
        </w:tc>
        <w:tc>
          <w:tcPr>
            <w:tcW w:w="1592" w:type="dxa"/>
            <w:vAlign w:val="center"/>
          </w:tcPr>
          <w:p w14:paraId="05AE345E">
            <w:pPr>
              <w:keepNext/>
              <w:widowControl/>
              <w:snapToGrid w:val="0"/>
              <w:jc w:val="center"/>
              <w:rPr>
                <w:rFonts w:hint="eastAsia" w:ascii="宋体" w:hAnsi="宋体"/>
                <w:color w:val="000000"/>
                <w:kern w:val="0"/>
                <w:sz w:val="18"/>
                <w:szCs w:val="18"/>
              </w:rPr>
            </w:pPr>
          </w:p>
        </w:tc>
      </w:tr>
      <w:tr w14:paraId="55AA7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 w:hRule="atLeast"/>
        </w:trPr>
        <w:tc>
          <w:tcPr>
            <w:tcW w:w="1111" w:type="dxa"/>
            <w:vMerge w:val="continue"/>
            <w:vAlign w:val="center"/>
          </w:tcPr>
          <w:p w14:paraId="4D78D26F">
            <w:pPr>
              <w:keepNext/>
              <w:widowControl/>
              <w:snapToGrid w:val="0"/>
              <w:jc w:val="center"/>
              <w:rPr>
                <w:rFonts w:hint="eastAsia" w:ascii="宋体" w:hAnsi="宋体"/>
                <w:color w:val="000000"/>
                <w:kern w:val="0"/>
                <w:sz w:val="18"/>
                <w:szCs w:val="18"/>
              </w:rPr>
            </w:pPr>
          </w:p>
        </w:tc>
        <w:tc>
          <w:tcPr>
            <w:tcW w:w="1301" w:type="dxa"/>
            <w:vAlign w:val="center"/>
          </w:tcPr>
          <w:p w14:paraId="2F2DBBF9">
            <w:pPr>
              <w:keepNext/>
              <w:widowControl/>
              <w:snapToGrid w:val="0"/>
              <w:jc w:val="center"/>
              <w:rPr>
                <w:rFonts w:hint="eastAsia" w:ascii="宋体" w:hAnsi="宋体"/>
                <w:color w:val="000000"/>
                <w:kern w:val="0"/>
                <w:sz w:val="18"/>
                <w:szCs w:val="18"/>
              </w:rPr>
            </w:pPr>
            <w:r>
              <w:rPr>
                <w:rFonts w:hint="eastAsia" w:ascii="宋体" w:hAnsi="宋体"/>
                <w:color w:val="000000"/>
                <w:kern w:val="0"/>
                <w:sz w:val="18"/>
                <w:szCs w:val="18"/>
              </w:rPr>
              <w:t>环境改惠率</w:t>
            </w:r>
          </w:p>
        </w:tc>
        <w:tc>
          <w:tcPr>
            <w:tcW w:w="808" w:type="dxa"/>
            <w:vAlign w:val="center"/>
          </w:tcPr>
          <w:p w14:paraId="08911C86">
            <w:pPr>
              <w:keepNext/>
              <w:widowControl/>
              <w:snapToGrid w:val="0"/>
              <w:jc w:val="center"/>
              <w:rPr>
                <w:rFonts w:hint="eastAsia" w:ascii="宋体" w:hAnsi="宋体"/>
                <w:color w:val="000000"/>
                <w:kern w:val="0"/>
                <w:sz w:val="18"/>
                <w:szCs w:val="18"/>
              </w:rPr>
            </w:pPr>
          </w:p>
        </w:tc>
        <w:tc>
          <w:tcPr>
            <w:tcW w:w="1229" w:type="dxa"/>
            <w:gridSpan w:val="3"/>
            <w:vAlign w:val="center"/>
          </w:tcPr>
          <w:p w14:paraId="41FFE4B8">
            <w:pPr>
              <w:keepNext/>
              <w:widowControl/>
              <w:snapToGrid w:val="0"/>
              <w:jc w:val="center"/>
              <w:rPr>
                <w:rFonts w:hint="eastAsia" w:ascii="宋体" w:hAnsi="宋体"/>
                <w:color w:val="000000"/>
                <w:kern w:val="0"/>
                <w:sz w:val="18"/>
                <w:szCs w:val="18"/>
              </w:rPr>
            </w:pPr>
          </w:p>
        </w:tc>
        <w:tc>
          <w:tcPr>
            <w:tcW w:w="1413" w:type="dxa"/>
            <w:gridSpan w:val="2"/>
            <w:vAlign w:val="center"/>
          </w:tcPr>
          <w:p w14:paraId="10F64ED9">
            <w:pPr>
              <w:keepNext/>
              <w:widowControl/>
              <w:snapToGrid w:val="0"/>
              <w:jc w:val="center"/>
              <w:rPr>
                <w:rFonts w:hint="eastAsia" w:ascii="宋体" w:hAnsi="宋体"/>
                <w:color w:val="000000"/>
                <w:kern w:val="0"/>
                <w:sz w:val="18"/>
                <w:szCs w:val="18"/>
              </w:rPr>
            </w:pPr>
          </w:p>
        </w:tc>
        <w:tc>
          <w:tcPr>
            <w:tcW w:w="1588" w:type="dxa"/>
            <w:gridSpan w:val="3"/>
            <w:vAlign w:val="center"/>
          </w:tcPr>
          <w:p w14:paraId="543B92CD">
            <w:pPr>
              <w:keepNext/>
              <w:widowControl/>
              <w:snapToGrid w:val="0"/>
              <w:jc w:val="center"/>
              <w:rPr>
                <w:rFonts w:hint="eastAsia" w:ascii="宋体" w:hAnsi="宋体"/>
                <w:color w:val="000000"/>
                <w:kern w:val="0"/>
                <w:sz w:val="18"/>
                <w:szCs w:val="18"/>
              </w:rPr>
            </w:pPr>
          </w:p>
        </w:tc>
        <w:tc>
          <w:tcPr>
            <w:tcW w:w="1761" w:type="dxa"/>
            <w:gridSpan w:val="2"/>
            <w:vAlign w:val="center"/>
          </w:tcPr>
          <w:p w14:paraId="0C7BB69D">
            <w:pPr>
              <w:keepNext/>
              <w:widowControl/>
              <w:snapToGrid w:val="0"/>
              <w:jc w:val="center"/>
              <w:rPr>
                <w:rFonts w:hint="eastAsia" w:ascii="宋体" w:hAnsi="宋体"/>
                <w:color w:val="000000"/>
                <w:kern w:val="0"/>
                <w:sz w:val="18"/>
                <w:szCs w:val="18"/>
              </w:rPr>
            </w:pPr>
          </w:p>
        </w:tc>
        <w:tc>
          <w:tcPr>
            <w:tcW w:w="1772" w:type="dxa"/>
            <w:gridSpan w:val="3"/>
            <w:vAlign w:val="center"/>
          </w:tcPr>
          <w:p w14:paraId="01196D58">
            <w:pPr>
              <w:keepNext/>
              <w:widowControl/>
              <w:snapToGrid w:val="0"/>
              <w:jc w:val="center"/>
              <w:rPr>
                <w:rFonts w:hint="eastAsia" w:ascii="宋体" w:hAnsi="宋体"/>
                <w:color w:val="000000"/>
                <w:kern w:val="0"/>
                <w:sz w:val="18"/>
                <w:szCs w:val="18"/>
              </w:rPr>
            </w:pPr>
          </w:p>
        </w:tc>
        <w:tc>
          <w:tcPr>
            <w:tcW w:w="1592" w:type="dxa"/>
            <w:gridSpan w:val="2"/>
            <w:vAlign w:val="center"/>
          </w:tcPr>
          <w:p w14:paraId="4784874F">
            <w:pPr>
              <w:keepNext/>
              <w:widowControl/>
              <w:snapToGrid w:val="0"/>
              <w:jc w:val="center"/>
              <w:rPr>
                <w:rFonts w:hint="eastAsia" w:ascii="宋体" w:hAnsi="宋体"/>
                <w:color w:val="000000"/>
                <w:kern w:val="0"/>
                <w:sz w:val="18"/>
                <w:szCs w:val="18"/>
              </w:rPr>
            </w:pPr>
          </w:p>
        </w:tc>
        <w:tc>
          <w:tcPr>
            <w:tcW w:w="1592" w:type="dxa"/>
            <w:vAlign w:val="center"/>
          </w:tcPr>
          <w:p w14:paraId="4247C056">
            <w:pPr>
              <w:keepNext/>
              <w:widowControl/>
              <w:snapToGrid w:val="0"/>
              <w:jc w:val="center"/>
              <w:rPr>
                <w:rFonts w:hint="eastAsia" w:ascii="宋体" w:hAnsi="宋体"/>
                <w:color w:val="000000"/>
                <w:kern w:val="0"/>
                <w:sz w:val="18"/>
                <w:szCs w:val="18"/>
              </w:rPr>
            </w:pPr>
          </w:p>
        </w:tc>
      </w:tr>
      <w:tr w14:paraId="062DF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rPr>
        <w:tc>
          <w:tcPr>
            <w:tcW w:w="1111" w:type="dxa"/>
            <w:vAlign w:val="center"/>
          </w:tcPr>
          <w:p w14:paraId="06E3F372">
            <w:pPr>
              <w:keepNext/>
              <w:widowControl/>
              <w:snapToGrid w:val="0"/>
              <w:jc w:val="center"/>
              <w:rPr>
                <w:rFonts w:hint="eastAsia" w:ascii="宋体" w:hAnsi="宋体"/>
                <w:color w:val="000000"/>
                <w:kern w:val="0"/>
                <w:sz w:val="18"/>
                <w:szCs w:val="18"/>
              </w:rPr>
            </w:pPr>
            <w:r>
              <w:rPr>
                <w:rFonts w:hint="eastAsia" w:ascii="宋体" w:hAnsi="宋体"/>
                <w:color w:val="000000"/>
                <w:kern w:val="0"/>
                <w:sz w:val="18"/>
                <w:szCs w:val="18"/>
              </w:rPr>
              <w:t>就业岗位相关情况</w:t>
            </w:r>
          </w:p>
        </w:tc>
        <w:tc>
          <w:tcPr>
            <w:tcW w:w="1301" w:type="dxa"/>
            <w:vAlign w:val="center"/>
          </w:tcPr>
          <w:p w14:paraId="71FF0B8B">
            <w:pPr>
              <w:keepNext/>
              <w:widowControl/>
              <w:snapToGrid w:val="0"/>
              <w:jc w:val="center"/>
              <w:rPr>
                <w:rFonts w:hint="eastAsia" w:ascii="宋体" w:hAnsi="宋体"/>
                <w:color w:val="000000"/>
                <w:kern w:val="0"/>
                <w:sz w:val="18"/>
                <w:szCs w:val="18"/>
              </w:rPr>
            </w:pPr>
            <w:r>
              <w:rPr>
                <w:rFonts w:hint="eastAsia" w:ascii="宋体" w:hAnsi="宋体"/>
                <w:color w:val="000000"/>
                <w:kern w:val="0"/>
                <w:sz w:val="18"/>
                <w:szCs w:val="18"/>
              </w:rPr>
              <w:t>新增就业岗位百分比</w:t>
            </w:r>
          </w:p>
        </w:tc>
        <w:tc>
          <w:tcPr>
            <w:tcW w:w="808" w:type="dxa"/>
            <w:vAlign w:val="center"/>
          </w:tcPr>
          <w:p w14:paraId="606AB700">
            <w:pPr>
              <w:keepNext/>
              <w:widowControl/>
              <w:snapToGrid w:val="0"/>
              <w:jc w:val="center"/>
              <w:rPr>
                <w:rFonts w:hint="eastAsia" w:ascii="宋体" w:hAnsi="宋体"/>
                <w:color w:val="000000"/>
                <w:kern w:val="0"/>
                <w:sz w:val="18"/>
                <w:szCs w:val="18"/>
              </w:rPr>
            </w:pPr>
          </w:p>
        </w:tc>
        <w:tc>
          <w:tcPr>
            <w:tcW w:w="1229" w:type="dxa"/>
            <w:gridSpan w:val="3"/>
            <w:vAlign w:val="center"/>
          </w:tcPr>
          <w:p w14:paraId="78FB5D3A">
            <w:pPr>
              <w:keepNext/>
              <w:widowControl/>
              <w:snapToGrid w:val="0"/>
              <w:jc w:val="center"/>
              <w:rPr>
                <w:rFonts w:hint="eastAsia" w:ascii="宋体" w:hAnsi="宋体"/>
                <w:color w:val="000000"/>
                <w:kern w:val="0"/>
                <w:sz w:val="18"/>
                <w:szCs w:val="18"/>
              </w:rPr>
            </w:pPr>
          </w:p>
        </w:tc>
        <w:tc>
          <w:tcPr>
            <w:tcW w:w="1413" w:type="dxa"/>
            <w:gridSpan w:val="2"/>
            <w:vAlign w:val="center"/>
          </w:tcPr>
          <w:p w14:paraId="5E347F4B">
            <w:pPr>
              <w:keepNext/>
              <w:widowControl/>
              <w:snapToGrid w:val="0"/>
              <w:jc w:val="center"/>
              <w:rPr>
                <w:rFonts w:hint="eastAsia" w:ascii="宋体" w:hAnsi="宋体"/>
                <w:color w:val="000000"/>
                <w:kern w:val="0"/>
                <w:sz w:val="18"/>
                <w:szCs w:val="18"/>
              </w:rPr>
            </w:pPr>
          </w:p>
        </w:tc>
        <w:tc>
          <w:tcPr>
            <w:tcW w:w="1588" w:type="dxa"/>
            <w:gridSpan w:val="3"/>
            <w:vAlign w:val="center"/>
          </w:tcPr>
          <w:p w14:paraId="1F043897">
            <w:pPr>
              <w:keepNext/>
              <w:widowControl/>
              <w:snapToGrid w:val="0"/>
              <w:jc w:val="center"/>
              <w:rPr>
                <w:rFonts w:hint="eastAsia" w:ascii="宋体" w:hAnsi="宋体"/>
                <w:color w:val="000000"/>
                <w:kern w:val="0"/>
                <w:sz w:val="18"/>
                <w:szCs w:val="18"/>
              </w:rPr>
            </w:pPr>
          </w:p>
        </w:tc>
        <w:tc>
          <w:tcPr>
            <w:tcW w:w="1761" w:type="dxa"/>
            <w:gridSpan w:val="2"/>
            <w:vAlign w:val="center"/>
          </w:tcPr>
          <w:p w14:paraId="7FFBB23F">
            <w:pPr>
              <w:keepNext/>
              <w:widowControl/>
              <w:snapToGrid w:val="0"/>
              <w:jc w:val="center"/>
              <w:rPr>
                <w:rFonts w:hint="eastAsia" w:ascii="宋体" w:hAnsi="宋体"/>
                <w:color w:val="000000"/>
                <w:kern w:val="0"/>
                <w:sz w:val="18"/>
                <w:szCs w:val="18"/>
              </w:rPr>
            </w:pPr>
          </w:p>
        </w:tc>
        <w:tc>
          <w:tcPr>
            <w:tcW w:w="1772" w:type="dxa"/>
            <w:gridSpan w:val="3"/>
            <w:vAlign w:val="center"/>
          </w:tcPr>
          <w:p w14:paraId="75F22055">
            <w:pPr>
              <w:keepNext/>
              <w:widowControl/>
              <w:snapToGrid w:val="0"/>
              <w:jc w:val="center"/>
              <w:rPr>
                <w:rFonts w:hint="eastAsia" w:ascii="宋体" w:hAnsi="宋体"/>
                <w:color w:val="000000"/>
                <w:kern w:val="0"/>
                <w:sz w:val="18"/>
                <w:szCs w:val="18"/>
              </w:rPr>
            </w:pPr>
          </w:p>
        </w:tc>
        <w:tc>
          <w:tcPr>
            <w:tcW w:w="1592" w:type="dxa"/>
            <w:gridSpan w:val="2"/>
            <w:vAlign w:val="center"/>
          </w:tcPr>
          <w:p w14:paraId="64CF4A0C">
            <w:pPr>
              <w:keepNext/>
              <w:widowControl/>
              <w:snapToGrid w:val="0"/>
              <w:jc w:val="center"/>
              <w:rPr>
                <w:rFonts w:hint="eastAsia" w:ascii="宋体" w:hAnsi="宋体"/>
                <w:color w:val="000000"/>
                <w:kern w:val="0"/>
                <w:sz w:val="18"/>
                <w:szCs w:val="18"/>
              </w:rPr>
            </w:pPr>
          </w:p>
        </w:tc>
        <w:tc>
          <w:tcPr>
            <w:tcW w:w="1592" w:type="dxa"/>
            <w:vAlign w:val="center"/>
          </w:tcPr>
          <w:p w14:paraId="7F58A139">
            <w:pPr>
              <w:keepNext/>
              <w:widowControl/>
              <w:snapToGrid w:val="0"/>
              <w:jc w:val="center"/>
              <w:rPr>
                <w:rFonts w:hint="eastAsia" w:ascii="宋体" w:hAnsi="宋体"/>
                <w:color w:val="000000"/>
                <w:kern w:val="0"/>
                <w:sz w:val="18"/>
                <w:szCs w:val="18"/>
              </w:rPr>
            </w:pPr>
          </w:p>
        </w:tc>
      </w:tr>
      <w:tr w14:paraId="59D20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rPr>
        <w:tc>
          <w:tcPr>
            <w:tcW w:w="1111" w:type="dxa"/>
            <w:vMerge w:val="restart"/>
            <w:vAlign w:val="center"/>
          </w:tcPr>
          <w:p w14:paraId="2BD04B66">
            <w:pPr>
              <w:keepNext/>
              <w:widowControl/>
              <w:snapToGrid w:val="0"/>
              <w:jc w:val="center"/>
              <w:rPr>
                <w:rFonts w:hint="eastAsia" w:ascii="宋体" w:hAnsi="宋体"/>
                <w:color w:val="000000"/>
                <w:kern w:val="0"/>
                <w:sz w:val="18"/>
                <w:szCs w:val="18"/>
              </w:rPr>
            </w:pPr>
            <w:r>
              <w:rPr>
                <w:rFonts w:hint="eastAsia" w:ascii="宋体" w:hAnsi="宋体"/>
                <w:color w:val="000000"/>
                <w:kern w:val="0"/>
                <w:sz w:val="18"/>
                <w:szCs w:val="18"/>
              </w:rPr>
              <w:t>公共服务设施情况</w:t>
            </w:r>
          </w:p>
        </w:tc>
        <w:tc>
          <w:tcPr>
            <w:tcW w:w="1301" w:type="dxa"/>
            <w:vAlign w:val="center"/>
          </w:tcPr>
          <w:p w14:paraId="70E96051">
            <w:pPr>
              <w:keepNext/>
              <w:widowControl/>
              <w:snapToGrid w:val="0"/>
              <w:jc w:val="center"/>
              <w:rPr>
                <w:rFonts w:hint="eastAsia" w:ascii="宋体" w:hAnsi="宋体"/>
                <w:color w:val="000000"/>
                <w:kern w:val="0"/>
                <w:sz w:val="18"/>
                <w:szCs w:val="18"/>
              </w:rPr>
            </w:pPr>
            <w:r>
              <w:rPr>
                <w:rFonts w:hint="eastAsia" w:ascii="宋体" w:hAnsi="宋体"/>
                <w:color w:val="000000"/>
                <w:kern w:val="0"/>
                <w:sz w:val="18"/>
                <w:szCs w:val="18"/>
              </w:rPr>
              <w:t>生态步道数量</w:t>
            </w:r>
          </w:p>
        </w:tc>
        <w:tc>
          <w:tcPr>
            <w:tcW w:w="808" w:type="dxa"/>
            <w:vAlign w:val="center"/>
          </w:tcPr>
          <w:p w14:paraId="44210294">
            <w:pPr>
              <w:keepNext/>
              <w:widowControl/>
              <w:snapToGrid w:val="0"/>
              <w:jc w:val="center"/>
              <w:rPr>
                <w:rFonts w:hint="eastAsia" w:ascii="宋体" w:hAnsi="宋体"/>
                <w:color w:val="000000"/>
                <w:kern w:val="0"/>
                <w:sz w:val="18"/>
                <w:szCs w:val="18"/>
              </w:rPr>
            </w:pPr>
          </w:p>
        </w:tc>
        <w:tc>
          <w:tcPr>
            <w:tcW w:w="1229" w:type="dxa"/>
            <w:gridSpan w:val="3"/>
            <w:vAlign w:val="center"/>
          </w:tcPr>
          <w:p w14:paraId="416CCB0C">
            <w:pPr>
              <w:keepNext/>
              <w:widowControl/>
              <w:snapToGrid w:val="0"/>
              <w:jc w:val="center"/>
              <w:rPr>
                <w:rFonts w:hint="eastAsia" w:ascii="宋体" w:hAnsi="宋体"/>
                <w:color w:val="000000"/>
                <w:kern w:val="0"/>
                <w:sz w:val="18"/>
                <w:szCs w:val="18"/>
              </w:rPr>
            </w:pPr>
          </w:p>
        </w:tc>
        <w:tc>
          <w:tcPr>
            <w:tcW w:w="1413" w:type="dxa"/>
            <w:gridSpan w:val="2"/>
            <w:vAlign w:val="center"/>
          </w:tcPr>
          <w:p w14:paraId="05B658B0">
            <w:pPr>
              <w:keepNext/>
              <w:widowControl/>
              <w:snapToGrid w:val="0"/>
              <w:jc w:val="center"/>
              <w:rPr>
                <w:rFonts w:hint="eastAsia" w:ascii="宋体" w:hAnsi="宋体"/>
                <w:color w:val="000000"/>
                <w:kern w:val="0"/>
                <w:sz w:val="18"/>
                <w:szCs w:val="18"/>
              </w:rPr>
            </w:pPr>
          </w:p>
        </w:tc>
        <w:tc>
          <w:tcPr>
            <w:tcW w:w="1588" w:type="dxa"/>
            <w:gridSpan w:val="3"/>
            <w:vAlign w:val="center"/>
          </w:tcPr>
          <w:p w14:paraId="3F751CCC">
            <w:pPr>
              <w:keepNext/>
              <w:widowControl/>
              <w:snapToGrid w:val="0"/>
              <w:jc w:val="center"/>
              <w:rPr>
                <w:rFonts w:hint="eastAsia" w:ascii="宋体" w:hAnsi="宋体"/>
                <w:color w:val="000000"/>
                <w:kern w:val="0"/>
                <w:sz w:val="18"/>
                <w:szCs w:val="18"/>
              </w:rPr>
            </w:pPr>
          </w:p>
        </w:tc>
        <w:tc>
          <w:tcPr>
            <w:tcW w:w="1761" w:type="dxa"/>
            <w:gridSpan w:val="2"/>
            <w:vAlign w:val="center"/>
          </w:tcPr>
          <w:p w14:paraId="0ADE952E">
            <w:pPr>
              <w:keepNext/>
              <w:widowControl/>
              <w:snapToGrid w:val="0"/>
              <w:jc w:val="center"/>
              <w:rPr>
                <w:rFonts w:hint="eastAsia" w:ascii="宋体" w:hAnsi="宋体"/>
                <w:color w:val="000000"/>
                <w:kern w:val="0"/>
                <w:sz w:val="18"/>
                <w:szCs w:val="18"/>
              </w:rPr>
            </w:pPr>
          </w:p>
        </w:tc>
        <w:tc>
          <w:tcPr>
            <w:tcW w:w="1772" w:type="dxa"/>
            <w:gridSpan w:val="3"/>
            <w:vAlign w:val="center"/>
          </w:tcPr>
          <w:p w14:paraId="180DBBBD">
            <w:pPr>
              <w:keepNext/>
              <w:widowControl/>
              <w:snapToGrid w:val="0"/>
              <w:jc w:val="center"/>
              <w:rPr>
                <w:rFonts w:hint="eastAsia" w:ascii="宋体" w:hAnsi="宋体"/>
                <w:color w:val="000000"/>
                <w:kern w:val="0"/>
                <w:sz w:val="18"/>
                <w:szCs w:val="18"/>
              </w:rPr>
            </w:pPr>
          </w:p>
        </w:tc>
        <w:tc>
          <w:tcPr>
            <w:tcW w:w="1592" w:type="dxa"/>
            <w:gridSpan w:val="2"/>
            <w:vAlign w:val="center"/>
          </w:tcPr>
          <w:p w14:paraId="61E7F3B6">
            <w:pPr>
              <w:keepNext/>
              <w:widowControl/>
              <w:snapToGrid w:val="0"/>
              <w:jc w:val="center"/>
              <w:rPr>
                <w:rFonts w:hint="eastAsia" w:ascii="宋体" w:hAnsi="宋体"/>
                <w:color w:val="000000"/>
                <w:kern w:val="0"/>
                <w:sz w:val="18"/>
                <w:szCs w:val="18"/>
              </w:rPr>
            </w:pPr>
          </w:p>
        </w:tc>
        <w:tc>
          <w:tcPr>
            <w:tcW w:w="1592" w:type="dxa"/>
            <w:vAlign w:val="center"/>
          </w:tcPr>
          <w:p w14:paraId="1A7D73D9">
            <w:pPr>
              <w:keepNext/>
              <w:widowControl/>
              <w:snapToGrid w:val="0"/>
              <w:jc w:val="center"/>
              <w:rPr>
                <w:rFonts w:hint="eastAsia" w:ascii="宋体" w:hAnsi="宋体"/>
                <w:color w:val="000000"/>
                <w:kern w:val="0"/>
                <w:sz w:val="18"/>
                <w:szCs w:val="18"/>
              </w:rPr>
            </w:pPr>
          </w:p>
        </w:tc>
      </w:tr>
      <w:tr w14:paraId="56E5A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rPr>
        <w:tc>
          <w:tcPr>
            <w:tcW w:w="1111" w:type="dxa"/>
            <w:vMerge w:val="continue"/>
            <w:vAlign w:val="center"/>
          </w:tcPr>
          <w:p w14:paraId="6867696E">
            <w:pPr>
              <w:keepNext/>
              <w:widowControl/>
              <w:snapToGrid w:val="0"/>
              <w:jc w:val="center"/>
              <w:rPr>
                <w:rFonts w:hint="eastAsia" w:ascii="宋体" w:hAnsi="宋体"/>
                <w:color w:val="000000"/>
                <w:kern w:val="0"/>
                <w:sz w:val="18"/>
                <w:szCs w:val="18"/>
              </w:rPr>
            </w:pPr>
          </w:p>
        </w:tc>
        <w:tc>
          <w:tcPr>
            <w:tcW w:w="1301" w:type="dxa"/>
            <w:vAlign w:val="center"/>
          </w:tcPr>
          <w:p w14:paraId="62448942">
            <w:pPr>
              <w:keepNext/>
              <w:widowControl/>
              <w:snapToGrid w:val="0"/>
              <w:jc w:val="center"/>
              <w:rPr>
                <w:rFonts w:hint="eastAsia" w:ascii="宋体" w:hAnsi="宋体"/>
                <w:color w:val="000000"/>
                <w:kern w:val="0"/>
                <w:sz w:val="18"/>
                <w:szCs w:val="18"/>
              </w:rPr>
            </w:pPr>
            <w:r>
              <w:rPr>
                <w:rFonts w:hint="eastAsia" w:ascii="宋体" w:hAnsi="宋体"/>
                <w:color w:val="000000"/>
                <w:kern w:val="0"/>
                <w:sz w:val="18"/>
                <w:szCs w:val="18"/>
              </w:rPr>
              <w:t>……</w:t>
            </w:r>
          </w:p>
        </w:tc>
        <w:tc>
          <w:tcPr>
            <w:tcW w:w="808" w:type="dxa"/>
            <w:vAlign w:val="center"/>
          </w:tcPr>
          <w:p w14:paraId="7A52A32E">
            <w:pPr>
              <w:keepNext/>
              <w:widowControl/>
              <w:snapToGrid w:val="0"/>
              <w:jc w:val="center"/>
              <w:rPr>
                <w:rFonts w:hint="eastAsia" w:ascii="宋体" w:hAnsi="宋体"/>
                <w:color w:val="000000"/>
                <w:kern w:val="0"/>
                <w:sz w:val="18"/>
                <w:szCs w:val="18"/>
              </w:rPr>
            </w:pPr>
          </w:p>
        </w:tc>
        <w:tc>
          <w:tcPr>
            <w:tcW w:w="1229" w:type="dxa"/>
            <w:gridSpan w:val="3"/>
            <w:vAlign w:val="center"/>
          </w:tcPr>
          <w:p w14:paraId="4F4B25BA">
            <w:pPr>
              <w:keepNext/>
              <w:widowControl/>
              <w:snapToGrid w:val="0"/>
              <w:jc w:val="center"/>
              <w:rPr>
                <w:rFonts w:hint="eastAsia" w:ascii="宋体" w:hAnsi="宋体"/>
                <w:color w:val="000000"/>
                <w:kern w:val="0"/>
                <w:sz w:val="18"/>
                <w:szCs w:val="18"/>
              </w:rPr>
            </w:pPr>
          </w:p>
        </w:tc>
        <w:tc>
          <w:tcPr>
            <w:tcW w:w="1413" w:type="dxa"/>
            <w:gridSpan w:val="2"/>
            <w:vAlign w:val="center"/>
          </w:tcPr>
          <w:p w14:paraId="10F340E4">
            <w:pPr>
              <w:keepNext/>
              <w:widowControl/>
              <w:snapToGrid w:val="0"/>
              <w:jc w:val="center"/>
              <w:rPr>
                <w:rFonts w:hint="eastAsia" w:ascii="宋体" w:hAnsi="宋体"/>
                <w:color w:val="000000"/>
                <w:kern w:val="0"/>
                <w:sz w:val="18"/>
                <w:szCs w:val="18"/>
              </w:rPr>
            </w:pPr>
          </w:p>
        </w:tc>
        <w:tc>
          <w:tcPr>
            <w:tcW w:w="1588" w:type="dxa"/>
            <w:gridSpan w:val="3"/>
            <w:vAlign w:val="center"/>
          </w:tcPr>
          <w:p w14:paraId="5F0D2904">
            <w:pPr>
              <w:keepNext/>
              <w:widowControl/>
              <w:snapToGrid w:val="0"/>
              <w:jc w:val="center"/>
              <w:rPr>
                <w:rFonts w:hint="eastAsia" w:ascii="宋体" w:hAnsi="宋体"/>
                <w:color w:val="000000"/>
                <w:kern w:val="0"/>
                <w:sz w:val="18"/>
                <w:szCs w:val="18"/>
              </w:rPr>
            </w:pPr>
          </w:p>
        </w:tc>
        <w:tc>
          <w:tcPr>
            <w:tcW w:w="1761" w:type="dxa"/>
            <w:gridSpan w:val="2"/>
            <w:vAlign w:val="center"/>
          </w:tcPr>
          <w:p w14:paraId="16EB7584">
            <w:pPr>
              <w:keepNext/>
              <w:widowControl/>
              <w:snapToGrid w:val="0"/>
              <w:jc w:val="center"/>
              <w:rPr>
                <w:rFonts w:hint="eastAsia" w:ascii="宋体" w:hAnsi="宋体"/>
                <w:color w:val="000000"/>
                <w:kern w:val="0"/>
                <w:sz w:val="18"/>
                <w:szCs w:val="18"/>
              </w:rPr>
            </w:pPr>
          </w:p>
        </w:tc>
        <w:tc>
          <w:tcPr>
            <w:tcW w:w="1772" w:type="dxa"/>
            <w:gridSpan w:val="3"/>
            <w:vAlign w:val="center"/>
          </w:tcPr>
          <w:p w14:paraId="6208147B">
            <w:pPr>
              <w:keepNext/>
              <w:widowControl/>
              <w:snapToGrid w:val="0"/>
              <w:jc w:val="center"/>
              <w:rPr>
                <w:rFonts w:hint="eastAsia" w:ascii="宋体" w:hAnsi="宋体"/>
                <w:color w:val="000000"/>
                <w:kern w:val="0"/>
                <w:sz w:val="18"/>
                <w:szCs w:val="18"/>
              </w:rPr>
            </w:pPr>
          </w:p>
        </w:tc>
        <w:tc>
          <w:tcPr>
            <w:tcW w:w="1592" w:type="dxa"/>
            <w:gridSpan w:val="2"/>
            <w:vAlign w:val="center"/>
          </w:tcPr>
          <w:p w14:paraId="6B06901E">
            <w:pPr>
              <w:keepNext/>
              <w:widowControl/>
              <w:snapToGrid w:val="0"/>
              <w:jc w:val="center"/>
              <w:rPr>
                <w:rFonts w:hint="eastAsia" w:ascii="宋体" w:hAnsi="宋体"/>
                <w:color w:val="000000"/>
                <w:kern w:val="0"/>
                <w:sz w:val="18"/>
                <w:szCs w:val="18"/>
              </w:rPr>
            </w:pPr>
          </w:p>
        </w:tc>
        <w:tc>
          <w:tcPr>
            <w:tcW w:w="1592" w:type="dxa"/>
            <w:vAlign w:val="center"/>
          </w:tcPr>
          <w:p w14:paraId="75D3BC24">
            <w:pPr>
              <w:keepNext/>
              <w:widowControl/>
              <w:snapToGrid w:val="0"/>
              <w:jc w:val="center"/>
              <w:rPr>
                <w:rFonts w:hint="eastAsia" w:ascii="宋体" w:hAnsi="宋体"/>
                <w:color w:val="000000"/>
                <w:kern w:val="0"/>
                <w:sz w:val="18"/>
                <w:szCs w:val="18"/>
              </w:rPr>
            </w:pPr>
          </w:p>
        </w:tc>
      </w:tr>
      <w:tr w14:paraId="0A34D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rPr>
        <w:tc>
          <w:tcPr>
            <w:tcW w:w="3541" w:type="dxa"/>
            <w:gridSpan w:val="4"/>
            <w:vAlign w:val="center"/>
          </w:tcPr>
          <w:p w14:paraId="43DD73C4">
            <w:pPr>
              <w:keepNext/>
              <w:widowControl/>
              <w:snapToGrid w:val="0"/>
              <w:jc w:val="left"/>
              <w:rPr>
                <w:rFonts w:hint="eastAsia" w:ascii="宋体" w:hAnsi="宋体"/>
                <w:color w:val="000000"/>
                <w:kern w:val="0"/>
                <w:sz w:val="18"/>
                <w:szCs w:val="18"/>
              </w:rPr>
            </w:pPr>
            <w:r>
              <w:rPr>
                <w:rFonts w:hint="eastAsia" w:ascii="宋体" w:hAnsi="宋体"/>
                <w:color w:val="000000"/>
                <w:kern w:val="0"/>
                <w:sz w:val="18"/>
                <w:szCs w:val="18"/>
              </w:rPr>
              <w:t>填表人：</w:t>
            </w:r>
          </w:p>
        </w:tc>
        <w:tc>
          <w:tcPr>
            <w:tcW w:w="3542" w:type="dxa"/>
            <w:gridSpan w:val="6"/>
            <w:vAlign w:val="center"/>
          </w:tcPr>
          <w:p w14:paraId="21AF0776">
            <w:pPr>
              <w:keepNext/>
              <w:widowControl/>
              <w:snapToGrid w:val="0"/>
              <w:jc w:val="left"/>
              <w:rPr>
                <w:rFonts w:hint="eastAsia" w:ascii="宋体" w:hAnsi="宋体"/>
                <w:color w:val="000000"/>
                <w:kern w:val="0"/>
                <w:sz w:val="18"/>
                <w:szCs w:val="18"/>
              </w:rPr>
            </w:pPr>
            <w:r>
              <w:rPr>
                <w:rFonts w:hint="eastAsia" w:ascii="宋体" w:hAnsi="宋体"/>
                <w:color w:val="000000"/>
                <w:kern w:val="0"/>
                <w:sz w:val="18"/>
                <w:szCs w:val="18"/>
              </w:rPr>
              <w:t>时间：</w:t>
            </w:r>
          </w:p>
        </w:tc>
        <w:tc>
          <w:tcPr>
            <w:tcW w:w="3542" w:type="dxa"/>
            <w:gridSpan w:val="5"/>
            <w:vAlign w:val="center"/>
          </w:tcPr>
          <w:p w14:paraId="52BE0ADD">
            <w:pPr>
              <w:keepNext/>
              <w:widowControl/>
              <w:snapToGrid w:val="0"/>
              <w:jc w:val="left"/>
              <w:rPr>
                <w:rFonts w:hint="eastAsia" w:ascii="宋体" w:hAnsi="宋体"/>
                <w:color w:val="000000"/>
                <w:kern w:val="0"/>
                <w:sz w:val="18"/>
                <w:szCs w:val="18"/>
              </w:rPr>
            </w:pPr>
            <w:r>
              <w:rPr>
                <w:rFonts w:hint="eastAsia" w:ascii="宋体" w:hAnsi="宋体"/>
                <w:color w:val="000000"/>
                <w:kern w:val="0"/>
                <w:sz w:val="18"/>
                <w:szCs w:val="18"/>
              </w:rPr>
              <w:t>审核人：</w:t>
            </w:r>
          </w:p>
        </w:tc>
        <w:tc>
          <w:tcPr>
            <w:tcW w:w="3542" w:type="dxa"/>
            <w:gridSpan w:val="4"/>
            <w:vAlign w:val="center"/>
          </w:tcPr>
          <w:p w14:paraId="5FB3A7AF">
            <w:pPr>
              <w:keepNext/>
              <w:widowControl/>
              <w:snapToGrid w:val="0"/>
              <w:jc w:val="left"/>
              <w:rPr>
                <w:rFonts w:hint="eastAsia" w:ascii="宋体" w:hAnsi="宋体"/>
                <w:color w:val="000000"/>
                <w:kern w:val="0"/>
                <w:sz w:val="18"/>
                <w:szCs w:val="18"/>
              </w:rPr>
            </w:pPr>
            <w:r>
              <w:rPr>
                <w:rFonts w:hint="eastAsia" w:ascii="宋体" w:hAnsi="宋体"/>
                <w:color w:val="000000"/>
                <w:kern w:val="0"/>
                <w:sz w:val="18"/>
                <w:szCs w:val="18"/>
              </w:rPr>
              <w:t>时间：</w:t>
            </w:r>
          </w:p>
        </w:tc>
      </w:tr>
      <w:tr w14:paraId="6250F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0" w:hRule="atLeast"/>
        </w:trPr>
        <w:tc>
          <w:tcPr>
            <w:tcW w:w="1111" w:type="dxa"/>
            <w:vAlign w:val="center"/>
          </w:tcPr>
          <w:p w14:paraId="284B0E36">
            <w:pPr>
              <w:keepNext/>
              <w:widowControl/>
              <w:snapToGrid w:val="0"/>
              <w:jc w:val="left"/>
              <w:rPr>
                <w:rFonts w:hint="eastAsia" w:ascii="宋体" w:hAnsi="宋体"/>
                <w:color w:val="000000"/>
                <w:kern w:val="0"/>
                <w:sz w:val="18"/>
                <w:szCs w:val="18"/>
              </w:rPr>
            </w:pPr>
          </w:p>
        </w:tc>
        <w:tc>
          <w:tcPr>
            <w:tcW w:w="13056" w:type="dxa"/>
            <w:gridSpan w:val="18"/>
            <w:vAlign w:val="center"/>
          </w:tcPr>
          <w:p w14:paraId="626CF2ED">
            <w:pPr>
              <w:keepNext/>
              <w:widowControl/>
              <w:snapToGrid w:val="0"/>
              <w:jc w:val="left"/>
              <w:rPr>
                <w:rFonts w:hint="eastAsia" w:ascii="宋体" w:hAnsi="宋体"/>
                <w:color w:val="000000"/>
                <w:kern w:val="0"/>
                <w:sz w:val="18"/>
                <w:szCs w:val="18"/>
              </w:rPr>
            </w:pPr>
            <w:r>
              <w:rPr>
                <w:rFonts w:hint="eastAsia" w:ascii="宋体" w:hAnsi="宋体"/>
                <w:color w:val="000000"/>
                <w:kern w:val="0"/>
                <w:sz w:val="18"/>
                <w:szCs w:val="18"/>
              </w:rPr>
              <w:t>注1：本表可用于基础调查、监测评估。</w:t>
            </w:r>
          </w:p>
          <w:p w14:paraId="08B0489D">
            <w:pPr>
              <w:keepNext/>
              <w:widowControl/>
              <w:snapToGrid w:val="0"/>
              <w:jc w:val="left"/>
              <w:rPr>
                <w:rFonts w:hint="eastAsia" w:ascii="宋体" w:hAnsi="宋体"/>
                <w:color w:val="000000"/>
                <w:kern w:val="0"/>
                <w:sz w:val="18"/>
                <w:szCs w:val="18"/>
              </w:rPr>
            </w:pPr>
            <w:r>
              <w:rPr>
                <w:rFonts w:hint="eastAsia" w:ascii="宋体" w:hAnsi="宋体"/>
                <w:color w:val="000000"/>
                <w:kern w:val="0"/>
                <w:sz w:val="18"/>
                <w:szCs w:val="18"/>
              </w:rPr>
              <w:t>注2:山水林田湖草沙一体化生态保护与修复成效监测评估指标,是指通过整体性、系统性、综合性实施生态系统保护修复工程，区域生态系统功能提升的具体、量化表现。各地根据实际和工程建设内容,可以增减调查监测评估指标。</w:t>
            </w:r>
          </w:p>
          <w:p w14:paraId="6DDE72B1">
            <w:pPr>
              <w:keepNext/>
              <w:widowControl/>
              <w:snapToGrid w:val="0"/>
              <w:jc w:val="left"/>
              <w:rPr>
                <w:rFonts w:hint="eastAsia" w:ascii="宋体" w:hAnsi="宋体"/>
                <w:color w:val="000000"/>
                <w:kern w:val="0"/>
                <w:sz w:val="18"/>
                <w:szCs w:val="18"/>
              </w:rPr>
            </w:pPr>
            <w:r>
              <w:rPr>
                <w:rFonts w:hint="eastAsia" w:ascii="宋体" w:hAnsi="宋体"/>
                <w:color w:val="000000"/>
                <w:kern w:val="0"/>
                <w:sz w:val="18"/>
                <w:szCs w:val="18"/>
              </w:rPr>
              <w:t>注3:指标的“参照值”为参照生态系统或者现有国家、行业、地方标准规范或国家(地区)的相关要求。“基准值”为工程起始年份前至少两年的平均水平;“监测值”是根据需要在工程实施前一段时期、竣工验收后(包括后期管护期)的调查监测结果(根据需要可以增加监测频次和密度);“基期”是指工程实施起始年份;“基准值”“监测值”必须有出处,基于试验测定或实地调查。指标的“目标值”是实施方案和规划设计确定的约束性目标以及引导性目标。</w:t>
            </w:r>
          </w:p>
          <w:p w14:paraId="09E2F155">
            <w:pPr>
              <w:keepNext/>
              <w:widowControl/>
              <w:snapToGrid w:val="0"/>
              <w:jc w:val="left"/>
              <w:rPr>
                <w:rFonts w:hint="eastAsia" w:ascii="宋体" w:hAnsi="宋体"/>
                <w:color w:val="000000"/>
                <w:kern w:val="0"/>
                <w:sz w:val="18"/>
                <w:szCs w:val="18"/>
              </w:rPr>
            </w:pPr>
            <w:r>
              <w:rPr>
                <w:rFonts w:hint="eastAsia" w:ascii="宋体" w:hAnsi="宋体"/>
                <w:color w:val="000000"/>
                <w:kern w:val="0"/>
                <w:sz w:val="18"/>
                <w:szCs w:val="18"/>
              </w:rPr>
              <w:t>注4:子项目、生态保护修复单元、工程范围三个尺度的监测评估指标应分别根据三个尺度的评估内容与指标体系针对性选取。</w:t>
            </w:r>
          </w:p>
        </w:tc>
      </w:tr>
    </w:tbl>
    <w:p w14:paraId="56DDEBB2">
      <w:pPr>
        <w:widowControl/>
        <w:jc w:val="center"/>
        <w:rPr>
          <w:rFonts w:ascii="黑体" w:eastAsia="黑体"/>
          <w:kern w:val="0"/>
          <w:szCs w:val="20"/>
        </w:rPr>
      </w:pPr>
    </w:p>
    <w:p w14:paraId="1AA7FC22">
      <w:pPr>
        <w:widowControl/>
        <w:jc w:val="center"/>
        <w:rPr>
          <w:rFonts w:ascii="黑体" w:eastAsia="黑体"/>
          <w:kern w:val="0"/>
          <w:szCs w:val="20"/>
        </w:rPr>
      </w:pPr>
    </w:p>
    <w:p w14:paraId="3980707B">
      <w:pPr>
        <w:widowControl/>
        <w:jc w:val="center"/>
        <w:rPr>
          <w:rFonts w:ascii="黑体" w:eastAsia="黑体"/>
          <w:kern w:val="0"/>
          <w:szCs w:val="20"/>
        </w:rPr>
        <w:sectPr>
          <w:pgSz w:w="16838" w:h="11906" w:orient="landscape"/>
          <w:pgMar w:top="1800" w:right="1440" w:bottom="1800" w:left="1440" w:header="851" w:footer="992" w:gutter="0"/>
          <w:cols w:space="425" w:num="1"/>
          <w:docGrid w:type="lines" w:linePitch="312" w:charSpace="0"/>
        </w:sectPr>
      </w:pPr>
    </w:p>
    <w:p w14:paraId="0F67E724">
      <w:pPr>
        <w:widowControl/>
        <w:jc w:val="center"/>
        <w:rPr>
          <w:rFonts w:ascii="黑体" w:eastAsia="黑体"/>
          <w:kern w:val="0"/>
          <w:szCs w:val="20"/>
        </w:rPr>
      </w:pPr>
      <w:r>
        <w:rPr>
          <w:rFonts w:hint="eastAsia" w:ascii="黑体" w:eastAsia="黑体"/>
          <w:kern w:val="0"/>
          <w:szCs w:val="20"/>
        </w:rPr>
        <w:t>表B.3 经济成效监测记录表</w:t>
      </w:r>
    </w:p>
    <w:p w14:paraId="201B1C5B">
      <w:pPr>
        <w:widowControl/>
        <w:jc w:val="center"/>
        <w:rPr>
          <w:rFonts w:ascii="黑体" w:eastAsia="黑体"/>
          <w:kern w:val="0"/>
          <w:szCs w:val="20"/>
        </w:rPr>
      </w:pPr>
    </w:p>
    <w:tbl>
      <w:tblPr>
        <w:tblStyle w:val="42"/>
        <w:tblpPr w:leftFromText="180" w:rightFromText="180" w:vertAnchor="text" w:horzAnchor="page" w:tblpX="1789" w:tblpY="617"/>
        <w:tblOverlap w:val="never"/>
        <w:tblW w:w="1416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11"/>
        <w:gridCol w:w="1301"/>
        <w:gridCol w:w="808"/>
        <w:gridCol w:w="321"/>
        <w:gridCol w:w="281"/>
        <w:gridCol w:w="627"/>
        <w:gridCol w:w="645"/>
        <w:gridCol w:w="768"/>
        <w:gridCol w:w="768"/>
        <w:gridCol w:w="453"/>
        <w:gridCol w:w="367"/>
        <w:gridCol w:w="860"/>
        <w:gridCol w:w="901"/>
        <w:gridCol w:w="860"/>
        <w:gridCol w:w="554"/>
        <w:gridCol w:w="358"/>
        <w:gridCol w:w="796"/>
        <w:gridCol w:w="796"/>
        <w:gridCol w:w="1592"/>
      </w:tblGrid>
      <w:tr w14:paraId="7BB79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12" w:type="dxa"/>
            <w:gridSpan w:val="2"/>
            <w:vAlign w:val="center"/>
          </w:tcPr>
          <w:p w14:paraId="4B1BA573">
            <w:pPr>
              <w:keepNext/>
              <w:widowControl/>
              <w:snapToGrid w:val="0"/>
              <w:jc w:val="center"/>
              <w:rPr>
                <w:rFonts w:hint="eastAsia" w:ascii="宋体" w:hAnsi="宋体"/>
                <w:color w:val="000000"/>
                <w:kern w:val="0"/>
                <w:sz w:val="18"/>
                <w:szCs w:val="18"/>
              </w:rPr>
            </w:pPr>
            <w:r>
              <w:rPr>
                <w:rFonts w:hint="eastAsia" w:ascii="宋体" w:hAnsi="宋体"/>
                <w:b/>
                <w:bCs/>
                <w:color w:val="000000"/>
                <w:kern w:val="0"/>
                <w:sz w:val="18"/>
                <w:szCs w:val="18"/>
              </w:rPr>
              <w:t>监测指标</w:t>
            </w:r>
          </w:p>
        </w:tc>
        <w:tc>
          <w:tcPr>
            <w:tcW w:w="808" w:type="dxa"/>
            <w:vAlign w:val="center"/>
          </w:tcPr>
          <w:p w14:paraId="7EA7172C">
            <w:pPr>
              <w:keepNext/>
              <w:widowControl/>
              <w:snapToGrid w:val="0"/>
              <w:jc w:val="center"/>
              <w:rPr>
                <w:rFonts w:hint="eastAsia" w:ascii="宋体" w:hAnsi="宋体"/>
                <w:color w:val="000000"/>
                <w:kern w:val="0"/>
                <w:sz w:val="18"/>
                <w:szCs w:val="18"/>
              </w:rPr>
            </w:pPr>
            <w:r>
              <w:rPr>
                <w:rFonts w:hint="eastAsia" w:ascii="宋体" w:hAnsi="宋体"/>
                <w:b/>
                <w:bCs/>
                <w:color w:val="000000"/>
                <w:kern w:val="0"/>
                <w:sz w:val="18"/>
                <w:szCs w:val="18"/>
              </w:rPr>
              <w:t>单位</w:t>
            </w:r>
          </w:p>
        </w:tc>
        <w:tc>
          <w:tcPr>
            <w:tcW w:w="1229" w:type="dxa"/>
            <w:gridSpan w:val="3"/>
            <w:vAlign w:val="center"/>
          </w:tcPr>
          <w:p w14:paraId="6B30F07D">
            <w:pPr>
              <w:keepNext/>
              <w:widowControl/>
              <w:snapToGrid w:val="0"/>
              <w:jc w:val="center"/>
              <w:rPr>
                <w:rFonts w:hint="eastAsia" w:ascii="宋体" w:hAnsi="宋体"/>
                <w:b/>
                <w:bCs/>
                <w:color w:val="000000"/>
                <w:kern w:val="0"/>
                <w:sz w:val="18"/>
                <w:szCs w:val="18"/>
              </w:rPr>
            </w:pPr>
            <w:r>
              <w:rPr>
                <w:rFonts w:hint="eastAsia" w:ascii="宋体" w:hAnsi="宋体"/>
                <w:b/>
                <w:bCs/>
                <w:color w:val="000000"/>
                <w:kern w:val="0"/>
                <w:sz w:val="18"/>
                <w:szCs w:val="18"/>
              </w:rPr>
              <w:t>参照值</w:t>
            </w:r>
          </w:p>
        </w:tc>
        <w:tc>
          <w:tcPr>
            <w:tcW w:w="1413" w:type="dxa"/>
            <w:gridSpan w:val="2"/>
            <w:vAlign w:val="center"/>
          </w:tcPr>
          <w:p w14:paraId="4F86CED7">
            <w:pPr>
              <w:keepNext/>
              <w:widowControl/>
              <w:snapToGrid w:val="0"/>
              <w:jc w:val="center"/>
              <w:rPr>
                <w:rFonts w:hint="eastAsia" w:ascii="宋体" w:hAnsi="宋体"/>
                <w:b/>
                <w:bCs/>
                <w:color w:val="000000"/>
                <w:kern w:val="0"/>
                <w:sz w:val="18"/>
                <w:szCs w:val="18"/>
              </w:rPr>
            </w:pPr>
            <w:r>
              <w:rPr>
                <w:rFonts w:hint="eastAsia" w:ascii="宋体" w:hAnsi="宋体"/>
                <w:b/>
                <w:bCs/>
                <w:color w:val="000000"/>
                <w:kern w:val="0"/>
                <w:sz w:val="18"/>
                <w:szCs w:val="18"/>
              </w:rPr>
              <w:t>基期</w:t>
            </w:r>
          </w:p>
        </w:tc>
        <w:tc>
          <w:tcPr>
            <w:tcW w:w="1588" w:type="dxa"/>
            <w:gridSpan w:val="3"/>
            <w:vAlign w:val="center"/>
          </w:tcPr>
          <w:p w14:paraId="01B9E972">
            <w:pPr>
              <w:keepNext/>
              <w:widowControl/>
              <w:snapToGrid w:val="0"/>
              <w:jc w:val="center"/>
              <w:rPr>
                <w:rFonts w:hint="eastAsia" w:ascii="宋体" w:hAnsi="宋体"/>
                <w:b/>
                <w:bCs/>
                <w:color w:val="000000"/>
                <w:kern w:val="0"/>
                <w:sz w:val="18"/>
                <w:szCs w:val="18"/>
              </w:rPr>
            </w:pPr>
            <w:r>
              <w:rPr>
                <w:rFonts w:hint="eastAsia" w:ascii="宋体" w:hAnsi="宋体"/>
                <w:b/>
                <w:bCs/>
                <w:color w:val="000000"/>
                <w:kern w:val="0"/>
                <w:sz w:val="18"/>
                <w:szCs w:val="18"/>
              </w:rPr>
              <w:t>验收期</w:t>
            </w:r>
          </w:p>
        </w:tc>
        <w:tc>
          <w:tcPr>
            <w:tcW w:w="1761" w:type="dxa"/>
            <w:gridSpan w:val="2"/>
            <w:vAlign w:val="center"/>
          </w:tcPr>
          <w:p w14:paraId="543D7E00">
            <w:pPr>
              <w:keepNext/>
              <w:widowControl/>
              <w:snapToGrid w:val="0"/>
              <w:jc w:val="center"/>
              <w:rPr>
                <w:rFonts w:hint="eastAsia" w:ascii="宋体" w:hAnsi="宋体"/>
                <w:b/>
                <w:bCs/>
                <w:color w:val="000000"/>
                <w:kern w:val="0"/>
                <w:sz w:val="18"/>
                <w:szCs w:val="18"/>
              </w:rPr>
            </w:pPr>
            <w:r>
              <w:rPr>
                <w:rFonts w:hint="eastAsia" w:ascii="宋体" w:hAnsi="宋体"/>
                <w:b/>
                <w:bCs/>
                <w:color w:val="000000"/>
                <w:kern w:val="0"/>
                <w:sz w:val="18"/>
                <w:szCs w:val="18"/>
              </w:rPr>
              <w:t>管护期</w:t>
            </w:r>
          </w:p>
        </w:tc>
        <w:tc>
          <w:tcPr>
            <w:tcW w:w="1772" w:type="dxa"/>
            <w:gridSpan w:val="3"/>
            <w:vAlign w:val="center"/>
          </w:tcPr>
          <w:p w14:paraId="561799B2">
            <w:pPr>
              <w:keepNext/>
              <w:widowControl/>
              <w:snapToGrid w:val="0"/>
              <w:jc w:val="center"/>
              <w:rPr>
                <w:rFonts w:hint="eastAsia" w:ascii="宋体" w:hAnsi="宋体"/>
                <w:b/>
                <w:bCs/>
                <w:color w:val="000000"/>
                <w:kern w:val="0"/>
                <w:sz w:val="18"/>
                <w:szCs w:val="18"/>
              </w:rPr>
            </w:pPr>
            <w:r>
              <w:rPr>
                <w:rFonts w:hint="eastAsia" w:ascii="宋体" w:hAnsi="宋体"/>
                <w:b/>
                <w:bCs/>
                <w:color w:val="000000"/>
                <w:kern w:val="0"/>
                <w:sz w:val="18"/>
                <w:szCs w:val="18"/>
              </w:rPr>
              <w:t>常态化期监测</w:t>
            </w:r>
          </w:p>
        </w:tc>
        <w:tc>
          <w:tcPr>
            <w:tcW w:w="1592" w:type="dxa"/>
            <w:gridSpan w:val="2"/>
            <w:vAlign w:val="center"/>
          </w:tcPr>
          <w:p w14:paraId="62702E62">
            <w:pPr>
              <w:keepNext/>
              <w:widowControl/>
              <w:snapToGrid w:val="0"/>
              <w:jc w:val="center"/>
              <w:rPr>
                <w:rFonts w:hint="eastAsia" w:ascii="宋体" w:hAnsi="宋体"/>
                <w:b/>
                <w:bCs/>
                <w:color w:val="000000"/>
                <w:kern w:val="0"/>
                <w:sz w:val="18"/>
                <w:szCs w:val="18"/>
              </w:rPr>
            </w:pPr>
            <w:r>
              <w:rPr>
                <w:rFonts w:hint="eastAsia" w:ascii="宋体" w:hAnsi="宋体"/>
                <w:b/>
                <w:bCs/>
                <w:color w:val="000000"/>
                <w:kern w:val="0"/>
                <w:sz w:val="18"/>
                <w:szCs w:val="18"/>
              </w:rPr>
              <w:t>目标值</w:t>
            </w:r>
          </w:p>
        </w:tc>
        <w:tc>
          <w:tcPr>
            <w:tcW w:w="1592" w:type="dxa"/>
            <w:vAlign w:val="center"/>
          </w:tcPr>
          <w:p w14:paraId="04B054F3">
            <w:pPr>
              <w:keepNext/>
              <w:widowControl/>
              <w:snapToGrid w:val="0"/>
              <w:jc w:val="center"/>
              <w:rPr>
                <w:rFonts w:hint="eastAsia" w:ascii="宋体" w:hAnsi="宋体"/>
                <w:b/>
                <w:bCs/>
                <w:color w:val="000000"/>
                <w:kern w:val="0"/>
                <w:sz w:val="18"/>
                <w:szCs w:val="18"/>
              </w:rPr>
            </w:pPr>
            <w:r>
              <w:rPr>
                <w:rFonts w:hint="eastAsia" w:ascii="宋体" w:hAnsi="宋体"/>
                <w:b/>
                <w:bCs/>
                <w:color w:val="000000"/>
                <w:kern w:val="0"/>
                <w:sz w:val="18"/>
                <w:szCs w:val="18"/>
              </w:rPr>
              <w:t>备注</w:t>
            </w:r>
          </w:p>
        </w:tc>
      </w:tr>
      <w:tr w14:paraId="48EF8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1" w:type="dxa"/>
            <w:vAlign w:val="center"/>
          </w:tcPr>
          <w:p w14:paraId="4E4C8037">
            <w:pPr>
              <w:keepNext/>
              <w:widowControl/>
              <w:snapToGrid w:val="0"/>
              <w:jc w:val="center"/>
              <w:rPr>
                <w:rFonts w:hint="eastAsia" w:ascii="宋体" w:hAnsi="宋体"/>
                <w:color w:val="000000"/>
                <w:kern w:val="0"/>
                <w:sz w:val="18"/>
                <w:szCs w:val="18"/>
              </w:rPr>
            </w:pPr>
            <w:r>
              <w:rPr>
                <w:rFonts w:hint="eastAsia" w:ascii="宋体" w:hAnsi="宋体"/>
                <w:color w:val="000000"/>
                <w:kern w:val="0"/>
                <w:sz w:val="18"/>
                <w:szCs w:val="18"/>
              </w:rPr>
              <w:t>一级指标</w:t>
            </w:r>
          </w:p>
        </w:tc>
        <w:tc>
          <w:tcPr>
            <w:tcW w:w="1301" w:type="dxa"/>
            <w:vAlign w:val="center"/>
          </w:tcPr>
          <w:p w14:paraId="67DFAB00">
            <w:pPr>
              <w:keepNext/>
              <w:widowControl/>
              <w:snapToGrid w:val="0"/>
              <w:jc w:val="center"/>
              <w:rPr>
                <w:rFonts w:hint="eastAsia" w:ascii="宋体" w:hAnsi="宋体"/>
                <w:color w:val="000000"/>
                <w:kern w:val="0"/>
                <w:sz w:val="18"/>
                <w:szCs w:val="18"/>
              </w:rPr>
            </w:pPr>
            <w:r>
              <w:rPr>
                <w:rFonts w:hint="eastAsia" w:ascii="宋体" w:hAnsi="宋体"/>
                <w:color w:val="000000"/>
                <w:kern w:val="0"/>
                <w:sz w:val="18"/>
                <w:szCs w:val="18"/>
              </w:rPr>
              <w:t>三级指标</w:t>
            </w:r>
          </w:p>
        </w:tc>
        <w:tc>
          <w:tcPr>
            <w:tcW w:w="808" w:type="dxa"/>
            <w:vAlign w:val="center"/>
          </w:tcPr>
          <w:p w14:paraId="0AB003DB">
            <w:pPr>
              <w:keepNext/>
              <w:widowControl/>
              <w:snapToGrid w:val="0"/>
              <w:jc w:val="center"/>
              <w:rPr>
                <w:rFonts w:hint="eastAsia" w:ascii="宋体" w:hAnsi="宋体"/>
                <w:color w:val="000000"/>
                <w:kern w:val="0"/>
                <w:sz w:val="18"/>
                <w:szCs w:val="18"/>
              </w:rPr>
            </w:pPr>
          </w:p>
        </w:tc>
        <w:tc>
          <w:tcPr>
            <w:tcW w:w="602" w:type="dxa"/>
            <w:gridSpan w:val="2"/>
            <w:vAlign w:val="center"/>
          </w:tcPr>
          <w:p w14:paraId="1D90AEC5">
            <w:pPr>
              <w:keepNext/>
              <w:widowControl/>
              <w:snapToGrid w:val="0"/>
              <w:jc w:val="center"/>
              <w:rPr>
                <w:rFonts w:hint="eastAsia" w:ascii="宋体" w:hAnsi="宋体"/>
                <w:b/>
                <w:bCs/>
                <w:color w:val="000000"/>
                <w:kern w:val="0"/>
                <w:sz w:val="18"/>
                <w:szCs w:val="18"/>
              </w:rPr>
            </w:pPr>
            <w:r>
              <w:rPr>
                <w:rFonts w:hint="eastAsia" w:ascii="宋体" w:hAnsi="宋体"/>
                <w:b/>
                <w:bCs/>
                <w:color w:val="000000"/>
                <w:kern w:val="0"/>
                <w:sz w:val="18"/>
                <w:szCs w:val="18"/>
              </w:rPr>
              <w:t>数值</w:t>
            </w:r>
          </w:p>
        </w:tc>
        <w:tc>
          <w:tcPr>
            <w:tcW w:w="627" w:type="dxa"/>
            <w:vAlign w:val="center"/>
          </w:tcPr>
          <w:p w14:paraId="528D769C">
            <w:pPr>
              <w:keepNext/>
              <w:widowControl/>
              <w:snapToGrid w:val="0"/>
              <w:jc w:val="center"/>
              <w:rPr>
                <w:rFonts w:hint="eastAsia" w:ascii="宋体" w:hAnsi="宋体"/>
                <w:b/>
                <w:bCs/>
                <w:color w:val="000000"/>
                <w:kern w:val="0"/>
                <w:sz w:val="18"/>
                <w:szCs w:val="18"/>
              </w:rPr>
            </w:pPr>
            <w:r>
              <w:rPr>
                <w:rFonts w:hint="eastAsia" w:ascii="宋体" w:hAnsi="宋体"/>
                <w:b/>
                <w:bCs/>
                <w:color w:val="000000"/>
                <w:kern w:val="0"/>
                <w:sz w:val="18"/>
                <w:szCs w:val="18"/>
              </w:rPr>
              <w:t>来源</w:t>
            </w:r>
          </w:p>
        </w:tc>
        <w:tc>
          <w:tcPr>
            <w:tcW w:w="645" w:type="dxa"/>
            <w:vAlign w:val="center"/>
          </w:tcPr>
          <w:p w14:paraId="180C1D9C">
            <w:pPr>
              <w:keepNext/>
              <w:widowControl/>
              <w:snapToGrid w:val="0"/>
              <w:jc w:val="center"/>
              <w:rPr>
                <w:rFonts w:hint="eastAsia" w:ascii="宋体" w:hAnsi="宋体"/>
                <w:color w:val="000000"/>
                <w:kern w:val="0"/>
                <w:sz w:val="18"/>
                <w:szCs w:val="18"/>
              </w:rPr>
            </w:pPr>
            <w:r>
              <w:rPr>
                <w:rFonts w:hint="eastAsia" w:ascii="宋体" w:hAnsi="宋体"/>
                <w:b/>
                <w:bCs/>
                <w:color w:val="000000"/>
                <w:kern w:val="0"/>
                <w:sz w:val="18"/>
                <w:szCs w:val="18"/>
              </w:rPr>
              <w:t>数值</w:t>
            </w:r>
          </w:p>
        </w:tc>
        <w:tc>
          <w:tcPr>
            <w:tcW w:w="768" w:type="dxa"/>
            <w:vAlign w:val="center"/>
          </w:tcPr>
          <w:p w14:paraId="23D8A278">
            <w:pPr>
              <w:keepNext/>
              <w:widowControl/>
              <w:snapToGrid w:val="0"/>
              <w:jc w:val="center"/>
              <w:rPr>
                <w:rFonts w:hint="eastAsia" w:ascii="宋体" w:hAnsi="宋体"/>
                <w:color w:val="000000"/>
                <w:kern w:val="0"/>
                <w:sz w:val="18"/>
                <w:szCs w:val="18"/>
              </w:rPr>
            </w:pPr>
            <w:r>
              <w:rPr>
                <w:rFonts w:hint="eastAsia" w:ascii="宋体" w:hAnsi="宋体"/>
                <w:b/>
                <w:bCs/>
                <w:color w:val="000000"/>
                <w:kern w:val="0"/>
                <w:sz w:val="18"/>
                <w:szCs w:val="18"/>
              </w:rPr>
              <w:t>来源</w:t>
            </w:r>
          </w:p>
        </w:tc>
        <w:tc>
          <w:tcPr>
            <w:tcW w:w="768" w:type="dxa"/>
            <w:vAlign w:val="center"/>
          </w:tcPr>
          <w:p w14:paraId="48DDA34B">
            <w:pPr>
              <w:keepNext/>
              <w:widowControl/>
              <w:snapToGrid w:val="0"/>
              <w:jc w:val="center"/>
              <w:rPr>
                <w:rFonts w:hint="eastAsia" w:ascii="宋体" w:hAnsi="宋体"/>
                <w:color w:val="000000"/>
                <w:kern w:val="0"/>
                <w:sz w:val="18"/>
                <w:szCs w:val="18"/>
              </w:rPr>
            </w:pPr>
            <w:r>
              <w:rPr>
                <w:rFonts w:hint="eastAsia" w:ascii="宋体" w:hAnsi="宋体"/>
                <w:b/>
                <w:bCs/>
                <w:color w:val="000000"/>
                <w:kern w:val="0"/>
                <w:sz w:val="18"/>
                <w:szCs w:val="18"/>
              </w:rPr>
              <w:t>数值</w:t>
            </w:r>
          </w:p>
        </w:tc>
        <w:tc>
          <w:tcPr>
            <w:tcW w:w="820" w:type="dxa"/>
            <w:gridSpan w:val="2"/>
            <w:vAlign w:val="center"/>
          </w:tcPr>
          <w:p w14:paraId="79CE5BF2">
            <w:pPr>
              <w:keepNext/>
              <w:widowControl/>
              <w:snapToGrid w:val="0"/>
              <w:jc w:val="center"/>
              <w:rPr>
                <w:rFonts w:hint="eastAsia" w:ascii="宋体" w:hAnsi="宋体"/>
                <w:color w:val="000000"/>
                <w:kern w:val="0"/>
                <w:sz w:val="18"/>
                <w:szCs w:val="18"/>
              </w:rPr>
            </w:pPr>
            <w:r>
              <w:rPr>
                <w:rFonts w:hint="eastAsia" w:ascii="宋体" w:hAnsi="宋体"/>
                <w:b/>
                <w:bCs/>
                <w:color w:val="000000"/>
                <w:kern w:val="0"/>
                <w:sz w:val="18"/>
                <w:szCs w:val="18"/>
              </w:rPr>
              <w:t>来源</w:t>
            </w:r>
          </w:p>
        </w:tc>
        <w:tc>
          <w:tcPr>
            <w:tcW w:w="860" w:type="dxa"/>
            <w:vAlign w:val="center"/>
          </w:tcPr>
          <w:p w14:paraId="7CAA3BBC">
            <w:pPr>
              <w:keepNext/>
              <w:widowControl/>
              <w:snapToGrid w:val="0"/>
              <w:jc w:val="center"/>
              <w:rPr>
                <w:rFonts w:hint="eastAsia" w:ascii="宋体" w:hAnsi="宋体"/>
                <w:color w:val="000000"/>
                <w:kern w:val="0"/>
                <w:sz w:val="18"/>
                <w:szCs w:val="18"/>
              </w:rPr>
            </w:pPr>
            <w:r>
              <w:rPr>
                <w:rFonts w:hint="eastAsia" w:ascii="宋体" w:hAnsi="宋体"/>
                <w:b/>
                <w:bCs/>
                <w:color w:val="000000"/>
                <w:kern w:val="0"/>
                <w:sz w:val="18"/>
                <w:szCs w:val="18"/>
              </w:rPr>
              <w:t>数值</w:t>
            </w:r>
          </w:p>
        </w:tc>
        <w:tc>
          <w:tcPr>
            <w:tcW w:w="901" w:type="dxa"/>
            <w:vAlign w:val="center"/>
          </w:tcPr>
          <w:p w14:paraId="29C29FFF">
            <w:pPr>
              <w:keepNext/>
              <w:widowControl/>
              <w:snapToGrid w:val="0"/>
              <w:jc w:val="center"/>
              <w:rPr>
                <w:rFonts w:hint="eastAsia" w:ascii="宋体" w:hAnsi="宋体"/>
                <w:color w:val="000000"/>
                <w:kern w:val="0"/>
                <w:sz w:val="18"/>
                <w:szCs w:val="18"/>
              </w:rPr>
            </w:pPr>
            <w:r>
              <w:rPr>
                <w:rFonts w:hint="eastAsia" w:ascii="宋体" w:hAnsi="宋体"/>
                <w:b/>
                <w:bCs/>
                <w:color w:val="000000"/>
                <w:kern w:val="0"/>
                <w:sz w:val="18"/>
                <w:szCs w:val="18"/>
              </w:rPr>
              <w:t>来源</w:t>
            </w:r>
          </w:p>
        </w:tc>
        <w:tc>
          <w:tcPr>
            <w:tcW w:w="860" w:type="dxa"/>
            <w:vAlign w:val="center"/>
          </w:tcPr>
          <w:p w14:paraId="2A80C77D">
            <w:pPr>
              <w:keepNext/>
              <w:widowControl/>
              <w:snapToGrid w:val="0"/>
              <w:jc w:val="center"/>
              <w:rPr>
                <w:rFonts w:hint="eastAsia" w:ascii="宋体" w:hAnsi="宋体"/>
                <w:color w:val="000000"/>
                <w:kern w:val="0"/>
                <w:sz w:val="18"/>
                <w:szCs w:val="18"/>
              </w:rPr>
            </w:pPr>
            <w:r>
              <w:rPr>
                <w:rFonts w:hint="eastAsia" w:ascii="宋体" w:hAnsi="宋体"/>
                <w:b/>
                <w:bCs/>
                <w:color w:val="000000"/>
                <w:kern w:val="0"/>
                <w:sz w:val="18"/>
                <w:szCs w:val="18"/>
              </w:rPr>
              <w:t>数值</w:t>
            </w:r>
          </w:p>
        </w:tc>
        <w:tc>
          <w:tcPr>
            <w:tcW w:w="912" w:type="dxa"/>
            <w:gridSpan w:val="2"/>
            <w:vAlign w:val="center"/>
          </w:tcPr>
          <w:p w14:paraId="2971D5B0">
            <w:pPr>
              <w:keepNext/>
              <w:widowControl/>
              <w:snapToGrid w:val="0"/>
              <w:jc w:val="center"/>
              <w:rPr>
                <w:rFonts w:hint="eastAsia" w:ascii="宋体" w:hAnsi="宋体"/>
                <w:color w:val="000000"/>
                <w:kern w:val="0"/>
                <w:sz w:val="18"/>
                <w:szCs w:val="18"/>
              </w:rPr>
            </w:pPr>
            <w:r>
              <w:rPr>
                <w:rFonts w:hint="eastAsia" w:ascii="宋体" w:hAnsi="宋体"/>
                <w:b/>
                <w:bCs/>
                <w:color w:val="000000"/>
                <w:kern w:val="0"/>
                <w:sz w:val="18"/>
                <w:szCs w:val="18"/>
              </w:rPr>
              <w:t>来源</w:t>
            </w:r>
          </w:p>
        </w:tc>
        <w:tc>
          <w:tcPr>
            <w:tcW w:w="796" w:type="dxa"/>
            <w:vAlign w:val="center"/>
          </w:tcPr>
          <w:p w14:paraId="0F1F7B29">
            <w:pPr>
              <w:keepNext/>
              <w:widowControl/>
              <w:snapToGrid w:val="0"/>
              <w:jc w:val="center"/>
              <w:rPr>
                <w:rFonts w:hint="eastAsia" w:ascii="宋体" w:hAnsi="宋体"/>
                <w:color w:val="000000"/>
                <w:kern w:val="0"/>
                <w:sz w:val="18"/>
                <w:szCs w:val="18"/>
              </w:rPr>
            </w:pPr>
            <w:r>
              <w:rPr>
                <w:rFonts w:hint="eastAsia" w:ascii="宋体" w:hAnsi="宋体"/>
                <w:b/>
                <w:bCs/>
                <w:color w:val="000000"/>
                <w:kern w:val="0"/>
                <w:sz w:val="18"/>
                <w:szCs w:val="18"/>
              </w:rPr>
              <w:t>数值</w:t>
            </w:r>
          </w:p>
        </w:tc>
        <w:tc>
          <w:tcPr>
            <w:tcW w:w="796" w:type="dxa"/>
            <w:vAlign w:val="center"/>
          </w:tcPr>
          <w:p w14:paraId="45C48C8A">
            <w:pPr>
              <w:keepNext/>
              <w:widowControl/>
              <w:snapToGrid w:val="0"/>
              <w:jc w:val="center"/>
              <w:rPr>
                <w:rFonts w:hint="eastAsia" w:ascii="宋体" w:hAnsi="宋体"/>
                <w:b/>
                <w:bCs/>
                <w:color w:val="000000"/>
                <w:kern w:val="0"/>
                <w:sz w:val="18"/>
                <w:szCs w:val="18"/>
              </w:rPr>
            </w:pPr>
            <w:r>
              <w:rPr>
                <w:rFonts w:hint="eastAsia" w:ascii="宋体" w:hAnsi="宋体"/>
                <w:b/>
                <w:bCs/>
                <w:color w:val="000000"/>
                <w:kern w:val="0"/>
                <w:sz w:val="18"/>
                <w:szCs w:val="18"/>
              </w:rPr>
              <w:t>来源</w:t>
            </w:r>
          </w:p>
        </w:tc>
        <w:tc>
          <w:tcPr>
            <w:tcW w:w="1592" w:type="dxa"/>
            <w:vAlign w:val="center"/>
          </w:tcPr>
          <w:p w14:paraId="20507043">
            <w:pPr>
              <w:keepNext/>
              <w:widowControl/>
              <w:snapToGrid w:val="0"/>
              <w:jc w:val="center"/>
              <w:rPr>
                <w:rFonts w:hint="eastAsia" w:ascii="宋体" w:hAnsi="宋体"/>
                <w:color w:val="000000"/>
                <w:kern w:val="0"/>
                <w:sz w:val="18"/>
                <w:szCs w:val="18"/>
              </w:rPr>
            </w:pPr>
          </w:p>
        </w:tc>
      </w:tr>
      <w:tr w14:paraId="432AE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 w:hRule="atLeast"/>
        </w:trPr>
        <w:tc>
          <w:tcPr>
            <w:tcW w:w="1111" w:type="dxa"/>
            <w:vAlign w:val="center"/>
          </w:tcPr>
          <w:p w14:paraId="27A4B673">
            <w:pPr>
              <w:keepNext/>
              <w:widowControl/>
              <w:snapToGrid w:val="0"/>
              <w:jc w:val="center"/>
              <w:rPr>
                <w:rFonts w:hint="eastAsia" w:ascii="宋体" w:hAnsi="宋体"/>
                <w:color w:val="000000"/>
                <w:kern w:val="0"/>
                <w:sz w:val="18"/>
                <w:szCs w:val="18"/>
              </w:rPr>
            </w:pPr>
            <w:r>
              <w:rPr>
                <w:rFonts w:hint="eastAsia" w:ascii="宋体" w:hAnsi="宋体"/>
                <w:color w:val="000000"/>
                <w:kern w:val="0"/>
                <w:sz w:val="18"/>
                <w:szCs w:val="18"/>
              </w:rPr>
              <w:t>居民收入情况</w:t>
            </w:r>
          </w:p>
        </w:tc>
        <w:tc>
          <w:tcPr>
            <w:tcW w:w="1301" w:type="dxa"/>
            <w:vAlign w:val="center"/>
          </w:tcPr>
          <w:p w14:paraId="74F818B7">
            <w:pPr>
              <w:keepNext/>
              <w:widowControl/>
              <w:snapToGrid w:val="0"/>
              <w:jc w:val="center"/>
              <w:rPr>
                <w:rFonts w:hint="eastAsia" w:ascii="宋体" w:hAnsi="宋体"/>
                <w:color w:val="000000"/>
                <w:kern w:val="0"/>
                <w:sz w:val="18"/>
                <w:szCs w:val="18"/>
              </w:rPr>
            </w:pPr>
            <w:r>
              <w:rPr>
                <w:rFonts w:hint="eastAsia" w:ascii="宋体" w:hAnsi="宋体"/>
                <w:color w:val="000000"/>
                <w:kern w:val="0"/>
                <w:sz w:val="18"/>
                <w:szCs w:val="18"/>
              </w:rPr>
              <w:t>本地居民人均可支配收入</w:t>
            </w:r>
          </w:p>
        </w:tc>
        <w:tc>
          <w:tcPr>
            <w:tcW w:w="808" w:type="dxa"/>
            <w:vAlign w:val="center"/>
          </w:tcPr>
          <w:p w14:paraId="6CD9147F">
            <w:pPr>
              <w:keepNext/>
              <w:widowControl/>
              <w:snapToGrid w:val="0"/>
              <w:jc w:val="center"/>
              <w:rPr>
                <w:rFonts w:hint="eastAsia" w:ascii="宋体" w:hAnsi="宋体"/>
                <w:color w:val="000000"/>
                <w:kern w:val="0"/>
                <w:sz w:val="18"/>
                <w:szCs w:val="18"/>
              </w:rPr>
            </w:pPr>
          </w:p>
        </w:tc>
        <w:tc>
          <w:tcPr>
            <w:tcW w:w="1229" w:type="dxa"/>
            <w:gridSpan w:val="3"/>
            <w:vAlign w:val="center"/>
          </w:tcPr>
          <w:p w14:paraId="5EF43B41">
            <w:pPr>
              <w:keepNext/>
              <w:widowControl/>
              <w:snapToGrid w:val="0"/>
              <w:jc w:val="center"/>
              <w:rPr>
                <w:rFonts w:hint="eastAsia" w:ascii="宋体" w:hAnsi="宋体"/>
                <w:color w:val="000000"/>
                <w:kern w:val="0"/>
                <w:sz w:val="18"/>
                <w:szCs w:val="18"/>
              </w:rPr>
            </w:pPr>
          </w:p>
        </w:tc>
        <w:tc>
          <w:tcPr>
            <w:tcW w:w="1413" w:type="dxa"/>
            <w:gridSpan w:val="2"/>
            <w:vAlign w:val="center"/>
          </w:tcPr>
          <w:p w14:paraId="5A9214D6">
            <w:pPr>
              <w:keepNext/>
              <w:widowControl/>
              <w:snapToGrid w:val="0"/>
              <w:jc w:val="center"/>
              <w:rPr>
                <w:rFonts w:hint="eastAsia" w:ascii="宋体" w:hAnsi="宋体"/>
                <w:color w:val="000000"/>
                <w:kern w:val="0"/>
                <w:sz w:val="18"/>
                <w:szCs w:val="18"/>
              </w:rPr>
            </w:pPr>
          </w:p>
        </w:tc>
        <w:tc>
          <w:tcPr>
            <w:tcW w:w="1588" w:type="dxa"/>
            <w:gridSpan w:val="3"/>
            <w:vAlign w:val="center"/>
          </w:tcPr>
          <w:p w14:paraId="313648FC">
            <w:pPr>
              <w:keepNext/>
              <w:widowControl/>
              <w:snapToGrid w:val="0"/>
              <w:jc w:val="center"/>
              <w:rPr>
                <w:rFonts w:hint="eastAsia" w:ascii="宋体" w:hAnsi="宋体"/>
                <w:color w:val="000000"/>
                <w:kern w:val="0"/>
                <w:sz w:val="18"/>
                <w:szCs w:val="18"/>
              </w:rPr>
            </w:pPr>
          </w:p>
        </w:tc>
        <w:tc>
          <w:tcPr>
            <w:tcW w:w="1761" w:type="dxa"/>
            <w:gridSpan w:val="2"/>
            <w:vAlign w:val="center"/>
          </w:tcPr>
          <w:p w14:paraId="0A9AACF6">
            <w:pPr>
              <w:keepNext/>
              <w:widowControl/>
              <w:snapToGrid w:val="0"/>
              <w:jc w:val="center"/>
              <w:rPr>
                <w:rFonts w:hint="eastAsia" w:ascii="宋体" w:hAnsi="宋体"/>
                <w:color w:val="000000"/>
                <w:kern w:val="0"/>
                <w:sz w:val="18"/>
                <w:szCs w:val="18"/>
              </w:rPr>
            </w:pPr>
          </w:p>
        </w:tc>
        <w:tc>
          <w:tcPr>
            <w:tcW w:w="1772" w:type="dxa"/>
            <w:gridSpan w:val="3"/>
            <w:vAlign w:val="center"/>
          </w:tcPr>
          <w:p w14:paraId="6AEA22CB">
            <w:pPr>
              <w:keepNext/>
              <w:widowControl/>
              <w:snapToGrid w:val="0"/>
              <w:jc w:val="center"/>
              <w:rPr>
                <w:rFonts w:hint="eastAsia" w:ascii="宋体" w:hAnsi="宋体"/>
                <w:color w:val="000000"/>
                <w:kern w:val="0"/>
                <w:sz w:val="18"/>
                <w:szCs w:val="18"/>
              </w:rPr>
            </w:pPr>
          </w:p>
        </w:tc>
        <w:tc>
          <w:tcPr>
            <w:tcW w:w="1592" w:type="dxa"/>
            <w:gridSpan w:val="2"/>
            <w:vAlign w:val="center"/>
          </w:tcPr>
          <w:p w14:paraId="3345C640">
            <w:pPr>
              <w:keepNext/>
              <w:widowControl/>
              <w:snapToGrid w:val="0"/>
              <w:jc w:val="center"/>
              <w:rPr>
                <w:rFonts w:hint="eastAsia" w:ascii="宋体" w:hAnsi="宋体"/>
                <w:color w:val="000000"/>
                <w:kern w:val="0"/>
                <w:sz w:val="18"/>
                <w:szCs w:val="18"/>
              </w:rPr>
            </w:pPr>
          </w:p>
        </w:tc>
        <w:tc>
          <w:tcPr>
            <w:tcW w:w="1592" w:type="dxa"/>
            <w:vAlign w:val="center"/>
          </w:tcPr>
          <w:p w14:paraId="16D34C82">
            <w:pPr>
              <w:keepNext/>
              <w:widowControl/>
              <w:snapToGrid w:val="0"/>
              <w:jc w:val="center"/>
              <w:rPr>
                <w:rFonts w:hint="eastAsia" w:ascii="宋体" w:hAnsi="宋体"/>
                <w:color w:val="000000"/>
                <w:kern w:val="0"/>
                <w:sz w:val="18"/>
                <w:szCs w:val="18"/>
              </w:rPr>
            </w:pPr>
          </w:p>
        </w:tc>
      </w:tr>
      <w:tr w14:paraId="53AE2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rPr>
        <w:tc>
          <w:tcPr>
            <w:tcW w:w="1111" w:type="dxa"/>
            <w:vMerge w:val="restart"/>
            <w:vAlign w:val="center"/>
          </w:tcPr>
          <w:p w14:paraId="5FF09C0C">
            <w:pPr>
              <w:keepNext/>
              <w:widowControl/>
              <w:snapToGrid w:val="0"/>
              <w:jc w:val="center"/>
              <w:rPr>
                <w:rFonts w:hint="eastAsia" w:ascii="宋体" w:hAnsi="宋体"/>
                <w:color w:val="000000"/>
                <w:kern w:val="0"/>
                <w:sz w:val="18"/>
                <w:szCs w:val="18"/>
              </w:rPr>
            </w:pPr>
            <w:r>
              <w:rPr>
                <w:rFonts w:hint="eastAsia" w:ascii="宋体" w:hAnsi="宋体"/>
                <w:color w:val="000000"/>
                <w:kern w:val="0"/>
                <w:sz w:val="18"/>
                <w:szCs w:val="18"/>
              </w:rPr>
              <w:t>产业收益情况</w:t>
            </w:r>
          </w:p>
        </w:tc>
        <w:tc>
          <w:tcPr>
            <w:tcW w:w="1301" w:type="dxa"/>
            <w:vAlign w:val="center"/>
          </w:tcPr>
          <w:p w14:paraId="2C9F5CC4">
            <w:pPr>
              <w:keepNext/>
              <w:widowControl/>
              <w:snapToGrid w:val="0"/>
              <w:jc w:val="center"/>
              <w:rPr>
                <w:rFonts w:hint="eastAsia" w:ascii="宋体" w:hAnsi="宋体"/>
                <w:color w:val="000000"/>
                <w:kern w:val="0"/>
                <w:sz w:val="18"/>
                <w:szCs w:val="18"/>
              </w:rPr>
            </w:pPr>
            <w:r>
              <w:rPr>
                <w:rFonts w:hint="eastAsia" w:ascii="宋体" w:hAnsi="宋体"/>
                <w:color w:val="000000"/>
                <w:kern w:val="0"/>
                <w:sz w:val="18"/>
                <w:szCs w:val="18"/>
              </w:rPr>
              <w:t>本地农林牧渔业总产值</w:t>
            </w:r>
          </w:p>
        </w:tc>
        <w:tc>
          <w:tcPr>
            <w:tcW w:w="808" w:type="dxa"/>
            <w:vAlign w:val="center"/>
          </w:tcPr>
          <w:p w14:paraId="78B68DF6">
            <w:pPr>
              <w:keepNext/>
              <w:widowControl/>
              <w:snapToGrid w:val="0"/>
              <w:jc w:val="center"/>
              <w:rPr>
                <w:rFonts w:hint="eastAsia" w:ascii="宋体" w:hAnsi="宋体"/>
                <w:color w:val="000000"/>
                <w:kern w:val="0"/>
                <w:sz w:val="18"/>
                <w:szCs w:val="18"/>
              </w:rPr>
            </w:pPr>
          </w:p>
        </w:tc>
        <w:tc>
          <w:tcPr>
            <w:tcW w:w="1229" w:type="dxa"/>
            <w:gridSpan w:val="3"/>
            <w:vAlign w:val="center"/>
          </w:tcPr>
          <w:p w14:paraId="0E711081">
            <w:pPr>
              <w:keepNext/>
              <w:widowControl/>
              <w:snapToGrid w:val="0"/>
              <w:jc w:val="center"/>
              <w:rPr>
                <w:rFonts w:hint="eastAsia" w:ascii="宋体" w:hAnsi="宋体"/>
                <w:color w:val="000000"/>
                <w:kern w:val="0"/>
                <w:sz w:val="18"/>
                <w:szCs w:val="18"/>
              </w:rPr>
            </w:pPr>
          </w:p>
        </w:tc>
        <w:tc>
          <w:tcPr>
            <w:tcW w:w="1413" w:type="dxa"/>
            <w:gridSpan w:val="2"/>
            <w:vAlign w:val="center"/>
          </w:tcPr>
          <w:p w14:paraId="2292DB57">
            <w:pPr>
              <w:keepNext/>
              <w:widowControl/>
              <w:snapToGrid w:val="0"/>
              <w:jc w:val="center"/>
              <w:rPr>
                <w:rFonts w:hint="eastAsia" w:ascii="宋体" w:hAnsi="宋体"/>
                <w:color w:val="000000"/>
                <w:kern w:val="0"/>
                <w:sz w:val="18"/>
                <w:szCs w:val="18"/>
              </w:rPr>
            </w:pPr>
          </w:p>
        </w:tc>
        <w:tc>
          <w:tcPr>
            <w:tcW w:w="1588" w:type="dxa"/>
            <w:gridSpan w:val="3"/>
            <w:vAlign w:val="center"/>
          </w:tcPr>
          <w:p w14:paraId="76F54E1A">
            <w:pPr>
              <w:keepNext/>
              <w:widowControl/>
              <w:snapToGrid w:val="0"/>
              <w:jc w:val="center"/>
              <w:rPr>
                <w:rFonts w:hint="eastAsia" w:ascii="宋体" w:hAnsi="宋体"/>
                <w:color w:val="000000"/>
                <w:kern w:val="0"/>
                <w:sz w:val="18"/>
                <w:szCs w:val="18"/>
              </w:rPr>
            </w:pPr>
          </w:p>
        </w:tc>
        <w:tc>
          <w:tcPr>
            <w:tcW w:w="1761" w:type="dxa"/>
            <w:gridSpan w:val="2"/>
            <w:vAlign w:val="center"/>
          </w:tcPr>
          <w:p w14:paraId="3BC22FCF">
            <w:pPr>
              <w:keepNext/>
              <w:widowControl/>
              <w:snapToGrid w:val="0"/>
              <w:jc w:val="center"/>
              <w:rPr>
                <w:rFonts w:hint="eastAsia" w:ascii="宋体" w:hAnsi="宋体"/>
                <w:color w:val="000000"/>
                <w:kern w:val="0"/>
                <w:sz w:val="18"/>
                <w:szCs w:val="18"/>
              </w:rPr>
            </w:pPr>
          </w:p>
        </w:tc>
        <w:tc>
          <w:tcPr>
            <w:tcW w:w="1772" w:type="dxa"/>
            <w:gridSpan w:val="3"/>
            <w:vAlign w:val="center"/>
          </w:tcPr>
          <w:p w14:paraId="23B0F57D">
            <w:pPr>
              <w:keepNext/>
              <w:widowControl/>
              <w:snapToGrid w:val="0"/>
              <w:jc w:val="center"/>
              <w:rPr>
                <w:rFonts w:hint="eastAsia" w:ascii="宋体" w:hAnsi="宋体"/>
                <w:color w:val="000000"/>
                <w:kern w:val="0"/>
                <w:sz w:val="18"/>
                <w:szCs w:val="18"/>
              </w:rPr>
            </w:pPr>
          </w:p>
        </w:tc>
        <w:tc>
          <w:tcPr>
            <w:tcW w:w="1592" w:type="dxa"/>
            <w:gridSpan w:val="2"/>
            <w:vAlign w:val="center"/>
          </w:tcPr>
          <w:p w14:paraId="56C6755B">
            <w:pPr>
              <w:keepNext/>
              <w:widowControl/>
              <w:snapToGrid w:val="0"/>
              <w:jc w:val="center"/>
              <w:rPr>
                <w:rFonts w:hint="eastAsia" w:ascii="宋体" w:hAnsi="宋体"/>
                <w:color w:val="000000"/>
                <w:kern w:val="0"/>
                <w:sz w:val="18"/>
                <w:szCs w:val="18"/>
              </w:rPr>
            </w:pPr>
          </w:p>
        </w:tc>
        <w:tc>
          <w:tcPr>
            <w:tcW w:w="1592" w:type="dxa"/>
            <w:vAlign w:val="center"/>
          </w:tcPr>
          <w:p w14:paraId="1690FFB3">
            <w:pPr>
              <w:keepNext/>
              <w:widowControl/>
              <w:snapToGrid w:val="0"/>
              <w:jc w:val="center"/>
              <w:rPr>
                <w:rFonts w:hint="eastAsia" w:ascii="宋体" w:hAnsi="宋体"/>
                <w:color w:val="000000"/>
                <w:kern w:val="0"/>
                <w:sz w:val="18"/>
                <w:szCs w:val="18"/>
              </w:rPr>
            </w:pPr>
          </w:p>
        </w:tc>
      </w:tr>
      <w:tr w14:paraId="61252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rPr>
        <w:tc>
          <w:tcPr>
            <w:tcW w:w="1111" w:type="dxa"/>
            <w:vMerge w:val="continue"/>
            <w:vAlign w:val="center"/>
          </w:tcPr>
          <w:p w14:paraId="5C52A1D6">
            <w:pPr>
              <w:keepNext/>
              <w:widowControl/>
              <w:snapToGrid w:val="0"/>
              <w:jc w:val="center"/>
              <w:rPr>
                <w:rFonts w:hint="eastAsia" w:ascii="宋体" w:hAnsi="宋体"/>
                <w:color w:val="000000"/>
                <w:kern w:val="0"/>
                <w:sz w:val="18"/>
                <w:szCs w:val="18"/>
              </w:rPr>
            </w:pPr>
          </w:p>
        </w:tc>
        <w:tc>
          <w:tcPr>
            <w:tcW w:w="1301" w:type="dxa"/>
            <w:vAlign w:val="center"/>
          </w:tcPr>
          <w:p w14:paraId="691765F5">
            <w:pPr>
              <w:keepNext/>
              <w:widowControl/>
              <w:snapToGrid w:val="0"/>
              <w:jc w:val="center"/>
              <w:rPr>
                <w:rFonts w:hint="eastAsia" w:ascii="宋体" w:hAnsi="宋体"/>
                <w:color w:val="000000"/>
                <w:kern w:val="0"/>
                <w:sz w:val="18"/>
                <w:szCs w:val="18"/>
              </w:rPr>
            </w:pPr>
            <w:r>
              <w:rPr>
                <w:rFonts w:hint="eastAsia" w:ascii="宋体" w:hAnsi="宋体"/>
                <w:color w:val="000000"/>
                <w:kern w:val="0"/>
                <w:sz w:val="18"/>
                <w:szCs w:val="18"/>
              </w:rPr>
              <w:t>生态旅游收益</w:t>
            </w:r>
          </w:p>
        </w:tc>
        <w:tc>
          <w:tcPr>
            <w:tcW w:w="808" w:type="dxa"/>
            <w:vAlign w:val="center"/>
          </w:tcPr>
          <w:p w14:paraId="41AF5254">
            <w:pPr>
              <w:keepNext/>
              <w:widowControl/>
              <w:snapToGrid w:val="0"/>
              <w:jc w:val="center"/>
              <w:rPr>
                <w:rFonts w:hint="eastAsia" w:ascii="宋体" w:hAnsi="宋体"/>
                <w:color w:val="000000"/>
                <w:kern w:val="0"/>
                <w:sz w:val="18"/>
                <w:szCs w:val="18"/>
              </w:rPr>
            </w:pPr>
          </w:p>
        </w:tc>
        <w:tc>
          <w:tcPr>
            <w:tcW w:w="1229" w:type="dxa"/>
            <w:gridSpan w:val="3"/>
            <w:vAlign w:val="center"/>
          </w:tcPr>
          <w:p w14:paraId="7DF630AF">
            <w:pPr>
              <w:keepNext/>
              <w:widowControl/>
              <w:snapToGrid w:val="0"/>
              <w:jc w:val="center"/>
              <w:rPr>
                <w:rFonts w:hint="eastAsia" w:ascii="宋体" w:hAnsi="宋体"/>
                <w:color w:val="000000"/>
                <w:kern w:val="0"/>
                <w:sz w:val="18"/>
                <w:szCs w:val="18"/>
              </w:rPr>
            </w:pPr>
          </w:p>
        </w:tc>
        <w:tc>
          <w:tcPr>
            <w:tcW w:w="1413" w:type="dxa"/>
            <w:gridSpan w:val="2"/>
            <w:vAlign w:val="center"/>
          </w:tcPr>
          <w:p w14:paraId="68B6B769">
            <w:pPr>
              <w:keepNext/>
              <w:widowControl/>
              <w:snapToGrid w:val="0"/>
              <w:jc w:val="center"/>
              <w:rPr>
                <w:rFonts w:hint="eastAsia" w:ascii="宋体" w:hAnsi="宋体"/>
                <w:color w:val="000000"/>
                <w:kern w:val="0"/>
                <w:sz w:val="18"/>
                <w:szCs w:val="18"/>
              </w:rPr>
            </w:pPr>
          </w:p>
        </w:tc>
        <w:tc>
          <w:tcPr>
            <w:tcW w:w="1588" w:type="dxa"/>
            <w:gridSpan w:val="3"/>
            <w:vAlign w:val="center"/>
          </w:tcPr>
          <w:p w14:paraId="44A73181">
            <w:pPr>
              <w:keepNext/>
              <w:widowControl/>
              <w:snapToGrid w:val="0"/>
              <w:jc w:val="center"/>
              <w:rPr>
                <w:rFonts w:hint="eastAsia" w:ascii="宋体" w:hAnsi="宋体"/>
                <w:color w:val="000000"/>
                <w:kern w:val="0"/>
                <w:sz w:val="18"/>
                <w:szCs w:val="18"/>
              </w:rPr>
            </w:pPr>
          </w:p>
        </w:tc>
        <w:tc>
          <w:tcPr>
            <w:tcW w:w="1761" w:type="dxa"/>
            <w:gridSpan w:val="2"/>
            <w:vAlign w:val="center"/>
          </w:tcPr>
          <w:p w14:paraId="5D22ED17">
            <w:pPr>
              <w:keepNext/>
              <w:widowControl/>
              <w:snapToGrid w:val="0"/>
              <w:jc w:val="center"/>
              <w:rPr>
                <w:rFonts w:hint="eastAsia" w:ascii="宋体" w:hAnsi="宋体"/>
                <w:color w:val="000000"/>
                <w:kern w:val="0"/>
                <w:sz w:val="18"/>
                <w:szCs w:val="18"/>
              </w:rPr>
            </w:pPr>
          </w:p>
        </w:tc>
        <w:tc>
          <w:tcPr>
            <w:tcW w:w="1772" w:type="dxa"/>
            <w:gridSpan w:val="3"/>
            <w:vAlign w:val="center"/>
          </w:tcPr>
          <w:p w14:paraId="1FEE7349">
            <w:pPr>
              <w:keepNext/>
              <w:widowControl/>
              <w:snapToGrid w:val="0"/>
              <w:jc w:val="center"/>
              <w:rPr>
                <w:rFonts w:hint="eastAsia" w:ascii="宋体" w:hAnsi="宋体"/>
                <w:color w:val="000000"/>
                <w:kern w:val="0"/>
                <w:sz w:val="18"/>
                <w:szCs w:val="18"/>
              </w:rPr>
            </w:pPr>
          </w:p>
        </w:tc>
        <w:tc>
          <w:tcPr>
            <w:tcW w:w="1592" w:type="dxa"/>
            <w:gridSpan w:val="2"/>
            <w:vAlign w:val="center"/>
          </w:tcPr>
          <w:p w14:paraId="19C96886">
            <w:pPr>
              <w:keepNext/>
              <w:widowControl/>
              <w:snapToGrid w:val="0"/>
              <w:jc w:val="center"/>
              <w:rPr>
                <w:rFonts w:hint="eastAsia" w:ascii="宋体" w:hAnsi="宋体"/>
                <w:color w:val="000000"/>
                <w:kern w:val="0"/>
                <w:sz w:val="18"/>
                <w:szCs w:val="18"/>
              </w:rPr>
            </w:pPr>
          </w:p>
        </w:tc>
        <w:tc>
          <w:tcPr>
            <w:tcW w:w="1592" w:type="dxa"/>
            <w:vAlign w:val="center"/>
          </w:tcPr>
          <w:p w14:paraId="5EBBAE93">
            <w:pPr>
              <w:keepNext/>
              <w:widowControl/>
              <w:snapToGrid w:val="0"/>
              <w:jc w:val="center"/>
              <w:rPr>
                <w:rFonts w:hint="eastAsia" w:ascii="宋体" w:hAnsi="宋体"/>
                <w:color w:val="000000"/>
                <w:kern w:val="0"/>
                <w:sz w:val="18"/>
                <w:szCs w:val="18"/>
              </w:rPr>
            </w:pPr>
          </w:p>
        </w:tc>
      </w:tr>
      <w:tr w14:paraId="5E80E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rPr>
        <w:tc>
          <w:tcPr>
            <w:tcW w:w="1111" w:type="dxa"/>
            <w:vMerge w:val="continue"/>
            <w:vAlign w:val="center"/>
          </w:tcPr>
          <w:p w14:paraId="6A0A33E3">
            <w:pPr>
              <w:keepNext/>
              <w:widowControl/>
              <w:snapToGrid w:val="0"/>
              <w:jc w:val="center"/>
              <w:rPr>
                <w:rFonts w:hint="eastAsia" w:ascii="宋体" w:hAnsi="宋体"/>
                <w:color w:val="000000"/>
                <w:kern w:val="0"/>
                <w:sz w:val="18"/>
                <w:szCs w:val="18"/>
              </w:rPr>
            </w:pPr>
          </w:p>
        </w:tc>
        <w:tc>
          <w:tcPr>
            <w:tcW w:w="1301" w:type="dxa"/>
            <w:vAlign w:val="center"/>
          </w:tcPr>
          <w:p w14:paraId="24757EB5">
            <w:pPr>
              <w:keepNext/>
              <w:widowControl/>
              <w:snapToGrid w:val="0"/>
              <w:jc w:val="center"/>
              <w:rPr>
                <w:rFonts w:hint="eastAsia" w:ascii="宋体" w:hAnsi="宋体"/>
                <w:color w:val="000000"/>
                <w:kern w:val="0"/>
                <w:sz w:val="18"/>
                <w:szCs w:val="18"/>
              </w:rPr>
            </w:pPr>
            <w:r>
              <w:rPr>
                <w:rFonts w:hint="eastAsia" w:ascii="宋体" w:hAnsi="宋体"/>
                <w:color w:val="000000"/>
                <w:kern w:val="0"/>
                <w:sz w:val="18"/>
                <w:szCs w:val="18"/>
              </w:rPr>
              <w:t>……</w:t>
            </w:r>
          </w:p>
        </w:tc>
        <w:tc>
          <w:tcPr>
            <w:tcW w:w="808" w:type="dxa"/>
            <w:vAlign w:val="center"/>
          </w:tcPr>
          <w:p w14:paraId="4A8AA72A">
            <w:pPr>
              <w:keepNext/>
              <w:widowControl/>
              <w:snapToGrid w:val="0"/>
              <w:jc w:val="center"/>
              <w:rPr>
                <w:rFonts w:hint="eastAsia" w:ascii="宋体" w:hAnsi="宋体"/>
                <w:color w:val="000000"/>
                <w:kern w:val="0"/>
                <w:sz w:val="18"/>
                <w:szCs w:val="18"/>
              </w:rPr>
            </w:pPr>
          </w:p>
        </w:tc>
        <w:tc>
          <w:tcPr>
            <w:tcW w:w="1229" w:type="dxa"/>
            <w:gridSpan w:val="3"/>
            <w:vAlign w:val="center"/>
          </w:tcPr>
          <w:p w14:paraId="443BE60D">
            <w:pPr>
              <w:keepNext/>
              <w:widowControl/>
              <w:snapToGrid w:val="0"/>
              <w:jc w:val="center"/>
              <w:rPr>
                <w:rFonts w:hint="eastAsia" w:ascii="宋体" w:hAnsi="宋体"/>
                <w:color w:val="000000"/>
                <w:kern w:val="0"/>
                <w:sz w:val="18"/>
                <w:szCs w:val="18"/>
              </w:rPr>
            </w:pPr>
          </w:p>
        </w:tc>
        <w:tc>
          <w:tcPr>
            <w:tcW w:w="1413" w:type="dxa"/>
            <w:gridSpan w:val="2"/>
            <w:vAlign w:val="center"/>
          </w:tcPr>
          <w:p w14:paraId="48F55ADC">
            <w:pPr>
              <w:keepNext/>
              <w:widowControl/>
              <w:snapToGrid w:val="0"/>
              <w:jc w:val="center"/>
              <w:rPr>
                <w:rFonts w:hint="eastAsia" w:ascii="宋体" w:hAnsi="宋体"/>
                <w:color w:val="000000"/>
                <w:kern w:val="0"/>
                <w:sz w:val="18"/>
                <w:szCs w:val="18"/>
              </w:rPr>
            </w:pPr>
          </w:p>
        </w:tc>
        <w:tc>
          <w:tcPr>
            <w:tcW w:w="1588" w:type="dxa"/>
            <w:gridSpan w:val="3"/>
            <w:vAlign w:val="center"/>
          </w:tcPr>
          <w:p w14:paraId="07AB9779">
            <w:pPr>
              <w:keepNext/>
              <w:widowControl/>
              <w:snapToGrid w:val="0"/>
              <w:jc w:val="center"/>
              <w:rPr>
                <w:rFonts w:hint="eastAsia" w:ascii="宋体" w:hAnsi="宋体"/>
                <w:color w:val="000000"/>
                <w:kern w:val="0"/>
                <w:sz w:val="18"/>
                <w:szCs w:val="18"/>
              </w:rPr>
            </w:pPr>
          </w:p>
        </w:tc>
        <w:tc>
          <w:tcPr>
            <w:tcW w:w="1761" w:type="dxa"/>
            <w:gridSpan w:val="2"/>
            <w:vAlign w:val="center"/>
          </w:tcPr>
          <w:p w14:paraId="5CDE9F7F">
            <w:pPr>
              <w:keepNext/>
              <w:widowControl/>
              <w:snapToGrid w:val="0"/>
              <w:jc w:val="center"/>
              <w:rPr>
                <w:rFonts w:hint="eastAsia" w:ascii="宋体" w:hAnsi="宋体"/>
                <w:color w:val="000000"/>
                <w:kern w:val="0"/>
                <w:sz w:val="18"/>
                <w:szCs w:val="18"/>
              </w:rPr>
            </w:pPr>
          </w:p>
        </w:tc>
        <w:tc>
          <w:tcPr>
            <w:tcW w:w="1772" w:type="dxa"/>
            <w:gridSpan w:val="3"/>
            <w:vAlign w:val="center"/>
          </w:tcPr>
          <w:p w14:paraId="6399C139">
            <w:pPr>
              <w:keepNext/>
              <w:widowControl/>
              <w:snapToGrid w:val="0"/>
              <w:jc w:val="center"/>
              <w:rPr>
                <w:rFonts w:hint="eastAsia" w:ascii="宋体" w:hAnsi="宋体"/>
                <w:color w:val="000000"/>
                <w:kern w:val="0"/>
                <w:sz w:val="18"/>
                <w:szCs w:val="18"/>
              </w:rPr>
            </w:pPr>
          </w:p>
        </w:tc>
        <w:tc>
          <w:tcPr>
            <w:tcW w:w="1592" w:type="dxa"/>
            <w:gridSpan w:val="2"/>
            <w:vAlign w:val="center"/>
          </w:tcPr>
          <w:p w14:paraId="1C968BBD">
            <w:pPr>
              <w:keepNext/>
              <w:widowControl/>
              <w:snapToGrid w:val="0"/>
              <w:jc w:val="center"/>
              <w:rPr>
                <w:rFonts w:hint="eastAsia" w:ascii="宋体" w:hAnsi="宋体"/>
                <w:color w:val="000000"/>
                <w:kern w:val="0"/>
                <w:sz w:val="18"/>
                <w:szCs w:val="18"/>
              </w:rPr>
            </w:pPr>
          </w:p>
        </w:tc>
        <w:tc>
          <w:tcPr>
            <w:tcW w:w="1592" w:type="dxa"/>
            <w:vAlign w:val="center"/>
          </w:tcPr>
          <w:p w14:paraId="567B97F1">
            <w:pPr>
              <w:keepNext/>
              <w:widowControl/>
              <w:snapToGrid w:val="0"/>
              <w:jc w:val="center"/>
              <w:rPr>
                <w:rFonts w:hint="eastAsia" w:ascii="宋体" w:hAnsi="宋体"/>
                <w:color w:val="000000"/>
                <w:kern w:val="0"/>
                <w:sz w:val="18"/>
                <w:szCs w:val="18"/>
              </w:rPr>
            </w:pPr>
          </w:p>
        </w:tc>
      </w:tr>
      <w:tr w14:paraId="3696D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rPr>
        <w:tc>
          <w:tcPr>
            <w:tcW w:w="3541" w:type="dxa"/>
            <w:gridSpan w:val="4"/>
            <w:vAlign w:val="center"/>
          </w:tcPr>
          <w:p w14:paraId="1141BEEA">
            <w:pPr>
              <w:keepNext/>
              <w:widowControl/>
              <w:snapToGrid w:val="0"/>
              <w:jc w:val="left"/>
              <w:rPr>
                <w:rFonts w:hint="eastAsia" w:ascii="宋体" w:hAnsi="宋体"/>
                <w:color w:val="000000"/>
                <w:kern w:val="0"/>
                <w:sz w:val="18"/>
                <w:szCs w:val="18"/>
              </w:rPr>
            </w:pPr>
            <w:r>
              <w:rPr>
                <w:rFonts w:hint="eastAsia" w:ascii="宋体" w:hAnsi="宋体"/>
                <w:color w:val="000000"/>
                <w:kern w:val="0"/>
                <w:sz w:val="18"/>
                <w:szCs w:val="18"/>
              </w:rPr>
              <w:t>填表人：</w:t>
            </w:r>
          </w:p>
        </w:tc>
        <w:tc>
          <w:tcPr>
            <w:tcW w:w="3542" w:type="dxa"/>
            <w:gridSpan w:val="6"/>
            <w:vAlign w:val="center"/>
          </w:tcPr>
          <w:p w14:paraId="2245D02E">
            <w:pPr>
              <w:keepNext/>
              <w:widowControl/>
              <w:snapToGrid w:val="0"/>
              <w:jc w:val="left"/>
              <w:rPr>
                <w:rFonts w:hint="eastAsia" w:ascii="宋体" w:hAnsi="宋体"/>
                <w:color w:val="000000"/>
                <w:kern w:val="0"/>
                <w:sz w:val="18"/>
                <w:szCs w:val="18"/>
              </w:rPr>
            </w:pPr>
            <w:r>
              <w:rPr>
                <w:rFonts w:hint="eastAsia" w:ascii="宋体" w:hAnsi="宋体"/>
                <w:color w:val="000000"/>
                <w:kern w:val="0"/>
                <w:sz w:val="18"/>
                <w:szCs w:val="18"/>
              </w:rPr>
              <w:t>时间：</w:t>
            </w:r>
          </w:p>
        </w:tc>
        <w:tc>
          <w:tcPr>
            <w:tcW w:w="3542" w:type="dxa"/>
            <w:gridSpan w:val="5"/>
            <w:vAlign w:val="center"/>
          </w:tcPr>
          <w:p w14:paraId="6B503EE3">
            <w:pPr>
              <w:keepNext/>
              <w:widowControl/>
              <w:snapToGrid w:val="0"/>
              <w:jc w:val="left"/>
              <w:rPr>
                <w:rFonts w:hint="eastAsia" w:ascii="宋体" w:hAnsi="宋体"/>
                <w:color w:val="000000"/>
                <w:kern w:val="0"/>
                <w:sz w:val="18"/>
                <w:szCs w:val="18"/>
              </w:rPr>
            </w:pPr>
            <w:r>
              <w:rPr>
                <w:rFonts w:hint="eastAsia" w:ascii="宋体" w:hAnsi="宋体"/>
                <w:color w:val="000000"/>
                <w:kern w:val="0"/>
                <w:sz w:val="18"/>
                <w:szCs w:val="18"/>
              </w:rPr>
              <w:t>审核人：</w:t>
            </w:r>
          </w:p>
        </w:tc>
        <w:tc>
          <w:tcPr>
            <w:tcW w:w="3542" w:type="dxa"/>
            <w:gridSpan w:val="4"/>
            <w:vAlign w:val="center"/>
          </w:tcPr>
          <w:p w14:paraId="008983EE">
            <w:pPr>
              <w:keepNext/>
              <w:widowControl/>
              <w:snapToGrid w:val="0"/>
              <w:jc w:val="left"/>
              <w:rPr>
                <w:rFonts w:hint="eastAsia" w:ascii="宋体" w:hAnsi="宋体"/>
                <w:color w:val="000000"/>
                <w:kern w:val="0"/>
                <w:sz w:val="18"/>
                <w:szCs w:val="18"/>
              </w:rPr>
            </w:pPr>
            <w:r>
              <w:rPr>
                <w:rFonts w:hint="eastAsia" w:ascii="宋体" w:hAnsi="宋体"/>
                <w:color w:val="000000"/>
                <w:kern w:val="0"/>
                <w:sz w:val="18"/>
                <w:szCs w:val="18"/>
              </w:rPr>
              <w:t>时间：</w:t>
            </w:r>
          </w:p>
        </w:tc>
      </w:tr>
      <w:tr w14:paraId="1D35F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0" w:hRule="atLeast"/>
        </w:trPr>
        <w:tc>
          <w:tcPr>
            <w:tcW w:w="1111" w:type="dxa"/>
            <w:vAlign w:val="center"/>
          </w:tcPr>
          <w:p w14:paraId="550951D9">
            <w:pPr>
              <w:keepNext/>
              <w:widowControl/>
              <w:snapToGrid w:val="0"/>
              <w:jc w:val="left"/>
              <w:rPr>
                <w:rFonts w:hint="eastAsia" w:ascii="宋体" w:hAnsi="宋体"/>
                <w:color w:val="000000"/>
                <w:kern w:val="0"/>
                <w:sz w:val="18"/>
                <w:szCs w:val="18"/>
              </w:rPr>
            </w:pPr>
          </w:p>
        </w:tc>
        <w:tc>
          <w:tcPr>
            <w:tcW w:w="13056" w:type="dxa"/>
            <w:gridSpan w:val="18"/>
            <w:vAlign w:val="center"/>
          </w:tcPr>
          <w:p w14:paraId="6195CC0B">
            <w:pPr>
              <w:keepNext/>
              <w:widowControl/>
              <w:snapToGrid w:val="0"/>
              <w:jc w:val="left"/>
              <w:rPr>
                <w:rFonts w:hint="eastAsia" w:ascii="宋体" w:hAnsi="宋体"/>
                <w:color w:val="000000"/>
                <w:kern w:val="0"/>
                <w:sz w:val="18"/>
                <w:szCs w:val="18"/>
              </w:rPr>
            </w:pPr>
            <w:r>
              <w:rPr>
                <w:rFonts w:hint="eastAsia" w:ascii="宋体" w:hAnsi="宋体"/>
                <w:color w:val="000000"/>
                <w:kern w:val="0"/>
                <w:sz w:val="18"/>
                <w:szCs w:val="18"/>
              </w:rPr>
              <w:t>注1：本表可用于基础调查、监测评估。</w:t>
            </w:r>
          </w:p>
          <w:p w14:paraId="4AC1B682">
            <w:pPr>
              <w:keepNext/>
              <w:widowControl/>
              <w:snapToGrid w:val="0"/>
              <w:jc w:val="left"/>
              <w:rPr>
                <w:rFonts w:hint="eastAsia" w:ascii="宋体" w:hAnsi="宋体"/>
                <w:color w:val="000000"/>
                <w:kern w:val="0"/>
                <w:sz w:val="18"/>
                <w:szCs w:val="18"/>
              </w:rPr>
            </w:pPr>
            <w:r>
              <w:rPr>
                <w:rFonts w:hint="eastAsia" w:ascii="宋体" w:hAnsi="宋体"/>
                <w:color w:val="000000"/>
                <w:kern w:val="0"/>
                <w:sz w:val="18"/>
                <w:szCs w:val="18"/>
              </w:rPr>
              <w:t>注2:山水林田湖草沙一体化生态保护与修复成效监测评估指标,是指通过整体性、系统性、综合性实施生态系统保护修复工程，区域生态系统功能提升的具体、量化表现。各地根据实际和工程建设内容,可以增减调查监测评估指标。</w:t>
            </w:r>
          </w:p>
          <w:p w14:paraId="04838461">
            <w:pPr>
              <w:keepNext/>
              <w:widowControl/>
              <w:snapToGrid w:val="0"/>
              <w:jc w:val="left"/>
              <w:rPr>
                <w:rFonts w:hint="eastAsia" w:ascii="宋体" w:hAnsi="宋体"/>
                <w:color w:val="000000"/>
                <w:kern w:val="0"/>
                <w:sz w:val="18"/>
                <w:szCs w:val="18"/>
              </w:rPr>
            </w:pPr>
            <w:r>
              <w:rPr>
                <w:rFonts w:hint="eastAsia" w:ascii="宋体" w:hAnsi="宋体"/>
                <w:color w:val="000000"/>
                <w:kern w:val="0"/>
                <w:sz w:val="18"/>
                <w:szCs w:val="18"/>
              </w:rPr>
              <w:t>注3:指标的“参照值”为参照生态系统或者现有国家、行业、地方标准规范或国家(地区)的相关要求。“基准值”为工程起始年份前至少两年的平均水平;“监测值”是根据需要在工程实施前一段时期、竣工验收时/后(包括后期管护期)的调查监测结果(根据需要可以增加监测频次和密度);“基期”是指工程实施起始年份;“基准值”“监测值”必须有出处,基于试验测定或实地调查。指标的“目标值”是实施方案和规划设计确定的约束性目标以及引导性目标。</w:t>
            </w:r>
          </w:p>
          <w:p w14:paraId="447A26F9">
            <w:pPr>
              <w:keepNext/>
              <w:widowControl/>
              <w:snapToGrid w:val="0"/>
              <w:jc w:val="left"/>
              <w:rPr>
                <w:rFonts w:hint="eastAsia" w:ascii="宋体" w:hAnsi="宋体"/>
                <w:color w:val="000000"/>
                <w:kern w:val="0"/>
                <w:sz w:val="18"/>
                <w:szCs w:val="18"/>
              </w:rPr>
            </w:pPr>
            <w:r>
              <w:rPr>
                <w:rFonts w:hint="eastAsia" w:ascii="宋体" w:hAnsi="宋体"/>
                <w:color w:val="000000"/>
                <w:kern w:val="0"/>
                <w:sz w:val="18"/>
                <w:szCs w:val="18"/>
              </w:rPr>
              <w:t>注4:子项目、生态保护修复单元、工程范围三个尺度的监测评估指标应分别根据三个尺度的评估内容与指标体系针对性选取。</w:t>
            </w:r>
          </w:p>
        </w:tc>
      </w:tr>
    </w:tbl>
    <w:p w14:paraId="3B8321C6">
      <w:pPr>
        <w:widowControl/>
        <w:jc w:val="center"/>
        <w:rPr>
          <w:rFonts w:ascii="黑体" w:eastAsia="黑体"/>
          <w:kern w:val="0"/>
          <w:szCs w:val="20"/>
        </w:rPr>
      </w:pPr>
      <w:r>
        <w:rPr>
          <w:rFonts w:ascii="黑体" w:eastAsia="黑体"/>
          <w:kern w:val="0"/>
          <w:szCs w:val="20"/>
        </w:rPr>
        <w:br w:type="textWrapping"/>
      </w:r>
    </w:p>
    <w:p w14:paraId="30B36CD1">
      <w:pPr>
        <w:widowControl/>
        <w:jc w:val="center"/>
        <w:rPr>
          <w:rFonts w:ascii="黑体" w:eastAsia="黑体"/>
          <w:kern w:val="0"/>
          <w:szCs w:val="20"/>
        </w:rPr>
        <w:sectPr>
          <w:pgSz w:w="16838" w:h="11906" w:orient="landscape"/>
          <w:pgMar w:top="1800" w:right="1440" w:bottom="1800" w:left="1440" w:header="851" w:footer="992" w:gutter="0"/>
          <w:cols w:space="425" w:num="1"/>
          <w:docGrid w:type="lines" w:linePitch="312" w:charSpace="0"/>
        </w:sectPr>
      </w:pPr>
    </w:p>
    <w:p w14:paraId="6E625721">
      <w:pPr>
        <w:widowControl/>
        <w:jc w:val="center"/>
        <w:rPr>
          <w:rFonts w:ascii="黑体" w:eastAsia="黑体"/>
          <w:kern w:val="0"/>
          <w:szCs w:val="20"/>
        </w:rPr>
      </w:pPr>
      <w:r>
        <w:rPr>
          <w:rFonts w:hint="eastAsia" w:ascii="黑体" w:eastAsia="黑体"/>
          <w:kern w:val="0"/>
          <w:szCs w:val="20"/>
        </w:rPr>
        <w:br w:type="page"/>
      </w:r>
    </w:p>
    <w:p w14:paraId="4DB57896">
      <w:pPr>
        <w:keepNext/>
        <w:widowControl/>
        <w:numPr>
          <w:ilvl w:val="0"/>
          <w:numId w:val="5"/>
        </w:numPr>
        <w:shd w:val="clear" w:color="FFFFFF" w:fill="FFFFFF"/>
        <w:spacing w:before="640" w:after="280"/>
        <w:jc w:val="center"/>
        <w:outlineLvl w:val="0"/>
        <w:rPr>
          <w:rFonts w:ascii="黑体" w:eastAsia="黑体"/>
          <w:kern w:val="0"/>
          <w:szCs w:val="20"/>
        </w:rPr>
      </w:pPr>
      <w:bookmarkStart w:id="231" w:name="_Toc13751"/>
      <w:r>
        <w:rPr>
          <w:rFonts w:ascii="黑体" w:eastAsia="黑体"/>
          <w:kern w:val="0"/>
          <w:szCs w:val="20"/>
        </w:rPr>
        <w:br w:type="textWrapping"/>
      </w:r>
      <w:r>
        <w:rPr>
          <w:rFonts w:hint="eastAsia" w:ascii="黑体" w:eastAsia="黑体"/>
          <w:kern w:val="0"/>
          <w:szCs w:val="20"/>
        </w:rPr>
        <w:t>（资料性）</w:t>
      </w:r>
      <w:r>
        <w:rPr>
          <w:rFonts w:ascii="黑体" w:eastAsia="黑体"/>
          <w:kern w:val="0"/>
          <w:szCs w:val="20"/>
        </w:rPr>
        <w:br w:type="textWrapping"/>
      </w:r>
      <w:r>
        <w:rPr>
          <w:rFonts w:hint="eastAsia" w:ascii="黑体" w:eastAsia="黑体"/>
          <w:kern w:val="0"/>
          <w:szCs w:val="20"/>
        </w:rPr>
        <w:t>山水林田湖草沙一体化生态保护与修复成效监测报告编写提纲</w:t>
      </w:r>
      <w:bookmarkEnd w:id="231"/>
    </w:p>
    <w:p w14:paraId="45DFE60A">
      <w:pPr>
        <w:widowControl/>
        <w:spacing w:line="480" w:lineRule="auto"/>
        <w:ind w:firstLine="420" w:firstLineChars="200"/>
        <w:rPr>
          <w:rFonts w:hint="eastAsia" w:ascii="宋体" w:hAnsi="宋体" w:eastAsia="黑体" w:cs="宋体"/>
          <w:color w:val="000000"/>
          <w:kern w:val="0"/>
          <w:szCs w:val="21"/>
        </w:rPr>
      </w:pPr>
      <w:r>
        <w:rPr>
          <w:rFonts w:hint="eastAsia" w:ascii="黑体" w:hAnsi="黑体" w:eastAsia="黑体"/>
          <w:color w:val="000000"/>
          <w:kern w:val="0"/>
          <w:szCs w:val="20"/>
        </w:rPr>
        <w:t>C.1 摘要</w:t>
      </w:r>
    </w:p>
    <w:p w14:paraId="3988D56A">
      <w:pPr>
        <w:widowControl/>
        <w:ind w:firstLine="420" w:firstLineChars="200"/>
        <w:rPr>
          <w:rFonts w:hint="eastAsia" w:ascii="宋体" w:hAnsi="宋体" w:cs="宋体"/>
          <w:color w:val="000000"/>
          <w:kern w:val="0"/>
          <w:szCs w:val="20"/>
        </w:rPr>
      </w:pPr>
      <w:r>
        <w:rPr>
          <w:rFonts w:hint="eastAsia" w:ascii="宋体" w:hAnsi="宋体" w:cs="宋体"/>
          <w:color w:val="000000"/>
          <w:kern w:val="0"/>
          <w:szCs w:val="20"/>
        </w:rPr>
        <w:t>简述一体化生态保护与修复成效监测的背景，包括项目基本情况、监测对象、原则、范围、内容与方法，描述监测结果。</w:t>
      </w:r>
    </w:p>
    <w:p w14:paraId="51701DCC">
      <w:pPr>
        <w:widowControl/>
        <w:spacing w:line="480" w:lineRule="auto"/>
        <w:ind w:firstLine="420" w:firstLineChars="200"/>
        <w:rPr>
          <w:rFonts w:hint="eastAsia" w:ascii="黑体" w:hAnsi="黑体" w:eastAsia="黑体"/>
          <w:color w:val="000000"/>
          <w:kern w:val="0"/>
          <w:szCs w:val="20"/>
        </w:rPr>
      </w:pPr>
      <w:r>
        <w:rPr>
          <w:rFonts w:hint="eastAsia" w:ascii="黑体" w:hAnsi="黑体" w:eastAsia="黑体"/>
          <w:color w:val="000000"/>
          <w:kern w:val="0"/>
          <w:szCs w:val="20"/>
        </w:rPr>
        <w:t>C.2 子项目尺度监测</w:t>
      </w:r>
    </w:p>
    <w:p w14:paraId="5533F03A">
      <w:pPr>
        <w:widowControl/>
        <w:ind w:firstLine="420" w:firstLineChars="200"/>
        <w:rPr>
          <w:rFonts w:hint="eastAsia" w:ascii="宋体" w:hAnsi="宋体" w:cs="宋体"/>
          <w:color w:val="000000"/>
          <w:kern w:val="0"/>
          <w:szCs w:val="20"/>
        </w:rPr>
      </w:pPr>
      <w:r>
        <w:rPr>
          <w:rFonts w:hint="eastAsia" w:ascii="宋体" w:hAnsi="宋体" w:cs="宋体"/>
          <w:color w:val="000000"/>
          <w:kern w:val="0"/>
          <w:szCs w:val="20"/>
        </w:rPr>
        <w:t>简述子项目尺度监测目标与内容。</w:t>
      </w:r>
    </w:p>
    <w:p w14:paraId="4493C819">
      <w:pPr>
        <w:widowControl/>
        <w:ind w:firstLine="420" w:firstLineChars="200"/>
        <w:rPr>
          <w:rFonts w:hint="eastAsia" w:ascii="宋体" w:hAnsi="宋体" w:cs="宋体"/>
          <w:color w:val="000000"/>
          <w:kern w:val="0"/>
          <w:szCs w:val="20"/>
        </w:rPr>
      </w:pPr>
      <w:r>
        <w:rPr>
          <w:rFonts w:hint="eastAsia" w:ascii="宋体" w:hAnsi="宋体" w:cs="宋体"/>
          <w:color w:val="000000"/>
          <w:kern w:val="0"/>
          <w:szCs w:val="20"/>
        </w:rPr>
        <w:t>简述子项目尺度成效监测指标体系及指标选取的依据、监测频次及确定的依据、监测指标测算方法、监测数据质量控制情况等。</w:t>
      </w:r>
    </w:p>
    <w:p w14:paraId="7470378D">
      <w:pPr>
        <w:widowControl/>
        <w:ind w:firstLine="420" w:firstLineChars="200"/>
        <w:rPr>
          <w:rFonts w:hint="eastAsia" w:ascii="宋体" w:hAnsi="宋体" w:cs="宋体"/>
          <w:color w:val="000000"/>
          <w:kern w:val="0"/>
          <w:szCs w:val="20"/>
        </w:rPr>
      </w:pPr>
      <w:r>
        <w:rPr>
          <w:rFonts w:hint="eastAsia" w:ascii="宋体" w:hAnsi="宋体" w:cs="宋体"/>
          <w:color w:val="000000"/>
          <w:kern w:val="0"/>
          <w:szCs w:val="20"/>
        </w:rPr>
        <w:t>结合定性与定量分析，对子项目尺度成效监测的指标数据进行初步的统计分析。</w:t>
      </w:r>
    </w:p>
    <w:p w14:paraId="10101F93">
      <w:pPr>
        <w:widowControl/>
        <w:spacing w:line="480" w:lineRule="auto"/>
        <w:ind w:firstLine="420" w:firstLineChars="200"/>
        <w:rPr>
          <w:rFonts w:hint="eastAsia" w:ascii="黑体" w:hAnsi="黑体" w:eastAsia="黑体"/>
          <w:color w:val="000000"/>
          <w:kern w:val="0"/>
          <w:szCs w:val="20"/>
        </w:rPr>
      </w:pPr>
      <w:r>
        <w:rPr>
          <w:rFonts w:hint="eastAsia" w:ascii="黑体" w:hAnsi="黑体" w:eastAsia="黑体"/>
          <w:color w:val="000000"/>
          <w:kern w:val="0"/>
          <w:szCs w:val="20"/>
        </w:rPr>
        <w:t>C.3 生态保护修复单元尺度监测</w:t>
      </w:r>
    </w:p>
    <w:p w14:paraId="55980DE9">
      <w:pPr>
        <w:widowControl/>
        <w:ind w:firstLine="420" w:firstLineChars="200"/>
        <w:rPr>
          <w:rFonts w:hint="eastAsia" w:ascii="宋体" w:hAnsi="宋体" w:cs="宋体"/>
          <w:color w:val="000000"/>
          <w:kern w:val="0"/>
          <w:szCs w:val="20"/>
        </w:rPr>
      </w:pPr>
      <w:r>
        <w:rPr>
          <w:rFonts w:hint="eastAsia" w:ascii="宋体" w:hAnsi="宋体" w:cs="宋体"/>
          <w:color w:val="000000"/>
          <w:kern w:val="0"/>
          <w:szCs w:val="20"/>
        </w:rPr>
        <w:t>简述生态保护修复单元尺度监测目标与内容。</w:t>
      </w:r>
    </w:p>
    <w:p w14:paraId="455A96BC">
      <w:pPr>
        <w:widowControl/>
        <w:ind w:firstLine="420" w:firstLineChars="200"/>
        <w:rPr>
          <w:rFonts w:hint="eastAsia" w:ascii="宋体" w:hAnsi="宋体" w:cs="宋体"/>
          <w:color w:val="000000"/>
          <w:kern w:val="0"/>
          <w:szCs w:val="20"/>
        </w:rPr>
      </w:pPr>
      <w:r>
        <w:rPr>
          <w:rFonts w:hint="eastAsia" w:ascii="宋体" w:hAnsi="宋体" w:cs="宋体"/>
          <w:color w:val="000000"/>
          <w:kern w:val="0"/>
          <w:szCs w:val="20"/>
        </w:rPr>
        <w:t>简述生态保护修复单元尺度成效监测指标体系及指标选取的依据、、监测指标测算方法、监测数据质量控制情况、监测频次及确定的依据等。</w:t>
      </w:r>
    </w:p>
    <w:p w14:paraId="3F558423">
      <w:pPr>
        <w:widowControl/>
        <w:ind w:firstLine="420" w:firstLineChars="200"/>
        <w:rPr>
          <w:rFonts w:hint="eastAsia" w:ascii="宋体" w:hAnsi="宋体" w:cs="宋体"/>
          <w:color w:val="000000"/>
          <w:kern w:val="0"/>
          <w:szCs w:val="20"/>
        </w:rPr>
      </w:pPr>
      <w:r>
        <w:rPr>
          <w:rFonts w:hint="eastAsia" w:ascii="宋体" w:hAnsi="宋体" w:cs="宋体"/>
          <w:color w:val="000000"/>
          <w:kern w:val="0"/>
          <w:szCs w:val="20"/>
        </w:rPr>
        <w:t>结合定性与定量分析，对生态保护修复单元尺度成效监测的指标数据进行初步的统计分析。</w:t>
      </w:r>
    </w:p>
    <w:p w14:paraId="4EBB0463">
      <w:pPr>
        <w:widowControl/>
        <w:spacing w:line="480" w:lineRule="auto"/>
        <w:ind w:firstLine="420" w:firstLineChars="200"/>
        <w:rPr>
          <w:rFonts w:hint="eastAsia" w:ascii="黑体" w:hAnsi="黑体" w:eastAsia="黑体"/>
          <w:color w:val="000000"/>
          <w:kern w:val="0"/>
          <w:szCs w:val="20"/>
        </w:rPr>
      </w:pPr>
      <w:r>
        <w:rPr>
          <w:rFonts w:hint="eastAsia" w:ascii="黑体" w:hAnsi="黑体" w:eastAsia="黑体"/>
          <w:color w:val="000000"/>
          <w:kern w:val="0"/>
          <w:szCs w:val="20"/>
        </w:rPr>
        <w:t>C.4 工程范围监测</w:t>
      </w:r>
    </w:p>
    <w:p w14:paraId="77A4235A">
      <w:pPr>
        <w:widowControl/>
        <w:ind w:firstLine="420" w:firstLineChars="200"/>
        <w:rPr>
          <w:rFonts w:hint="eastAsia" w:ascii="宋体" w:hAnsi="宋体" w:cs="宋体"/>
          <w:color w:val="000000"/>
          <w:kern w:val="0"/>
          <w:szCs w:val="20"/>
        </w:rPr>
      </w:pPr>
      <w:r>
        <w:rPr>
          <w:rFonts w:hint="eastAsia" w:ascii="宋体" w:hAnsi="宋体" w:cs="宋体"/>
          <w:color w:val="000000"/>
          <w:kern w:val="0"/>
          <w:szCs w:val="20"/>
        </w:rPr>
        <w:t>简述工程范围尺度监测目标与内容。</w:t>
      </w:r>
    </w:p>
    <w:p w14:paraId="6EED2848">
      <w:pPr>
        <w:widowControl/>
        <w:ind w:firstLine="420" w:firstLineChars="200"/>
        <w:rPr>
          <w:rFonts w:hint="eastAsia" w:ascii="宋体" w:hAnsi="宋体" w:cs="宋体"/>
          <w:color w:val="000000"/>
          <w:kern w:val="0"/>
          <w:szCs w:val="20"/>
        </w:rPr>
      </w:pPr>
      <w:r>
        <w:rPr>
          <w:rFonts w:hint="eastAsia" w:ascii="宋体" w:hAnsi="宋体" w:cs="宋体"/>
          <w:color w:val="000000"/>
          <w:kern w:val="0"/>
          <w:szCs w:val="20"/>
        </w:rPr>
        <w:t>简述工程范围尺度成效监测指标体系及指标选取的依据、、监测指标测算方法、监测数据质量控制情况、监测频次及确定的依据等。</w:t>
      </w:r>
    </w:p>
    <w:p w14:paraId="1B2F4446">
      <w:pPr>
        <w:widowControl/>
        <w:ind w:firstLine="420" w:firstLineChars="200"/>
        <w:rPr>
          <w:rFonts w:hint="eastAsia" w:ascii="宋体" w:hAnsi="宋体" w:cs="宋体"/>
          <w:color w:val="000000"/>
          <w:kern w:val="0"/>
          <w:szCs w:val="20"/>
        </w:rPr>
      </w:pPr>
      <w:r>
        <w:rPr>
          <w:rFonts w:hint="eastAsia" w:ascii="宋体" w:hAnsi="宋体" w:cs="宋体"/>
          <w:color w:val="000000"/>
          <w:kern w:val="0"/>
          <w:szCs w:val="20"/>
        </w:rPr>
        <w:t>结合定性与定量分析，对工程范围尺度成效监测的指标数据进行初步的统计分析。</w:t>
      </w:r>
    </w:p>
    <w:p w14:paraId="7F5AFD7A">
      <w:pPr>
        <w:widowControl/>
        <w:spacing w:line="480" w:lineRule="auto"/>
        <w:ind w:firstLine="420" w:firstLineChars="200"/>
        <w:rPr>
          <w:rFonts w:eastAsia="仿宋_GB2312"/>
          <w:color w:val="EE0000"/>
        </w:rPr>
      </w:pPr>
      <w:r>
        <w:rPr>
          <w:rFonts w:hint="eastAsia" w:ascii="黑体" w:hAnsi="黑体" w:eastAsia="黑体"/>
          <w:color w:val="000000"/>
          <w:kern w:val="0"/>
          <w:szCs w:val="20"/>
        </w:rPr>
        <w:t>C.5 综合分析与讨论</w:t>
      </w:r>
    </w:p>
    <w:p w14:paraId="60BB3F88">
      <w:pPr>
        <w:widowControl/>
        <w:ind w:firstLine="420" w:firstLineChars="200"/>
        <w:rPr>
          <w:rFonts w:hint="eastAsia" w:ascii="宋体" w:hAnsi="宋体" w:cs="宋体"/>
          <w:color w:val="000000"/>
          <w:kern w:val="0"/>
          <w:szCs w:val="20"/>
        </w:rPr>
      </w:pPr>
      <w:r>
        <w:rPr>
          <w:rFonts w:hint="eastAsia" w:ascii="宋体" w:hAnsi="宋体" w:cs="宋体"/>
          <w:color w:val="000000"/>
          <w:kern w:val="0"/>
          <w:szCs w:val="20"/>
        </w:rPr>
        <w:t>基于以上监测结果，分别从生态、社会、经济方面对生态保护修复成效进行分析，并采用耦合协调度模型等方法开展生态-社会-经济耦合分析。</w:t>
      </w:r>
    </w:p>
    <w:p w14:paraId="0A813B52">
      <w:pPr>
        <w:widowControl/>
        <w:spacing w:line="480" w:lineRule="auto"/>
        <w:ind w:firstLine="420" w:firstLineChars="200"/>
        <w:rPr>
          <w:rFonts w:hint="eastAsia" w:ascii="黑体" w:hAnsi="黑体" w:eastAsia="黑体"/>
          <w:color w:val="000000"/>
          <w:kern w:val="0"/>
          <w:szCs w:val="20"/>
        </w:rPr>
      </w:pPr>
      <w:r>
        <w:rPr>
          <w:rFonts w:hint="eastAsia" w:ascii="黑体" w:hAnsi="黑体" w:eastAsia="黑体"/>
          <w:color w:val="000000"/>
          <w:kern w:val="0"/>
          <w:szCs w:val="20"/>
        </w:rPr>
        <w:t>C.6 结论与建议</w:t>
      </w:r>
    </w:p>
    <w:p w14:paraId="1ACD7662">
      <w:pPr>
        <w:widowControl/>
        <w:ind w:firstLine="420" w:firstLineChars="200"/>
        <w:rPr>
          <w:rFonts w:hint="eastAsia" w:ascii="宋体" w:hAnsi="宋体" w:cs="宋体"/>
          <w:color w:val="000000"/>
          <w:kern w:val="0"/>
          <w:szCs w:val="20"/>
        </w:rPr>
      </w:pPr>
      <w:r>
        <w:rPr>
          <w:rFonts w:hint="eastAsia" w:ascii="宋体" w:hAnsi="宋体" w:cs="宋体"/>
          <w:color w:val="000000"/>
          <w:kern w:val="0"/>
          <w:szCs w:val="20"/>
        </w:rPr>
        <w:t>综合以上不同尺度的初步分析，阐述生态保护与修复成效监测总体情况，总结存在的问题及对一体化生态保护与修复成效监测的优化建议。</w:t>
      </w:r>
    </w:p>
    <w:p w14:paraId="57434CEA">
      <w:pPr>
        <w:widowControl/>
        <w:spacing w:line="480" w:lineRule="auto"/>
        <w:ind w:firstLine="420" w:firstLineChars="200"/>
        <w:rPr>
          <w:rFonts w:hint="eastAsia" w:ascii="黑体" w:hAnsi="黑体" w:eastAsia="黑体"/>
          <w:color w:val="000000"/>
          <w:kern w:val="0"/>
          <w:szCs w:val="20"/>
        </w:rPr>
      </w:pPr>
      <w:r>
        <w:rPr>
          <w:rFonts w:hint="eastAsia" w:ascii="黑体" w:hAnsi="黑体" w:eastAsia="黑体"/>
          <w:color w:val="000000"/>
          <w:kern w:val="0"/>
          <w:szCs w:val="20"/>
        </w:rPr>
        <w:t>C.7 附件</w:t>
      </w:r>
    </w:p>
    <w:p w14:paraId="4BEA9981">
      <w:pPr>
        <w:widowControl/>
        <w:ind w:firstLine="420" w:firstLineChars="200"/>
        <w:rPr>
          <w:rFonts w:hint="eastAsia" w:ascii="宋体" w:hAnsi="宋体" w:cs="宋体"/>
          <w:color w:val="000000"/>
          <w:kern w:val="0"/>
          <w:szCs w:val="20"/>
        </w:rPr>
      </w:pPr>
      <w:r>
        <w:rPr>
          <w:rFonts w:hint="eastAsia" w:ascii="宋体" w:hAnsi="宋体" w:cs="宋体"/>
          <w:color w:val="000000"/>
          <w:kern w:val="0"/>
          <w:szCs w:val="20"/>
        </w:rPr>
        <w:t>成效监测中通过资料收集、遥感解译、实地调查、采样测试、监测信息汇总等方式获得的原始数据及处理数据。</w:t>
      </w:r>
    </w:p>
    <w:p w14:paraId="020FC44E">
      <w:pPr>
        <w:widowControl/>
        <w:ind w:firstLine="420" w:firstLineChars="200"/>
        <w:rPr>
          <w:rFonts w:hint="eastAsia" w:ascii="宋体" w:hAnsi="宋体" w:cs="宋体"/>
          <w:color w:val="000000"/>
          <w:kern w:val="0"/>
          <w:szCs w:val="21"/>
        </w:rPr>
      </w:pPr>
    </w:p>
    <w:p w14:paraId="31EAA107">
      <w:pPr>
        <w:keepNext/>
        <w:pageBreakBefore/>
        <w:widowControl/>
        <w:shd w:val="clear" w:color="FFFFFF" w:fill="FFFFFF"/>
        <w:spacing w:before="640" w:after="200"/>
        <w:jc w:val="center"/>
        <w:outlineLvl w:val="0"/>
        <w:rPr>
          <w:rFonts w:ascii="黑体" w:eastAsia="黑体"/>
          <w:kern w:val="0"/>
          <w:szCs w:val="20"/>
        </w:rPr>
      </w:pPr>
      <w:bookmarkStart w:id="232" w:name="_Toc4048"/>
      <w:bookmarkStart w:id="233" w:name="_Toc12852"/>
      <w:bookmarkStart w:id="234" w:name="_Toc31297"/>
      <w:bookmarkStart w:id="235" w:name="_Toc450293168"/>
      <w:bookmarkStart w:id="236" w:name="BKCKWX"/>
      <w:r>
        <w:rPr>
          <w:rFonts w:hint="eastAsia" w:ascii="黑体" w:eastAsia="黑体"/>
          <w:kern w:val="0"/>
          <w:szCs w:val="20"/>
        </w:rPr>
        <w:t>参</w:t>
      </w:r>
      <w:r>
        <w:rPr>
          <w:rFonts w:ascii="黑体" w:hAnsi="黑体" w:eastAsia="黑体"/>
          <w:kern w:val="0"/>
          <w:szCs w:val="20"/>
        </w:rPr>
        <w:t> </w:t>
      </w:r>
      <w:r>
        <w:rPr>
          <w:rFonts w:hint="eastAsia" w:ascii="黑体" w:eastAsia="黑体"/>
          <w:kern w:val="0"/>
          <w:szCs w:val="20"/>
        </w:rPr>
        <w:t>考</w:t>
      </w:r>
      <w:r>
        <w:rPr>
          <w:rFonts w:ascii="黑体" w:hAnsi="黑体" w:eastAsia="黑体"/>
          <w:kern w:val="0"/>
          <w:szCs w:val="20"/>
        </w:rPr>
        <w:t> </w:t>
      </w:r>
      <w:r>
        <w:rPr>
          <w:rFonts w:hint="eastAsia" w:ascii="黑体" w:eastAsia="黑体"/>
          <w:kern w:val="0"/>
          <w:szCs w:val="20"/>
        </w:rPr>
        <w:t>文</w:t>
      </w:r>
      <w:r>
        <w:rPr>
          <w:rFonts w:ascii="黑体" w:hAnsi="黑体" w:eastAsia="黑体"/>
          <w:kern w:val="0"/>
          <w:szCs w:val="20"/>
        </w:rPr>
        <w:t> </w:t>
      </w:r>
      <w:r>
        <w:rPr>
          <w:rFonts w:hint="eastAsia" w:ascii="黑体" w:eastAsia="黑体"/>
          <w:kern w:val="0"/>
          <w:szCs w:val="20"/>
        </w:rPr>
        <w:t>献</w:t>
      </w:r>
      <w:bookmarkEnd w:id="232"/>
      <w:bookmarkEnd w:id="233"/>
      <w:bookmarkEnd w:id="234"/>
      <w:bookmarkEnd w:id="235"/>
      <w:bookmarkEnd w:id="236"/>
    </w:p>
    <w:p w14:paraId="11306855">
      <w:pPr>
        <w:widowControl/>
        <w:ind w:firstLine="420" w:firstLineChars="200"/>
        <w:rPr>
          <w:rFonts w:hint="eastAsia" w:ascii="宋体" w:hAnsi="宋体" w:cs="宋体"/>
          <w:color w:val="000000"/>
          <w:kern w:val="0"/>
          <w:szCs w:val="21"/>
        </w:rPr>
      </w:pPr>
      <w:r>
        <w:rPr>
          <w:rFonts w:hint="eastAsia" w:ascii="宋体" w:hAnsi="宋体" w:cs="宋体"/>
          <w:color w:val="000000"/>
          <w:kern w:val="0"/>
          <w:szCs w:val="21"/>
        </w:rPr>
        <w:t>中华人民共和国自然资源部，财政部，生态环境部。山水林田湖草生态保护修复工程指南 (试行)[Z]. 自然资办发〔2020〕38 号，2020.</w:t>
      </w:r>
    </w:p>
    <w:p w14:paraId="091F46BF">
      <w:pPr>
        <w:widowControl/>
        <w:ind w:firstLine="420" w:firstLineChars="200"/>
        <w:jc w:val="left"/>
        <w:rPr>
          <w:rFonts w:hint="eastAsia" w:ascii="宋体" w:hAnsi="宋体" w:cs="宋体"/>
          <w:color w:val="000000"/>
          <w:kern w:val="0"/>
          <w:szCs w:val="21"/>
        </w:rPr>
      </w:pPr>
      <w:r>
        <w:rPr>
          <w:rFonts w:hint="eastAsia" w:ascii="宋体" w:hAnsi="宋体" w:cs="宋体"/>
          <w:color w:val="000000"/>
          <w:kern w:val="0"/>
          <w:szCs w:val="21"/>
        </w:rPr>
        <w:t>杜韩初,王军,王金满,等.基于生态系统特性的生态修复效果评价研究进展[J/OL].2025,地质通报,1-15.</w:t>
      </w:r>
    </w:p>
    <w:p w14:paraId="0FE9B3E7">
      <w:pPr>
        <w:widowControl/>
        <w:ind w:firstLine="420" w:firstLineChars="200"/>
        <w:jc w:val="left"/>
        <w:rPr>
          <w:rFonts w:hint="eastAsia" w:ascii="宋体" w:hAnsi="宋体" w:cs="宋体"/>
          <w:color w:val="000000"/>
          <w:kern w:val="0"/>
          <w:szCs w:val="21"/>
        </w:rPr>
      </w:pPr>
      <w:r>
        <w:rPr>
          <w:rFonts w:hint="eastAsia" w:ascii="宋体" w:hAnsi="宋体" w:cs="宋体"/>
          <w:color w:val="000000"/>
          <w:kern w:val="0"/>
          <w:szCs w:val="21"/>
        </w:rPr>
        <w:t>张毅茜,冯晓明,王晓峰,等.重点脆弱生态区生态恢复的综合效益评估[J].生态学报,2019,39(20)：7367-7381.</w:t>
      </w:r>
    </w:p>
    <w:p w14:paraId="13A76655">
      <w:pPr>
        <w:widowControl/>
        <w:tabs>
          <w:tab w:val="center" w:pos="4201"/>
          <w:tab w:val="right" w:leader="dot" w:pos="9298"/>
        </w:tabs>
        <w:autoSpaceDE w:val="0"/>
        <w:autoSpaceDN w:val="0"/>
        <w:ind w:firstLine="420" w:firstLineChars="200"/>
        <w:rPr>
          <w:rFonts w:ascii="宋体"/>
          <w:kern w:val="0"/>
          <w:szCs w:val="20"/>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Arial">
    <w:panose1 w:val="020B0604020202020204"/>
    <w:charset w:val="00"/>
    <w:family w:val="swiss"/>
    <w:pitch w:val="default"/>
    <w:sig w:usb0="E0002EFF" w:usb1="C000785B" w:usb2="00000009" w:usb3="00000000" w:csb0="400001FF" w:csb1="FFFF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C86F9D">
    <w:pPr>
      <w:pStyle w:val="76"/>
    </w:pPr>
    <w:r>
      <w:fldChar w:fldCharType="begin"/>
    </w:r>
    <w:r>
      <w:instrText xml:space="preserve"> PAGE   \* MERGEFORMAT </w:instrText>
    </w:r>
    <w:r>
      <w:fldChar w:fldCharType="separate"/>
    </w:r>
    <w:r>
      <w:rPr>
        <w:lang w:val="zh-CN"/>
      </w:rPr>
      <w:t>II</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495F75">
    <w:pPr>
      <w:pStyle w:val="8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3817A0">
    <w:pPr>
      <w:pStyle w:val="82"/>
      <w:tabs>
        <w:tab w:val="left" w:pos="487"/>
        <w:tab w:val="right" w:pos="9277"/>
      </w:tabs>
      <w:jc w:val="left"/>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3515" cy="224155"/>
              <wp:effectExtent l="0" t="0" r="0" b="0"/>
              <wp:wrapNone/>
              <wp:docPr id="1374609352" name="Text Box 1"/>
              <wp:cNvGraphicFramePr/>
              <a:graphic xmlns:a="http://schemas.openxmlformats.org/drawingml/2006/main">
                <a:graphicData uri="http://schemas.microsoft.com/office/word/2010/wordprocessingShape">
                  <wps:wsp>
                    <wps:cNvSpPr txBox="1">
                      <a:spLocks noChangeArrowheads="1"/>
                    </wps:cNvSpPr>
                    <wps:spPr bwMode="auto">
                      <a:xfrm>
                        <a:off x="0" y="0"/>
                        <a:ext cx="183515" cy="224155"/>
                      </a:xfrm>
                      <a:prstGeom prst="rect">
                        <a:avLst/>
                      </a:prstGeom>
                      <a:noFill/>
                      <a:ln>
                        <a:noFill/>
                      </a:ln>
                    </wps:spPr>
                    <wps:txbx>
                      <w:txbxContent>
                        <w:p w14:paraId="1DF1D11D">
                          <w:pPr>
                            <w:pStyle w:val="82"/>
                          </w:pPr>
                          <w:r>
                            <w:fldChar w:fldCharType="begin"/>
                          </w:r>
                          <w:r>
                            <w:instrText xml:space="preserve"> PAGE   \* MERGEFORMAT </w:instrText>
                          </w:r>
                          <w:r>
                            <w:fldChar w:fldCharType="separate"/>
                          </w:r>
                          <w:r>
                            <w:rPr>
                              <w:lang w:val="zh-CN"/>
                            </w:rPr>
                            <w:t>5</w:t>
                          </w:r>
                          <w:r>
                            <w:fldChar w:fldCharType="end"/>
                          </w:r>
                        </w:p>
                      </w:txbxContent>
                    </wps:txbx>
                    <wps:bodyPr rot="0" vert="horz" wrap="none" lIns="0" tIns="0" rIns="0" bIns="0" anchor="t" anchorCtr="0" upright="1">
                      <a:spAutoFit/>
                    </wps:bodyPr>
                  </wps:wsp>
                </a:graphicData>
              </a:graphic>
            </wp:anchor>
          </w:drawing>
        </mc:Choice>
        <mc:Fallback>
          <w:pict>
            <v:shape id="Text Box 1" o:spid="_x0000_s1026" o:spt="202" type="#_x0000_t202" style="position:absolute;left:0pt;margin-top:0pt;height:17.65pt;width:14.45pt;mso-position-horizontal:outside;mso-position-horizontal-relative:margin;mso-wrap-style:none;z-index:251659264;mso-width-relative:page;mso-height-relative:page;" filled="f" stroked="f" coordsize="21600,21600" o:gfxdata="UEsDBAoAAAAAAIdO4kAAAAAAAAAAAAAAAAAEAAAAZHJzL1BLAwQUAAAACACHTuJAxgbMc9IAAAAD&#10;AQAADwAAAGRycy9kb3ducmV2LnhtbE2PwU7DMBBE70j8g7WVuFGnrYAQ4vRQiQs3CqrEbRtv46j2&#10;OrLdNPl7DBe4rDSa0czbejs5K0YKsfesYLUsQBC3XvfcKfj8eL0vQcSErNF6JgUzRdg2tzc1Vtpf&#10;+Z3GfepELuFYoQKT0lBJGVtDDuPSD8TZO/ngMGUZOqkDXnO5s3JdFI/SYc95weBAO0PteX9xCp6m&#10;g6ch0o6+TmMbTD+X9m1W6m6xKl5AJJrSXxh+8DM6NJnp6C+so7AK8iPp92ZvXT6DOCrYPGxANrX8&#10;z958A1BLAwQUAAAACACHTuJARAsWvAECAAAKBAAADgAAAGRycy9lMm9Eb2MueG1srVPLbtswELwX&#10;6D8QvNey5ThNBctBGsNFgfQBJP0AiqIsoiKXWNKW3K/vkrLcNL3k0AuxJHdnZ4fD9e1gOnZU6DXY&#10;ki9mc86UlVBruy/5j6fduxvOfBC2Fh1YVfKT8vx28/bNuneFyqGFrlbICMT6onclb0NwRZZ52Soj&#10;/AycsnTZABoRaIv7rEbRE7rpsnw+v856wNohSOU9nW7HS35GxNcAQtNoqbYgD0bZMKKi6kSgkXyr&#10;neebxLZplAzfmsarwLqS06QhrdSE4iqu2WYtij0K12p5piBeQ+HFTEZoS00vUFsRBDug/gfKaIng&#10;oQkzCSYbB0mK0BSL+QttHlvhVJqFpPbuIrr/f7Dy6/E7Ml2TE5bvr67nH5arnDMrDL38kxoC+wgD&#10;W0SZeucLyn50lB8GOqaSNLJ3DyB/embhvhV2r+4QoW+VqIlmqsyelY44PoJU/ReoqY04BEhAQ4Mm&#10;akiqMEKnJzpdnihSkbHlzXK1WHEm6SrPrxarVeSWiWIqdujDJwWGxaDkSA5I4OL44MOYOqXEXhZ2&#10;uuuSCzr71wFhxpNEPvIdmYehGs5iVFCfaAyE0VT0pShoAX9x1pOhSm7p/3DWfbYkRPTeFOAUVFMg&#10;rKTCkgfOxvA+jB49ONT7lnAnqe9IrJ1Og0RVRw5nlmSRJMXZztGDz/cp688X3vwG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xgbMc9IAAAADAQAADwAAAAAAAAABACAAAAAiAAAAZHJzL2Rvd25yZXYu&#10;eG1sUEsBAhQAFAAAAAgAh07iQEQLFrwBAgAACgQAAA4AAAAAAAAAAQAgAAAAIQEAAGRycy9lMm9E&#10;b2MueG1sUEsFBgAAAAAGAAYAWQEAAJQFAAAAAA==&#10;">
              <v:fill on="f" focussize="0,0"/>
              <v:stroke on="f"/>
              <v:imagedata o:title=""/>
              <o:lock v:ext="edit" aspectratio="f"/>
              <v:textbox inset="0mm,0mm,0mm,0mm" style="mso-fit-shape-to-text:t;">
                <w:txbxContent>
                  <w:p w14:paraId="1DF1D11D">
                    <w:pPr>
                      <w:pStyle w:val="82"/>
                    </w:pPr>
                    <w:r>
                      <w:fldChar w:fldCharType="begin"/>
                    </w:r>
                    <w:r>
                      <w:instrText xml:space="preserve"> PAGE   \* MERGEFORMAT </w:instrText>
                    </w:r>
                    <w:r>
                      <w:fldChar w:fldCharType="separate"/>
                    </w:r>
                    <w:r>
                      <w:rPr>
                        <w:lang w:val="zh-CN"/>
                      </w:rPr>
                      <w:t>5</w:t>
                    </w:r>
                    <w:r>
                      <w:fldChar w:fldCharType="end"/>
                    </w:r>
                  </w:p>
                </w:txbxContent>
              </v:textbox>
            </v:shape>
          </w:pict>
        </mc:Fallback>
      </mc:AlternateContent>
    </w:r>
    <w:r>
      <w:rPr>
        <w:rFonts w:hint="eastAsia"/>
      </w:rPr>
      <w:tab/>
    </w:r>
    <w:r>
      <w:rPr>
        <w:rFonts w:hint="eastAsia"/>
      </w:rPr>
      <w:tab/>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FFDC67">
    <w:pPr>
      <w:pStyle w:val="82"/>
    </w:pP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297815" cy="224155"/>
              <wp:effectExtent l="0" t="0" r="0" b="0"/>
              <wp:wrapNone/>
              <wp:docPr id="163065629" name="Text Box 2"/>
              <wp:cNvGraphicFramePr/>
              <a:graphic xmlns:a="http://schemas.openxmlformats.org/drawingml/2006/main">
                <a:graphicData uri="http://schemas.microsoft.com/office/word/2010/wordprocessingShape">
                  <wps:wsp>
                    <wps:cNvSpPr txBox="1">
                      <a:spLocks noChangeArrowheads="1"/>
                    </wps:cNvSpPr>
                    <wps:spPr bwMode="auto">
                      <a:xfrm>
                        <a:off x="0" y="0"/>
                        <a:ext cx="297815" cy="224155"/>
                      </a:xfrm>
                      <a:prstGeom prst="rect">
                        <a:avLst/>
                      </a:prstGeom>
                      <a:noFill/>
                      <a:ln>
                        <a:noFill/>
                      </a:ln>
                    </wps:spPr>
                    <wps:txbx>
                      <w:txbxContent>
                        <w:p w14:paraId="71EB915A">
                          <w:pPr>
                            <w:pStyle w:val="82"/>
                          </w:pPr>
                          <w:r>
                            <w:fldChar w:fldCharType="begin"/>
                          </w:r>
                          <w:r>
                            <w:instrText xml:space="preserve"> PAGE   \* MERGEFORMAT </w:instrText>
                          </w:r>
                          <w:r>
                            <w:fldChar w:fldCharType="separate"/>
                          </w:r>
                          <w:r>
                            <w:rPr>
                              <w:lang w:val="zh-CN"/>
                            </w:rPr>
                            <w:t>5</w:t>
                          </w:r>
                          <w:r>
                            <w:fldChar w:fldCharType="end"/>
                          </w:r>
                        </w:p>
                      </w:txbxContent>
                    </wps:txbx>
                    <wps:bodyPr rot="0" vert="horz" wrap="none" lIns="0" tIns="0" rIns="0" bIns="0" anchor="t" anchorCtr="0" upright="1">
                      <a:spAutoFit/>
                    </wps:bodyPr>
                  </wps:wsp>
                </a:graphicData>
              </a:graphic>
            </wp:anchor>
          </w:drawing>
        </mc:Choice>
        <mc:Fallback>
          <w:pict>
            <v:shape id="Text Box 2" o:spid="_x0000_s1026" o:spt="202" type="#_x0000_t202" style="position:absolute;left:0pt;margin-top:0pt;height:17.65pt;width:23.45pt;mso-position-horizontal:outside;mso-position-horizontal-relative:margin;mso-wrap-style:none;z-index:251660288;mso-width-relative:page;mso-height-relative:page;" filled="f" stroked="f" coordsize="21600,21600" o:gfxdata="UEsDBAoAAAAAAIdO4kAAAAAAAAAAAAAAAAAEAAAAZHJzL1BLAwQUAAAACACHTuJA+TC+6tIAAAAD&#10;AQAADwAAAGRycy9kb3ducmV2LnhtbE2PwU7DMBBE70j8g7VI3KhTCqWEOD1U4tIbparEbRtv4wh7&#10;Hdlumvx9DRe4rDSa0czbaj06KwYKsfOsYD4rQBA3XnfcKth/vj+sQMSErNF6JgUTRVjXtzcVltpf&#10;+IOGXWpFLuFYogKTUl9KGRtDDuPM98TZO/ngMGUZWqkDXnK5s/KxKJbSYcd5wWBPG0PN9+7sFLyM&#10;B099pA19nYYmmG5a2e2k1P3dvHgDkWhMf2H4wc/oUGemoz+zjsIqyI+k35u9p+UriKOCxfMCZF3J&#10;/+z1FVBLAwQUAAAACACHTuJAkQrOHgECAAAJBAAADgAAAGRycy9lMm9Eb2MueG1srVPBbtswDL0P&#10;2D8Iui9OvCVrjThF1yDDgK4b0O4DFFmOhVmiQCmxs68fJdtZ11162MWgKfLxvSdqfdOblp0Ueg22&#10;5IvZnDNlJVTaHkr+42n37oozH4StRAtWlfysPL/ZvH2z7lyhcmigrRQyArG+6FzJmxBckWVeNsoI&#10;PwOnLB3WgEYE+sVDVqHoCN20WT6fr7IOsHIIUnlP2e1wyEdEfA0g1LWWagvyaJQNAyqqVgSS5Bvt&#10;PN8ktnWtZPhW114F1paclIb0pSEU7+M326xFcUDhGi1HCuI1FF5oMkJbGnqB2oog2BH1P1BGSwQP&#10;dZhJMNkgJDlCKhbzF948NsKppIWs9u5iuv9/sPLh9B2ZrmgTVu/nq+Uqv+bMCkMX/6T6wD5Bz/Lo&#10;Uud8QcWPjspDT2nqSIq9uwf50zMLd42wB3WLCF2jREUsF7Eze9Y64PgIsu++QkVjxDFAAuprNNFC&#10;MoUROt3Q+XJDkYqkZH798Wqx5EzSUZ5/WCyXaYIopmaHPnxWYFgMSo60AAlcnO59iGREMZXEWRZ2&#10;um3TErT2rwQVxkwiH/kOzEO/70cz9lCdSQbCsFP0oihoAH9x1tE+ldzS8+Gs/WLJiLh6U4BTsJ8C&#10;YSU1ljxwNoR3YVjRo0N9aAh3svqWzNrpJCS6OnAYWdKGJH3jNscVfP6fqv684M1v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TC+6tIAAAADAQAADwAAAAAAAAABACAAAAAiAAAAZHJzL2Rvd25yZXYu&#10;eG1sUEsBAhQAFAAAAAgAh07iQJEKzh4BAgAACQQAAA4AAAAAAAAAAQAgAAAAIQEAAGRycy9lMm9E&#10;b2MueG1sUEsFBgAAAAAGAAYAWQEAAJQFAAAAAA==&#10;">
              <v:fill on="f" focussize="0,0"/>
              <v:stroke on="f"/>
              <v:imagedata o:title=""/>
              <o:lock v:ext="edit" aspectratio="f"/>
              <v:textbox inset="0mm,0mm,0mm,0mm" style="mso-fit-shape-to-text:t;">
                <w:txbxContent>
                  <w:p w14:paraId="71EB915A">
                    <w:pPr>
                      <w:pStyle w:val="82"/>
                    </w:pPr>
                    <w:r>
                      <w:fldChar w:fldCharType="begin"/>
                    </w:r>
                    <w:r>
                      <w:instrText xml:space="preserve"> PAGE   \* MERGEFORMAT </w:instrText>
                    </w:r>
                    <w:r>
                      <w:fldChar w:fldCharType="separate"/>
                    </w:r>
                    <w:r>
                      <w:rPr>
                        <w:lang w:val="zh-CN"/>
                      </w:rPr>
                      <w:t>5</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E79220">
    <w:pPr>
      <w:pStyle w:val="82"/>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34ACDB">
    <w:pPr>
      <w:pStyle w:val="82"/>
    </w:pPr>
    <w: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3515" cy="224155"/>
              <wp:effectExtent l="0" t="0" r="0" b="0"/>
              <wp:wrapNone/>
              <wp:docPr id="1249516750" name="Text Box 3"/>
              <wp:cNvGraphicFramePr/>
              <a:graphic xmlns:a="http://schemas.openxmlformats.org/drawingml/2006/main">
                <a:graphicData uri="http://schemas.microsoft.com/office/word/2010/wordprocessingShape">
                  <wps:wsp>
                    <wps:cNvSpPr txBox="1">
                      <a:spLocks noChangeArrowheads="1"/>
                    </wps:cNvSpPr>
                    <wps:spPr bwMode="auto">
                      <a:xfrm>
                        <a:off x="0" y="0"/>
                        <a:ext cx="183515" cy="224155"/>
                      </a:xfrm>
                      <a:prstGeom prst="rect">
                        <a:avLst/>
                      </a:prstGeom>
                      <a:noFill/>
                      <a:ln>
                        <a:noFill/>
                      </a:ln>
                    </wps:spPr>
                    <wps:txbx>
                      <w:txbxContent>
                        <w:p w14:paraId="6D40CDFC">
                          <w:pPr>
                            <w:pStyle w:val="82"/>
                          </w:pPr>
                          <w:r>
                            <w:fldChar w:fldCharType="begin"/>
                          </w:r>
                          <w:r>
                            <w:instrText xml:space="preserve"> PAGE   \* MERGEFORMAT </w:instrText>
                          </w:r>
                          <w:r>
                            <w:fldChar w:fldCharType="separate"/>
                          </w:r>
                          <w:r>
                            <w:rPr>
                              <w:lang w:val="zh-CN"/>
                            </w:rPr>
                            <w:t>5</w:t>
                          </w:r>
                          <w:r>
                            <w:fldChar w:fldCharType="end"/>
                          </w:r>
                        </w:p>
                      </w:txbxContent>
                    </wps:txbx>
                    <wps:bodyPr rot="0" vert="horz" wrap="none" lIns="0" tIns="0" rIns="0" bIns="0" anchor="t" anchorCtr="0" upright="1">
                      <a:spAutoFit/>
                    </wps:bodyPr>
                  </wps:wsp>
                </a:graphicData>
              </a:graphic>
            </wp:anchor>
          </w:drawing>
        </mc:Choice>
        <mc:Fallback>
          <w:pict>
            <v:shape id="Text Box 3" o:spid="_x0000_s1026" o:spt="202" type="#_x0000_t202" style="position:absolute;left:0pt;margin-top:0pt;height:17.65pt;width:14.45pt;mso-position-horizontal:outside;mso-position-horizontal-relative:margin;mso-wrap-style:none;z-index:251661312;mso-width-relative:page;mso-height-relative:page;" filled="f" stroked="f" coordsize="21600,21600" o:gfxdata="UEsDBAoAAAAAAIdO4kAAAAAAAAAAAAAAAAAEAAAAZHJzL1BLAwQUAAAACACHTuJAxgbMc9IAAAAD&#10;AQAADwAAAGRycy9kb3ducmV2LnhtbE2PwU7DMBBE70j8g7WVuFGnrYAQ4vRQiQs3CqrEbRtv46j2&#10;OrLdNPl7DBe4rDSa0czbejs5K0YKsfesYLUsQBC3XvfcKfj8eL0vQcSErNF6JgUzRdg2tzc1Vtpf&#10;+Z3GfepELuFYoQKT0lBJGVtDDuPSD8TZO/ngMGUZOqkDXnO5s3JdFI/SYc95weBAO0PteX9xCp6m&#10;g6ch0o6+TmMbTD+X9m1W6m6xKl5AJJrSXxh+8DM6NJnp6C+so7AK8iPp92ZvXT6DOCrYPGxANrX8&#10;z958A1BLAwQUAAAACACHTuJAdb/EtgECAAAKBAAADgAAAGRycy9lMm9Eb2MueG1srVPLbtswELwX&#10;6D8QvNeynChNBMtBGsNFgfQBJP0AmqIsoiKXWNKW3K/vkrLcJL3k0IuwIpezM8Ph8nYwHTso9Bps&#10;xfPZnDNlJdTa7ir+82nz4ZozH4StRQdWVfyoPL9dvX+37F2pFtBCVytkBGJ92buKtyG4Msu8bJUR&#10;fgZOWdpsAI0I9Iu7rEbRE7rpssV8fpX1gLVDkMp7Wl2Pm/yEiG8BhKbRUq1B7o2yYURF1YlAknyr&#10;neerxLZplAzfm8arwLqKk9KQvjSE6m38ZqulKHcoXKvliYJ4C4VXmozQloaeodYiCLZH/Q+U0RLB&#10;QxNmEkw2CkmOkIp8/sqbx1Y4lbSQ1d6dTff/D1Z+O/xApmtKwuLypsivPhZkjRWGbv5JDYF9goFd&#10;RJt650vqfnTUHwZapiNJsncPIH95ZuG+FXan7hChb5WoiWYeT2bPjo44PoJs+69Q0xixD5CAhgZN&#10;9JBcYYROPI7nK4pUZBx5fVHkBWeSthaLy7wo0gRRTocd+vBZgWGxqDhSAhK4ODz4EMmIcmqJsyxs&#10;dNelFHT2xQI1xpVEPvIdmYdhO5zM2EJ9JBkIY6joSVHRAv7mrKdAVdzS++Gs+2LJiJi9qcCp2E6F&#10;sJIOVjxwNpb3Yczo3qHetYQ7WX1HZm10EhJdHTmcWFJEkr5TnGMGn/+nrr9PePUH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xgbMc9IAAAADAQAADwAAAAAAAAABACAAAAAiAAAAZHJzL2Rvd25yZXYu&#10;eG1sUEsBAhQAFAAAAAgAh07iQHW/xLYBAgAACgQAAA4AAAAAAAAAAQAgAAAAIQEAAGRycy9lMm9E&#10;b2MueG1sUEsFBgAAAAAGAAYAWQEAAJQFAAAAAA==&#10;">
              <v:fill on="f" focussize="0,0"/>
              <v:stroke on="f"/>
              <v:imagedata o:title=""/>
              <o:lock v:ext="edit" aspectratio="f"/>
              <v:textbox inset="0mm,0mm,0mm,0mm" style="mso-fit-shape-to-text:t;">
                <w:txbxContent>
                  <w:p w14:paraId="6D40CDFC">
                    <w:pPr>
                      <w:pStyle w:val="82"/>
                    </w:pPr>
                    <w:r>
                      <w:fldChar w:fldCharType="begin"/>
                    </w:r>
                    <w:r>
                      <w:instrText xml:space="preserve"> PAGE   \* MERGEFORMAT </w:instrText>
                    </w:r>
                    <w:r>
                      <w:fldChar w:fldCharType="separate"/>
                    </w:r>
                    <w:r>
                      <w:rPr>
                        <w:lang w:val="zh-CN"/>
                      </w:rPr>
                      <w:t>5</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6EC6CA">
    <w:pPr>
      <w:pStyle w:val="26"/>
    </w:pPr>
    <w:r>
      <w:t>T/</w:t>
    </w:r>
    <w:r>
      <w:rPr>
        <w:rFonts w:hint="eastAsia"/>
      </w:rPr>
      <w:t>CAGHP XXX-XXXX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8980EB">
    <w:pPr>
      <w:pStyle w:val="73"/>
      <w:wordWrap w:val="0"/>
      <w:jc w:val="right"/>
    </w:pPr>
    <w:r>
      <w:rPr>
        <w:rFonts w:hint="eastAsia"/>
      </w:rPr>
      <w:t>T/CAGHPER XXX-XXXX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79102AD"/>
    <w:multiLevelType w:val="multilevel"/>
    <w:tmpl w:val="079102AD"/>
    <w:lvl w:ilvl="0" w:tentative="0">
      <w:start w:val="1"/>
      <w:numFmt w:val="decimal"/>
      <w:pStyle w:val="135"/>
      <w:suff w:val="nothing"/>
      <w:lvlText w:val="注%1："/>
      <w:lvlJc w:val="left"/>
      <w:pPr>
        <w:ind w:left="811" w:hanging="448"/>
      </w:pPr>
      <w:rPr>
        <w:rFonts w:hint="eastAsia" w:ascii="黑体" w:hAnsi="黑体" w:eastAsia="黑体"/>
        <w:b w:val="0"/>
        <w:i w:val="0"/>
        <w:sz w:val="18"/>
        <w:lang w:val="en-US"/>
      </w:rPr>
    </w:lvl>
    <w:lvl w:ilvl="1" w:tentative="0">
      <w:start w:val="1"/>
      <w:numFmt w:val="lowerLetter"/>
      <w:pStyle w:val="167"/>
      <w:lvlText w:val="%2)"/>
      <w:lvlJc w:val="left"/>
      <w:pPr>
        <w:tabs>
          <w:tab w:val="left" w:pos="0"/>
        </w:tabs>
        <w:ind w:left="992" w:hanging="629"/>
      </w:pPr>
      <w:rPr>
        <w:rFonts w:hint="eastAsia"/>
      </w:rPr>
    </w:lvl>
    <w:lvl w:ilvl="2" w:tentative="0">
      <w:start w:val="1"/>
      <w:numFmt w:val="lowerRoman"/>
      <w:pStyle w:val="163"/>
      <w:lvlText w:val="%3."/>
      <w:lvlJc w:val="right"/>
      <w:pPr>
        <w:tabs>
          <w:tab w:val="left" w:pos="0"/>
        </w:tabs>
        <w:ind w:left="992" w:hanging="629"/>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1">
    <w:nsid w:val="093C6778"/>
    <w:multiLevelType w:val="multilevel"/>
    <w:tmpl w:val="093C6778"/>
    <w:lvl w:ilvl="0" w:tentative="0">
      <w:start w:val="1"/>
      <w:numFmt w:val="decimal"/>
      <w:pStyle w:val="120"/>
      <w:suff w:val="nothing"/>
      <w:lvlText w:val="示例%1："/>
      <w:lvlJc w:val="left"/>
      <w:pPr>
        <w:ind w:left="0" w:firstLine="397"/>
      </w:pPr>
      <w:rPr>
        <w:rFonts w:hint="eastAsia" w:ascii="黑体" w:eastAsia="黑体"/>
        <w:sz w:val="18"/>
      </w:rPr>
    </w:lvl>
    <w:lvl w:ilvl="1" w:tentative="0">
      <w:start w:val="1"/>
      <w:numFmt w:val="lowerLetter"/>
      <w:pStyle w:val="124"/>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2">
    <w:nsid w:val="0AE367E9"/>
    <w:multiLevelType w:val="multilevel"/>
    <w:tmpl w:val="0AE367E9"/>
    <w:lvl w:ilvl="0" w:tentative="0">
      <w:start w:val="1"/>
      <w:numFmt w:val="none"/>
      <w:pStyle w:val="161"/>
      <w:suff w:val="nothing"/>
      <w:lvlText w:val="%1示例："/>
      <w:lvlJc w:val="left"/>
      <w:pPr>
        <w:ind w:left="0" w:firstLine="363"/>
      </w:pPr>
      <w:rPr>
        <w:rFonts w:hint="eastAsia" w:ascii="黑体" w:eastAsia="黑体"/>
        <w:b w:val="0"/>
        <w:i w:val="0"/>
        <w:sz w:val="18"/>
        <w:szCs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3">
    <w:nsid w:val="2A8F7113"/>
    <w:multiLevelType w:val="multilevel"/>
    <w:tmpl w:val="2A8F7113"/>
    <w:lvl w:ilvl="0" w:tentative="0">
      <w:start w:val="1"/>
      <w:numFmt w:val="upperLetter"/>
      <w:pStyle w:val="80"/>
      <w:suff w:val="space"/>
      <w:lvlText w:val="%1"/>
      <w:lvlJc w:val="left"/>
      <w:pPr>
        <w:ind w:left="623" w:hanging="425"/>
      </w:pPr>
      <w:rPr>
        <w:rFonts w:hint="eastAsia"/>
      </w:rPr>
    </w:lvl>
    <w:lvl w:ilvl="1" w:tentative="0">
      <w:start w:val="1"/>
      <w:numFmt w:val="decimal"/>
      <w:pStyle w:val="78"/>
      <w:suff w:val="nothing"/>
      <w:lvlText w:val="图%1.%2　"/>
      <w:lvlJc w:val="left"/>
      <w:pPr>
        <w:ind w:left="1190" w:hanging="567"/>
      </w:pPr>
      <w:rPr>
        <w:rFonts w:hint="eastAsia"/>
      </w:rPr>
    </w:lvl>
    <w:lvl w:ilvl="2" w:tentative="0">
      <w:start w:val="1"/>
      <w:numFmt w:val="decimal"/>
      <w:pStyle w:val="77"/>
      <w:lvlText w:val="%1.%2.%3"/>
      <w:lvlJc w:val="left"/>
      <w:pPr>
        <w:tabs>
          <w:tab w:val="left" w:pos="1616"/>
        </w:tabs>
        <w:ind w:left="1616" w:hanging="567"/>
      </w:pPr>
      <w:rPr>
        <w:rFonts w:hint="eastAsia"/>
      </w:rPr>
    </w:lvl>
    <w:lvl w:ilvl="3" w:tentative="0">
      <w:start w:val="1"/>
      <w:numFmt w:val="decimal"/>
      <w:pStyle w:val="114"/>
      <w:lvlText w:val="%1.%2.%3.%4"/>
      <w:lvlJc w:val="left"/>
      <w:pPr>
        <w:tabs>
          <w:tab w:val="left" w:pos="2914"/>
        </w:tabs>
        <w:ind w:left="2182" w:hanging="708"/>
      </w:pPr>
      <w:rPr>
        <w:rFonts w:hint="eastAsia"/>
      </w:rPr>
    </w:lvl>
    <w:lvl w:ilvl="4" w:tentative="0">
      <w:start w:val="1"/>
      <w:numFmt w:val="decimal"/>
      <w:pStyle w:val="113"/>
      <w:lvlText w:val="%1.%2.%3.%4.%5"/>
      <w:lvlJc w:val="left"/>
      <w:pPr>
        <w:tabs>
          <w:tab w:val="left" w:pos="3699"/>
        </w:tabs>
        <w:ind w:left="2749" w:hanging="850"/>
      </w:pPr>
      <w:rPr>
        <w:rFonts w:hint="eastAsia"/>
      </w:rPr>
    </w:lvl>
    <w:lvl w:ilvl="5" w:tentative="0">
      <w:start w:val="1"/>
      <w:numFmt w:val="decimal"/>
      <w:pStyle w:val="118"/>
      <w:lvlText w:val="%1.%2.%3.%4.%5.%6"/>
      <w:lvlJc w:val="left"/>
      <w:pPr>
        <w:tabs>
          <w:tab w:val="left" w:pos="4484"/>
        </w:tabs>
        <w:ind w:left="3458" w:hanging="1134"/>
      </w:pPr>
      <w:rPr>
        <w:rFonts w:hint="eastAsia"/>
      </w:rPr>
    </w:lvl>
    <w:lvl w:ilvl="6" w:tentative="0">
      <w:start w:val="1"/>
      <w:numFmt w:val="decimal"/>
      <w:lvlText w:val="%1.%2.%3.%4.%5.%6.%7"/>
      <w:lvlJc w:val="left"/>
      <w:pPr>
        <w:tabs>
          <w:tab w:val="left" w:pos="5269"/>
        </w:tabs>
        <w:ind w:left="4025" w:hanging="1276"/>
      </w:pPr>
      <w:rPr>
        <w:rFonts w:hint="eastAsia"/>
      </w:rPr>
    </w:lvl>
    <w:lvl w:ilvl="7" w:tentative="0">
      <w:start w:val="1"/>
      <w:numFmt w:val="decimal"/>
      <w:lvlText w:val="%1.%2.%3.%4.%5.%6.%7.%8"/>
      <w:lvlJc w:val="left"/>
      <w:pPr>
        <w:tabs>
          <w:tab w:val="left" w:pos="6054"/>
        </w:tabs>
        <w:ind w:left="4592" w:hanging="1418"/>
      </w:pPr>
      <w:rPr>
        <w:rFonts w:hint="eastAsia"/>
      </w:rPr>
    </w:lvl>
    <w:lvl w:ilvl="8" w:tentative="0">
      <w:start w:val="1"/>
      <w:numFmt w:val="decimal"/>
      <w:lvlText w:val="%1.%2.%3.%4.%5.%6.%7.%8.%9"/>
      <w:lvlJc w:val="left"/>
      <w:pPr>
        <w:tabs>
          <w:tab w:val="left" w:pos="6840"/>
        </w:tabs>
        <w:ind w:left="5300" w:hanging="1700"/>
      </w:pPr>
      <w:rPr>
        <w:rFonts w:hint="eastAsia"/>
      </w:rPr>
    </w:lvl>
  </w:abstractNum>
  <w:abstractNum w:abstractNumId="4">
    <w:nsid w:val="2C5917C3"/>
    <w:multiLevelType w:val="multilevel"/>
    <w:tmpl w:val="2C5917C3"/>
    <w:lvl w:ilvl="0" w:tentative="0">
      <w:start w:val="1"/>
      <w:numFmt w:val="none"/>
      <w:pStyle w:val="165"/>
      <w:suff w:val="nothing"/>
      <w:lvlText w:val="%1——"/>
      <w:lvlJc w:val="left"/>
      <w:pPr>
        <w:ind w:left="833" w:hanging="408"/>
      </w:pPr>
      <w:rPr>
        <w:rFonts w:hint="eastAsia"/>
      </w:rPr>
    </w:lvl>
    <w:lvl w:ilvl="1" w:tentative="0">
      <w:start w:val="1"/>
      <w:numFmt w:val="bullet"/>
      <w:lvlText w:val=""/>
      <w:lvlJc w:val="left"/>
      <w:pPr>
        <w:tabs>
          <w:tab w:val="left" w:pos="760"/>
        </w:tabs>
        <w:ind w:left="1264" w:hanging="413"/>
      </w:pPr>
      <w:rPr>
        <w:rFonts w:hint="default" w:ascii="Symbol" w:hAnsi="Symbol"/>
        <w:color w:val="auto"/>
      </w:rPr>
    </w:lvl>
    <w:lvl w:ilvl="2" w:tentative="0">
      <w:start w:val="1"/>
      <w:numFmt w:val="bullet"/>
      <w:lvlText w:val=""/>
      <w:lvlJc w:val="left"/>
      <w:pPr>
        <w:tabs>
          <w:tab w:val="left" w:pos="1678"/>
        </w:tabs>
        <w:ind w:left="1678" w:hanging="414"/>
      </w:pPr>
      <w:rPr>
        <w:rFonts w:hint="default" w:ascii="Symbol" w:hAnsi="Symbol"/>
        <w:color w:val="auto"/>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5">
    <w:nsid w:val="3D733618"/>
    <w:multiLevelType w:val="multilevel"/>
    <w:tmpl w:val="3D733618"/>
    <w:lvl w:ilvl="0" w:tentative="0">
      <w:start w:val="1"/>
      <w:numFmt w:val="decimal"/>
      <w:pStyle w:val="116"/>
      <w:lvlText w:val="%1)"/>
      <w:lvlJc w:val="left"/>
      <w:pPr>
        <w:tabs>
          <w:tab w:val="left" w:pos="0"/>
        </w:tabs>
        <w:ind w:left="720" w:hanging="357"/>
      </w:pPr>
      <w:rPr>
        <w:rFonts w:hint="eastAsia"/>
      </w:rPr>
    </w:lvl>
    <w:lvl w:ilvl="1" w:tentative="0">
      <w:start w:val="1"/>
      <w:numFmt w:val="lowerLetter"/>
      <w:lvlText w:val="%2)"/>
      <w:lvlJc w:val="left"/>
      <w:pPr>
        <w:tabs>
          <w:tab w:val="left" w:pos="504"/>
        </w:tabs>
        <w:ind w:left="544" w:hanging="544"/>
      </w:pPr>
      <w:rPr>
        <w:rFonts w:hint="eastAsia"/>
      </w:rPr>
    </w:lvl>
    <w:lvl w:ilvl="2" w:tentative="0">
      <w:start w:val="1"/>
      <w:numFmt w:val="lowerRoman"/>
      <w:lvlText w:val="%3."/>
      <w:lvlJc w:val="right"/>
      <w:pPr>
        <w:tabs>
          <w:tab w:val="left" w:pos="532"/>
        </w:tabs>
        <w:ind w:left="544" w:hanging="544"/>
      </w:pPr>
      <w:rPr>
        <w:rFonts w:hint="eastAsia"/>
      </w:rPr>
    </w:lvl>
    <w:lvl w:ilvl="3" w:tentative="0">
      <w:start w:val="1"/>
      <w:numFmt w:val="decimal"/>
      <w:lvlText w:val="%4."/>
      <w:lvlJc w:val="left"/>
      <w:pPr>
        <w:tabs>
          <w:tab w:val="left" w:pos="560"/>
        </w:tabs>
        <w:ind w:left="544" w:hanging="544"/>
      </w:pPr>
      <w:rPr>
        <w:rFonts w:hint="eastAsia"/>
      </w:rPr>
    </w:lvl>
    <w:lvl w:ilvl="4" w:tentative="0">
      <w:start w:val="1"/>
      <w:numFmt w:val="lowerLetter"/>
      <w:lvlText w:val="%5)"/>
      <w:lvlJc w:val="left"/>
      <w:pPr>
        <w:tabs>
          <w:tab w:val="left" w:pos="588"/>
        </w:tabs>
        <w:ind w:left="544" w:hanging="544"/>
      </w:pPr>
      <w:rPr>
        <w:rFonts w:hint="eastAsia"/>
      </w:rPr>
    </w:lvl>
    <w:lvl w:ilvl="5" w:tentative="0">
      <w:start w:val="1"/>
      <w:numFmt w:val="lowerRoman"/>
      <w:lvlText w:val="%6."/>
      <w:lvlJc w:val="right"/>
      <w:pPr>
        <w:tabs>
          <w:tab w:val="left" w:pos="616"/>
        </w:tabs>
        <w:ind w:left="544" w:hanging="544"/>
      </w:pPr>
      <w:rPr>
        <w:rFonts w:hint="eastAsia"/>
      </w:rPr>
    </w:lvl>
    <w:lvl w:ilvl="6" w:tentative="0">
      <w:start w:val="1"/>
      <w:numFmt w:val="decimal"/>
      <w:lvlText w:val="%7."/>
      <w:lvlJc w:val="left"/>
      <w:pPr>
        <w:tabs>
          <w:tab w:val="left" w:pos="644"/>
        </w:tabs>
        <w:ind w:left="544" w:hanging="544"/>
      </w:pPr>
      <w:rPr>
        <w:rFonts w:hint="eastAsia"/>
      </w:rPr>
    </w:lvl>
    <w:lvl w:ilvl="7" w:tentative="0">
      <w:start w:val="1"/>
      <w:numFmt w:val="lowerLetter"/>
      <w:lvlText w:val="%8)"/>
      <w:lvlJc w:val="left"/>
      <w:pPr>
        <w:tabs>
          <w:tab w:val="left" w:pos="672"/>
        </w:tabs>
        <w:ind w:left="544" w:hanging="544"/>
      </w:pPr>
      <w:rPr>
        <w:rFonts w:hint="eastAsia"/>
      </w:rPr>
    </w:lvl>
    <w:lvl w:ilvl="8" w:tentative="0">
      <w:start w:val="1"/>
      <w:numFmt w:val="lowerRoman"/>
      <w:lvlText w:val="%9."/>
      <w:lvlJc w:val="right"/>
      <w:pPr>
        <w:tabs>
          <w:tab w:val="left" w:pos="700"/>
        </w:tabs>
        <w:ind w:left="544" w:hanging="544"/>
      </w:pPr>
      <w:rPr>
        <w:rFonts w:hint="eastAsia"/>
      </w:rPr>
    </w:lvl>
  </w:abstractNum>
  <w:abstractNum w:abstractNumId="6">
    <w:nsid w:val="44C50F90"/>
    <w:multiLevelType w:val="multilevel"/>
    <w:tmpl w:val="44C50F90"/>
    <w:lvl w:ilvl="0" w:tentative="0">
      <w:start w:val="1"/>
      <w:numFmt w:val="lowerLetter"/>
      <w:pStyle w:val="138"/>
      <w:lvlText w:val="%1)"/>
      <w:lvlJc w:val="left"/>
      <w:pPr>
        <w:tabs>
          <w:tab w:val="left" w:pos="839"/>
        </w:tabs>
        <w:ind w:left="839" w:hanging="419"/>
      </w:pPr>
      <w:rPr>
        <w:rFonts w:hint="eastAsia" w:ascii="宋体" w:hAnsi="宋体" w:eastAsia="宋体"/>
        <w:b w:val="0"/>
        <w:i w:val="0"/>
        <w:sz w:val="20"/>
        <w:szCs w:val="21"/>
      </w:rPr>
    </w:lvl>
    <w:lvl w:ilvl="1" w:tentative="0">
      <w:start w:val="1"/>
      <w:numFmt w:val="decimal"/>
      <w:lvlText w:val="%2)"/>
      <w:lvlJc w:val="left"/>
      <w:pPr>
        <w:tabs>
          <w:tab w:val="left" w:pos="1259"/>
        </w:tabs>
        <w:ind w:left="1259" w:hanging="420"/>
      </w:pPr>
      <w:rPr>
        <w:rFonts w:hint="eastAsia" w:ascii="宋体" w:hAnsi="宋体" w:eastAsia="宋体"/>
        <w:b w:val="0"/>
        <w:i w:val="0"/>
        <w:sz w:val="20"/>
      </w:rPr>
    </w:lvl>
    <w:lvl w:ilvl="2" w:tentative="0">
      <w:start w:val="1"/>
      <w:numFmt w:val="decimal"/>
      <w:lvlText w:val="(%3)"/>
      <w:lvlJc w:val="left"/>
      <w:pPr>
        <w:tabs>
          <w:tab w:val="left" w:pos="0"/>
        </w:tabs>
        <w:ind w:left="1678" w:hanging="419"/>
      </w:pPr>
      <w:rPr>
        <w:rFonts w:hint="eastAsia" w:ascii="宋体" w:hAnsi="宋体" w:eastAsia="宋体"/>
        <w:b w:val="0"/>
        <w:i w:val="0"/>
        <w:sz w:val="20"/>
        <w:szCs w:val="21"/>
      </w:rPr>
    </w:lvl>
    <w:lvl w:ilvl="3" w:tentative="0">
      <w:start w:val="1"/>
      <w:numFmt w:val="decimal"/>
      <w:lvlText w:val="%4."/>
      <w:lvlJc w:val="left"/>
      <w:pPr>
        <w:tabs>
          <w:tab w:val="left" w:pos="2098"/>
        </w:tabs>
        <w:ind w:left="2098" w:hanging="420"/>
      </w:pPr>
      <w:rPr>
        <w:rFonts w:hint="eastAsia"/>
      </w:rPr>
    </w:lvl>
    <w:lvl w:ilvl="4" w:tentative="0">
      <w:start w:val="1"/>
      <w:numFmt w:val="lowerLetter"/>
      <w:lvlText w:val="%5)"/>
      <w:lvlJc w:val="left"/>
      <w:pPr>
        <w:tabs>
          <w:tab w:val="left" w:pos="2517"/>
        </w:tabs>
        <w:ind w:left="2517" w:hanging="419"/>
      </w:pPr>
      <w:rPr>
        <w:rFonts w:hint="eastAsia"/>
      </w:rPr>
    </w:lvl>
    <w:lvl w:ilvl="5" w:tentative="0">
      <w:start w:val="1"/>
      <w:numFmt w:val="lowerRoman"/>
      <w:lvlText w:val="%6."/>
      <w:lvlJc w:val="right"/>
      <w:pPr>
        <w:tabs>
          <w:tab w:val="left" w:pos="2942"/>
        </w:tabs>
        <w:ind w:left="2937" w:hanging="420"/>
      </w:pPr>
      <w:rPr>
        <w:rFonts w:hint="eastAsia"/>
      </w:rPr>
    </w:lvl>
    <w:lvl w:ilvl="6" w:tentative="0">
      <w:start w:val="1"/>
      <w:numFmt w:val="decimal"/>
      <w:lvlText w:val="%7."/>
      <w:lvlJc w:val="left"/>
      <w:pPr>
        <w:tabs>
          <w:tab w:val="left" w:pos="3362"/>
        </w:tabs>
        <w:ind w:left="3356" w:hanging="414"/>
      </w:pPr>
      <w:rPr>
        <w:rFonts w:hint="eastAsia"/>
      </w:rPr>
    </w:lvl>
    <w:lvl w:ilvl="7" w:tentative="0">
      <w:start w:val="1"/>
      <w:numFmt w:val="lowerLetter"/>
      <w:lvlText w:val="%8)"/>
      <w:lvlJc w:val="left"/>
      <w:pPr>
        <w:tabs>
          <w:tab w:val="left" w:pos="3781"/>
        </w:tabs>
        <w:ind w:left="3776" w:hanging="414"/>
      </w:pPr>
      <w:rPr>
        <w:rFonts w:hint="eastAsia"/>
      </w:rPr>
    </w:lvl>
    <w:lvl w:ilvl="8" w:tentative="0">
      <w:start w:val="1"/>
      <w:numFmt w:val="lowerRoman"/>
      <w:lvlText w:val="%9."/>
      <w:lvlJc w:val="right"/>
      <w:pPr>
        <w:tabs>
          <w:tab w:val="left" w:pos="4201"/>
        </w:tabs>
        <w:ind w:left="4201" w:hanging="420"/>
      </w:pPr>
      <w:rPr>
        <w:rFonts w:hint="eastAsia"/>
      </w:rPr>
    </w:lvl>
  </w:abstractNum>
  <w:abstractNum w:abstractNumId="7">
    <w:nsid w:val="4B733A5F"/>
    <w:multiLevelType w:val="multilevel"/>
    <w:tmpl w:val="4B733A5F"/>
    <w:lvl w:ilvl="0" w:tentative="0">
      <w:start w:val="1"/>
      <w:numFmt w:val="decimal"/>
      <w:pStyle w:val="129"/>
      <w:suff w:val="nothing"/>
      <w:lvlText w:val="示例%1："/>
      <w:lvlJc w:val="left"/>
      <w:pPr>
        <w:ind w:left="0" w:firstLine="363"/>
      </w:pPr>
      <w:rPr>
        <w:rFonts w:hint="eastAsia" w:ascii="黑体" w:hAnsi="Times New Roman" w:eastAsia="黑体"/>
        <w:b w:val="0"/>
        <w:i w:val="0"/>
        <w:sz w:val="18"/>
        <w:szCs w:val="18"/>
        <w:vertAlign w:val="baseline"/>
      </w:rPr>
    </w:lvl>
    <w:lvl w:ilvl="1" w:tentative="0">
      <w:start w:val="1"/>
      <w:numFmt w:val="none"/>
      <w:suff w:val="space"/>
      <w:lvlText w:val=""/>
      <w:lvlJc w:val="left"/>
      <w:pPr>
        <w:ind w:left="0" w:firstLine="0"/>
      </w:pPr>
      <w:rPr>
        <w:rFonts w:hint="eastAsia"/>
        <w:vertAlign w:val="baseline"/>
      </w:rPr>
    </w:lvl>
    <w:lvl w:ilvl="2" w:tentative="0">
      <w:start w:val="1"/>
      <w:numFmt w:val="decimal"/>
      <w:suff w:val="space"/>
      <w:lvlText w:val="2.2.%3"/>
      <w:lvlJc w:val="left"/>
      <w:pPr>
        <w:ind w:left="0" w:firstLine="0"/>
      </w:pPr>
      <w:rPr>
        <w:rFonts w:hint="eastAsia"/>
        <w:vertAlign w:val="baseline"/>
      </w:rPr>
    </w:lvl>
    <w:lvl w:ilvl="3" w:tentative="0">
      <w:start w:val="1"/>
      <w:numFmt w:val="decimal"/>
      <w:lvlText w:val="%4."/>
      <w:lvlJc w:val="left"/>
      <w:pPr>
        <w:tabs>
          <w:tab w:val="left" w:pos="0"/>
        </w:tabs>
        <w:ind w:left="992" w:hanging="629"/>
      </w:pPr>
      <w:rPr>
        <w:rFonts w:hint="eastAsia"/>
        <w:vertAlign w:val="baseline"/>
      </w:rPr>
    </w:lvl>
    <w:lvl w:ilvl="4" w:tentative="0">
      <w:start w:val="1"/>
      <w:numFmt w:val="lowerLetter"/>
      <w:lvlText w:val="%5)"/>
      <w:lvlJc w:val="left"/>
      <w:pPr>
        <w:tabs>
          <w:tab w:val="left" w:pos="0"/>
        </w:tabs>
        <w:ind w:left="992" w:hanging="629"/>
      </w:pPr>
      <w:rPr>
        <w:rFonts w:hint="eastAsia"/>
        <w:vertAlign w:val="baseline"/>
      </w:rPr>
    </w:lvl>
    <w:lvl w:ilvl="5" w:tentative="0">
      <w:start w:val="1"/>
      <w:numFmt w:val="lowerRoman"/>
      <w:lvlText w:val="%6."/>
      <w:lvlJc w:val="right"/>
      <w:pPr>
        <w:tabs>
          <w:tab w:val="left" w:pos="0"/>
        </w:tabs>
        <w:ind w:left="992" w:hanging="629"/>
      </w:pPr>
      <w:rPr>
        <w:rFonts w:hint="eastAsia"/>
        <w:vertAlign w:val="baseline"/>
      </w:rPr>
    </w:lvl>
    <w:lvl w:ilvl="6" w:tentative="0">
      <w:start w:val="1"/>
      <w:numFmt w:val="decimal"/>
      <w:lvlText w:val="%7."/>
      <w:lvlJc w:val="left"/>
      <w:pPr>
        <w:tabs>
          <w:tab w:val="left" w:pos="0"/>
        </w:tabs>
        <w:ind w:left="992" w:hanging="629"/>
      </w:pPr>
      <w:rPr>
        <w:rFonts w:hint="eastAsia"/>
        <w:vertAlign w:val="baseline"/>
      </w:rPr>
    </w:lvl>
    <w:lvl w:ilvl="7" w:tentative="0">
      <w:start w:val="1"/>
      <w:numFmt w:val="lowerLetter"/>
      <w:lvlText w:val="%8)"/>
      <w:lvlJc w:val="left"/>
      <w:pPr>
        <w:tabs>
          <w:tab w:val="left" w:pos="0"/>
        </w:tabs>
        <w:ind w:left="992" w:hanging="629"/>
      </w:pPr>
      <w:rPr>
        <w:rFonts w:hint="eastAsia"/>
        <w:vertAlign w:val="baseline"/>
      </w:rPr>
    </w:lvl>
    <w:lvl w:ilvl="8" w:tentative="0">
      <w:start w:val="1"/>
      <w:numFmt w:val="lowerRoman"/>
      <w:lvlText w:val="%9."/>
      <w:lvlJc w:val="right"/>
      <w:pPr>
        <w:tabs>
          <w:tab w:val="left" w:pos="0"/>
        </w:tabs>
        <w:ind w:left="992" w:hanging="629"/>
      </w:pPr>
      <w:rPr>
        <w:rFonts w:hint="eastAsia"/>
        <w:vertAlign w:val="baseline"/>
      </w:rPr>
    </w:lvl>
  </w:abstractNum>
  <w:abstractNum w:abstractNumId="8">
    <w:nsid w:val="557C2AF5"/>
    <w:multiLevelType w:val="multilevel"/>
    <w:tmpl w:val="557C2AF5"/>
    <w:lvl w:ilvl="0" w:tentative="0">
      <w:start w:val="1"/>
      <w:numFmt w:val="decimal"/>
      <w:pStyle w:val="137"/>
      <w:suff w:val="nothing"/>
      <w:lvlText w:val="图%1　"/>
      <w:lvlJc w:val="left"/>
      <w:pPr>
        <w:ind w:left="0" w:firstLine="0"/>
      </w:pPr>
      <w:rPr>
        <w:rFonts w:hint="eastAsia" w:ascii="黑体" w:hAnsi="Times New Roman" w:eastAsia="黑体"/>
        <w:b w:val="0"/>
        <w:i w:val="0"/>
        <w:sz w:val="21"/>
      </w:rPr>
    </w:lvl>
    <w:lvl w:ilvl="1" w:tentative="0">
      <w:start w:val="1"/>
      <w:numFmt w:val="decimal"/>
      <w:suff w:val="nothing"/>
      <w:lvlText w:val="%1%2　"/>
      <w:lvlJc w:val="left"/>
      <w:pPr>
        <w:ind w:left="0" w:firstLine="0"/>
      </w:pPr>
      <w:rPr>
        <w:rFonts w:hint="default" w:ascii="Times New Roman" w:hAnsi="Times New Roman" w:eastAsia="黑体"/>
        <w:b w:val="0"/>
        <w:i w:val="0"/>
        <w:sz w:val="21"/>
      </w:rPr>
    </w:lvl>
    <w:lvl w:ilvl="2" w:tentative="0">
      <w:start w:val="1"/>
      <w:numFmt w:val="decimal"/>
      <w:suff w:val="nothing"/>
      <w:lvlText w:val="%1%2.%3　"/>
      <w:lvlJc w:val="left"/>
      <w:pPr>
        <w:ind w:left="0" w:firstLine="0"/>
      </w:pPr>
      <w:rPr>
        <w:rFonts w:hint="default" w:ascii="Times New Roman" w:hAnsi="Times New Roman" w:eastAsia="黑体"/>
        <w:b w:val="0"/>
        <w:i w:val="0"/>
        <w:sz w:val="21"/>
      </w:rPr>
    </w:lvl>
    <w:lvl w:ilvl="3" w:tentative="0">
      <w:start w:val="1"/>
      <w:numFmt w:val="decimal"/>
      <w:suff w:val="nothing"/>
      <w:lvlText w:val="%1%2.%3.%4　"/>
      <w:lvlJc w:val="left"/>
      <w:pPr>
        <w:ind w:left="0" w:firstLine="0"/>
      </w:pPr>
      <w:rPr>
        <w:rFonts w:hint="default" w:ascii="Times New Roman" w:hAnsi="Times New Roman" w:eastAsia="黑体"/>
        <w:b w:val="0"/>
        <w:i w:val="0"/>
        <w:sz w:val="21"/>
      </w:rPr>
    </w:lvl>
    <w:lvl w:ilvl="4" w:tentative="0">
      <w:start w:val="1"/>
      <w:numFmt w:val="decimal"/>
      <w:suff w:val="nothing"/>
      <w:lvlText w:val="%1%2.%3.%4.%5　"/>
      <w:lvlJc w:val="left"/>
      <w:pPr>
        <w:ind w:left="0" w:firstLine="0"/>
      </w:pPr>
      <w:rPr>
        <w:rFonts w:hint="default" w:ascii="Times New Roman" w:hAnsi="Times New Roman" w:eastAsia="黑体"/>
        <w:b w:val="0"/>
        <w:i w:val="0"/>
        <w:sz w:val="21"/>
      </w:rPr>
    </w:lvl>
    <w:lvl w:ilvl="5" w:tentative="0">
      <w:start w:val="1"/>
      <w:numFmt w:val="decimal"/>
      <w:suff w:val="nothing"/>
      <w:lvlText w:val="%1%2.%3.%4.%5.%6　"/>
      <w:lvlJc w:val="left"/>
      <w:pPr>
        <w:ind w:left="0" w:firstLine="0"/>
      </w:pPr>
      <w:rPr>
        <w:rFonts w:hint="default" w:ascii="Times New Roman" w:hAnsi="Times New Roman" w:eastAsia="黑体"/>
        <w:b w:val="0"/>
        <w:i w:val="0"/>
        <w:sz w:val="21"/>
      </w:rPr>
    </w:lvl>
    <w:lvl w:ilvl="6" w:tentative="0">
      <w:start w:val="1"/>
      <w:numFmt w:val="decimal"/>
      <w:suff w:val="nothing"/>
      <w:lvlText w:val="%1%2.%3.%4.%5.%6.%7　"/>
      <w:lvlJc w:val="left"/>
      <w:pPr>
        <w:ind w:left="0" w:firstLine="0"/>
      </w:pPr>
      <w:rPr>
        <w:rFonts w:hint="default" w:ascii="Times New Roman"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9">
    <w:nsid w:val="5DA017E9"/>
    <w:multiLevelType w:val="multilevel"/>
    <w:tmpl w:val="5DA017E9"/>
    <w:lvl w:ilvl="0" w:tentative="0">
      <w:start w:val="1"/>
      <w:numFmt w:val="decimal"/>
      <w:pStyle w:val="32"/>
      <w:suff w:val="nothing"/>
      <w:lvlText w:val="%1　"/>
      <w:lvlJc w:val="left"/>
      <w:pPr>
        <w:ind w:left="0" w:firstLine="0"/>
      </w:pPr>
      <w:rPr>
        <w:rFonts w:hint="eastAsia" w:ascii="黑体" w:hAnsi="Times New Roman" w:eastAsia="黑体"/>
        <w:b w:val="0"/>
        <w:i w:val="0"/>
        <w:sz w:val="21"/>
        <w:szCs w:val="21"/>
      </w:rPr>
    </w:lvl>
    <w:lvl w:ilvl="1" w:tentative="0">
      <w:start w:val="1"/>
      <w:numFmt w:val="decimal"/>
      <w:suff w:val="nothing"/>
      <w:lvlText w:val="%1.%2　"/>
      <w:lvlJc w:val="left"/>
      <w:pPr>
        <w:ind w:left="20" w:hanging="18"/>
      </w:pPr>
      <w:rPr>
        <w:rFonts w:hint="eastAsia" w:ascii="黑体" w:hAnsi="Times New Roman" w:eastAsia="黑体" w:cs="Times New Roman"/>
        <w:b w:val="0"/>
        <w:bCs w:val="0"/>
        <w:i w:val="0"/>
        <w:iCs w:val="0"/>
        <w:caps w:val="0"/>
        <w:strike w:val="0"/>
        <w:dstrike w:val="0"/>
        <w:vanish w:val="0"/>
        <w:color w:val="000000"/>
        <w:spacing w:val="0"/>
        <w:kern w:val="0"/>
        <w:position w:val="0"/>
        <w:sz w:val="21"/>
        <w:szCs w:val="21"/>
        <w:u w:val="none"/>
        <w:vertAlign w:val="baseline"/>
        <w14:shadow w14:blurRad="0" w14:dist="0" w14:dir="0" w14:sx="0" w14:sy="0" w14:kx="0" w14:ky="0" w14:algn="none">
          <w14:srgbClr w14:val="000000"/>
        </w14:shadow>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10">
    <w:nsid w:val="60B55DC2"/>
    <w:multiLevelType w:val="multilevel"/>
    <w:tmpl w:val="60B55DC2"/>
    <w:lvl w:ilvl="0" w:tentative="0">
      <w:start w:val="1"/>
      <w:numFmt w:val="upperLetter"/>
      <w:pStyle w:val="130"/>
      <w:lvlText w:val="%1"/>
      <w:lvlJc w:val="left"/>
      <w:pPr>
        <w:tabs>
          <w:tab w:val="left" w:pos="0"/>
        </w:tabs>
        <w:ind w:left="0" w:hanging="425"/>
      </w:pPr>
      <w:rPr>
        <w:rFonts w:hint="eastAsia"/>
      </w:rPr>
    </w:lvl>
    <w:lvl w:ilvl="1" w:tentative="0">
      <w:start w:val="1"/>
      <w:numFmt w:val="decimal"/>
      <w:suff w:val="nothing"/>
      <w:lvlText w:val="表%1.%2　"/>
      <w:lvlJc w:val="left"/>
      <w:pPr>
        <w:ind w:left="567" w:hanging="567"/>
      </w:pPr>
      <w:rPr>
        <w:rFonts w:hint="eastAsia"/>
      </w:rPr>
    </w:lvl>
    <w:lvl w:ilvl="2" w:tentative="0">
      <w:start w:val="1"/>
      <w:numFmt w:val="decimal"/>
      <w:lvlText w:val="%1.%2.%3"/>
      <w:lvlJc w:val="left"/>
      <w:pPr>
        <w:tabs>
          <w:tab w:val="left" w:pos="993"/>
        </w:tabs>
        <w:ind w:left="993" w:hanging="567"/>
      </w:pPr>
      <w:rPr>
        <w:rFonts w:hint="eastAsia"/>
      </w:rPr>
    </w:lvl>
    <w:lvl w:ilvl="3" w:tentative="0">
      <w:start w:val="1"/>
      <w:numFmt w:val="decimal"/>
      <w:lvlText w:val="%1.%2.%3.%4"/>
      <w:lvlJc w:val="left"/>
      <w:pPr>
        <w:tabs>
          <w:tab w:val="left" w:pos="2291"/>
        </w:tabs>
        <w:ind w:left="1559" w:hanging="708"/>
      </w:pPr>
      <w:rPr>
        <w:rFonts w:hint="eastAsia"/>
      </w:rPr>
    </w:lvl>
    <w:lvl w:ilvl="4" w:tentative="0">
      <w:start w:val="1"/>
      <w:numFmt w:val="decimal"/>
      <w:lvlText w:val="%1.%2.%3.%4.%5"/>
      <w:lvlJc w:val="left"/>
      <w:pPr>
        <w:tabs>
          <w:tab w:val="left" w:pos="3076"/>
        </w:tabs>
        <w:ind w:left="2126" w:hanging="850"/>
      </w:pPr>
      <w:rPr>
        <w:rFonts w:hint="eastAsia"/>
      </w:rPr>
    </w:lvl>
    <w:lvl w:ilvl="5" w:tentative="0">
      <w:start w:val="1"/>
      <w:numFmt w:val="decimal"/>
      <w:lvlText w:val="%1.%2.%3.%4.%5.%6"/>
      <w:lvlJc w:val="left"/>
      <w:pPr>
        <w:tabs>
          <w:tab w:val="left" w:pos="3861"/>
        </w:tabs>
        <w:ind w:left="2835" w:hanging="1134"/>
      </w:pPr>
      <w:rPr>
        <w:rFonts w:hint="eastAsia"/>
      </w:rPr>
    </w:lvl>
    <w:lvl w:ilvl="6" w:tentative="0">
      <w:start w:val="1"/>
      <w:numFmt w:val="decimal"/>
      <w:lvlText w:val="%1.%2.%3.%4.%5.%6.%7"/>
      <w:lvlJc w:val="left"/>
      <w:pPr>
        <w:tabs>
          <w:tab w:val="left" w:pos="4646"/>
        </w:tabs>
        <w:ind w:left="3402" w:hanging="1276"/>
      </w:pPr>
      <w:rPr>
        <w:rFonts w:hint="eastAsia"/>
      </w:rPr>
    </w:lvl>
    <w:lvl w:ilvl="7" w:tentative="0">
      <w:start w:val="1"/>
      <w:numFmt w:val="decimal"/>
      <w:lvlText w:val="%1.%2.%3.%4.%5.%6.%7.%8"/>
      <w:lvlJc w:val="left"/>
      <w:pPr>
        <w:tabs>
          <w:tab w:val="left" w:pos="5431"/>
        </w:tabs>
        <w:ind w:left="3969" w:hanging="1418"/>
      </w:pPr>
      <w:rPr>
        <w:rFonts w:hint="eastAsia"/>
      </w:rPr>
    </w:lvl>
    <w:lvl w:ilvl="8" w:tentative="0">
      <w:start w:val="1"/>
      <w:numFmt w:val="decimal"/>
      <w:lvlText w:val="%1.%2.%3.%4.%5.%6.%7.%8.%9"/>
      <w:lvlJc w:val="left"/>
      <w:pPr>
        <w:tabs>
          <w:tab w:val="left" w:pos="6217"/>
        </w:tabs>
        <w:ind w:left="4677" w:hanging="1700"/>
      </w:pPr>
      <w:rPr>
        <w:rFonts w:hint="eastAsia"/>
      </w:rPr>
    </w:lvl>
  </w:abstractNum>
  <w:abstractNum w:abstractNumId="11">
    <w:nsid w:val="646260FA"/>
    <w:multiLevelType w:val="multilevel"/>
    <w:tmpl w:val="646260FA"/>
    <w:lvl w:ilvl="0" w:tentative="0">
      <w:start w:val="1"/>
      <w:numFmt w:val="decimal"/>
      <w:pStyle w:val="158"/>
      <w:suff w:val="nothing"/>
      <w:lvlText w:val="表%1　"/>
      <w:lvlJc w:val="left"/>
      <w:pPr>
        <w:ind w:left="0" w:firstLine="0"/>
      </w:pPr>
      <w:rPr>
        <w:rFonts w:hint="eastAsia" w:ascii="黑体" w:hAnsi="Times New Roman" w:eastAsia="黑体"/>
        <w:b w:val="0"/>
        <w:i w:val="0"/>
        <w:sz w:val="21"/>
      </w:rPr>
    </w:lvl>
    <w:lvl w:ilvl="1" w:tentative="0">
      <w:start w:val="1"/>
      <w:numFmt w:val="decimal"/>
      <w:pStyle w:val="151"/>
      <w:lvlText w:val="%1.%2"/>
      <w:lvlJc w:val="left"/>
      <w:pPr>
        <w:tabs>
          <w:tab w:val="left" w:pos="992"/>
        </w:tabs>
        <w:ind w:left="992" w:hanging="567"/>
      </w:pPr>
      <w:rPr>
        <w:rFonts w:hint="eastAsia"/>
      </w:rPr>
    </w:lvl>
    <w:lvl w:ilvl="2" w:tentative="0">
      <w:start w:val="1"/>
      <w:numFmt w:val="decimal"/>
      <w:pStyle w:val="145"/>
      <w:lvlText w:val="%1.%2.%3"/>
      <w:lvlJc w:val="left"/>
      <w:pPr>
        <w:tabs>
          <w:tab w:val="left" w:pos="1418"/>
        </w:tabs>
        <w:ind w:left="1418" w:hanging="567"/>
      </w:pPr>
      <w:rPr>
        <w:rFonts w:hint="eastAsia"/>
      </w:rPr>
    </w:lvl>
    <w:lvl w:ilvl="3" w:tentative="0">
      <w:start w:val="1"/>
      <w:numFmt w:val="decimal"/>
      <w:lvlText w:val="%1.%2.%3.%4"/>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2">
    <w:nsid w:val="657D3FBC"/>
    <w:multiLevelType w:val="multilevel"/>
    <w:tmpl w:val="657D3FBC"/>
    <w:lvl w:ilvl="0" w:tentative="0">
      <w:start w:val="1"/>
      <w:numFmt w:val="upperLetter"/>
      <w:pStyle w:val="92"/>
      <w:suff w:val="nothing"/>
      <w:lvlText w:val="附　录　%1"/>
      <w:lvlJc w:val="left"/>
      <w:pPr>
        <w:ind w:left="0" w:firstLine="0"/>
      </w:pPr>
      <w:rPr>
        <w:rFonts w:hint="eastAsia" w:ascii="黑体" w:hAnsi="Times New Roman" w:eastAsia="黑体"/>
        <w:b w:val="0"/>
        <w:i w:val="0"/>
        <w:spacing w:val="0"/>
        <w:w w:val="100"/>
        <w:sz w:val="21"/>
      </w:rPr>
    </w:lvl>
    <w:lvl w:ilvl="1" w:tentative="0">
      <w:start w:val="1"/>
      <w:numFmt w:val="decimal"/>
      <w:pStyle w:val="79"/>
      <w:suff w:val="nothing"/>
      <w:lvlText w:val="%1.%2　"/>
      <w:lvlJc w:val="left"/>
      <w:pPr>
        <w:ind w:left="0" w:firstLine="0"/>
      </w:pPr>
      <w:rPr>
        <w:rFonts w:hint="eastAsia" w:ascii="黑体" w:hAnsi="Times New Roman" w:eastAsia="黑体"/>
        <w:b w:val="0"/>
        <w:i w:val="0"/>
        <w:snapToGrid/>
        <w:spacing w:val="0"/>
        <w:w w:val="100"/>
        <w:kern w:val="21"/>
        <w:sz w:val="21"/>
      </w:rPr>
    </w:lvl>
    <w:lvl w:ilvl="2" w:tentative="0">
      <w:start w:val="1"/>
      <w:numFmt w:val="decimal"/>
      <w:pStyle w:val="144"/>
      <w:suff w:val="nothing"/>
      <w:lvlText w:val="%1.%2.%3　"/>
      <w:lvlJc w:val="left"/>
      <w:pPr>
        <w:ind w:left="0" w:firstLine="0"/>
      </w:pPr>
      <w:rPr>
        <w:rFonts w:hint="eastAsia" w:ascii="黑体" w:hAnsi="Times New Roman" w:eastAsia="黑体"/>
        <w:b w:val="0"/>
        <w:i w:val="0"/>
        <w:sz w:val="21"/>
      </w:rPr>
    </w:lvl>
    <w:lvl w:ilvl="3" w:tentative="0">
      <w:start w:val="1"/>
      <w:numFmt w:val="decimal"/>
      <w:pStyle w:val="112"/>
      <w:suff w:val="nothing"/>
      <w:lvlText w:val="%1.%2.%3.%4　"/>
      <w:lvlJc w:val="left"/>
      <w:pPr>
        <w:ind w:left="0" w:firstLine="0"/>
      </w:pPr>
      <w:rPr>
        <w:rFonts w:hint="eastAsia" w:ascii="黑体" w:hAnsi="Times New Roman" w:eastAsia="黑体"/>
        <w:b w:val="0"/>
        <w:i w:val="0"/>
        <w:sz w:val="21"/>
      </w:rPr>
    </w:lvl>
    <w:lvl w:ilvl="4" w:tentative="0">
      <w:start w:val="1"/>
      <w:numFmt w:val="decimal"/>
      <w:pStyle w:val="111"/>
      <w:suff w:val="nothing"/>
      <w:lvlText w:val="%1.%2.%3.%4.%5　"/>
      <w:lvlJc w:val="left"/>
      <w:pPr>
        <w:ind w:left="0" w:firstLine="0"/>
      </w:pPr>
      <w:rPr>
        <w:rFonts w:hint="eastAsia" w:ascii="黑体" w:hAnsi="Times New Roman" w:eastAsia="黑体"/>
        <w:b w:val="0"/>
        <w:i w:val="0"/>
        <w:sz w:val="21"/>
      </w:rPr>
    </w:lvl>
    <w:lvl w:ilvl="5" w:tentative="0">
      <w:start w:val="1"/>
      <w:numFmt w:val="decimal"/>
      <w:pStyle w:val="142"/>
      <w:suff w:val="nothing"/>
      <w:lvlText w:val="%1.%2.%3.%4.%5.%6　"/>
      <w:lvlJc w:val="left"/>
      <w:pPr>
        <w:ind w:left="0" w:firstLine="0"/>
      </w:pPr>
      <w:rPr>
        <w:rFonts w:hint="eastAsia" w:ascii="黑体" w:hAnsi="Times New Roman" w:eastAsia="黑体"/>
        <w:b w:val="0"/>
        <w:i w:val="0"/>
        <w:sz w:val="21"/>
      </w:rPr>
    </w:lvl>
    <w:lvl w:ilvl="6" w:tentative="0">
      <w:start w:val="1"/>
      <w:numFmt w:val="decimal"/>
      <w:pStyle w:val="146"/>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3">
    <w:nsid w:val="683F7E55"/>
    <w:multiLevelType w:val="multilevel"/>
    <w:tmpl w:val="683F7E55"/>
    <w:lvl w:ilvl="0" w:tentative="0">
      <w:start w:val="1"/>
      <w:numFmt w:val="decimal"/>
      <w:pStyle w:val="83"/>
      <w:lvlText w:val="%1."/>
      <w:lvlJc w:val="left"/>
      <w:pPr>
        <w:tabs>
          <w:tab w:val="left" w:pos="720"/>
        </w:tabs>
        <w:ind w:left="720" w:hanging="720"/>
      </w:pPr>
    </w:lvl>
    <w:lvl w:ilvl="1" w:tentative="0">
      <w:start w:val="1"/>
      <w:numFmt w:val="decimal"/>
      <w:pStyle w:val="115"/>
      <w:lvlText w:val="%2."/>
      <w:lvlJc w:val="left"/>
      <w:pPr>
        <w:tabs>
          <w:tab w:val="left" w:pos="1440"/>
        </w:tabs>
        <w:ind w:left="1440" w:hanging="720"/>
      </w:pPr>
    </w:lvl>
    <w:lvl w:ilvl="2" w:tentative="0">
      <w:start w:val="1"/>
      <w:numFmt w:val="decimal"/>
      <w:lvlText w:val="%3."/>
      <w:lvlJc w:val="left"/>
      <w:pPr>
        <w:tabs>
          <w:tab w:val="left" w:pos="2160"/>
        </w:tabs>
        <w:ind w:left="2160" w:hanging="720"/>
      </w:pPr>
    </w:lvl>
    <w:lvl w:ilvl="3" w:tentative="0">
      <w:start w:val="1"/>
      <w:numFmt w:val="decimal"/>
      <w:lvlText w:val="%4."/>
      <w:lvlJc w:val="left"/>
      <w:pPr>
        <w:tabs>
          <w:tab w:val="left" w:pos="2880"/>
        </w:tabs>
        <w:ind w:left="2880" w:hanging="720"/>
      </w:pPr>
    </w:lvl>
    <w:lvl w:ilvl="4" w:tentative="0">
      <w:start w:val="1"/>
      <w:numFmt w:val="decimal"/>
      <w:lvlText w:val="%5."/>
      <w:lvlJc w:val="left"/>
      <w:pPr>
        <w:tabs>
          <w:tab w:val="left" w:pos="3600"/>
        </w:tabs>
        <w:ind w:left="3600" w:hanging="720"/>
      </w:pPr>
    </w:lvl>
    <w:lvl w:ilvl="5" w:tentative="0">
      <w:start w:val="1"/>
      <w:numFmt w:val="decimal"/>
      <w:lvlText w:val="%6."/>
      <w:lvlJc w:val="left"/>
      <w:pPr>
        <w:tabs>
          <w:tab w:val="left" w:pos="4320"/>
        </w:tabs>
        <w:ind w:left="4320" w:hanging="720"/>
      </w:pPr>
    </w:lvl>
    <w:lvl w:ilvl="6" w:tentative="0">
      <w:start w:val="1"/>
      <w:numFmt w:val="decimal"/>
      <w:lvlText w:val="%7."/>
      <w:lvlJc w:val="left"/>
      <w:pPr>
        <w:tabs>
          <w:tab w:val="left" w:pos="5040"/>
        </w:tabs>
        <w:ind w:left="5040" w:hanging="720"/>
      </w:pPr>
    </w:lvl>
    <w:lvl w:ilvl="7" w:tentative="0">
      <w:start w:val="1"/>
      <w:numFmt w:val="decimal"/>
      <w:lvlText w:val="%8."/>
      <w:lvlJc w:val="left"/>
      <w:pPr>
        <w:tabs>
          <w:tab w:val="left" w:pos="5760"/>
        </w:tabs>
        <w:ind w:left="5760" w:hanging="720"/>
      </w:pPr>
    </w:lvl>
    <w:lvl w:ilvl="8" w:tentative="0">
      <w:start w:val="1"/>
      <w:numFmt w:val="decimal"/>
      <w:lvlText w:val="%9."/>
      <w:lvlJc w:val="left"/>
      <w:pPr>
        <w:tabs>
          <w:tab w:val="left" w:pos="6480"/>
        </w:tabs>
        <w:ind w:left="6480" w:hanging="720"/>
      </w:pPr>
    </w:lvl>
  </w:abstractNum>
  <w:abstractNum w:abstractNumId="14">
    <w:nsid w:val="6D6C07CD"/>
    <w:multiLevelType w:val="multilevel"/>
    <w:tmpl w:val="6D6C07CD"/>
    <w:lvl w:ilvl="0" w:tentative="0">
      <w:start w:val="1"/>
      <w:numFmt w:val="lowerLetter"/>
      <w:pStyle w:val="123"/>
      <w:lvlText w:val="%1)"/>
      <w:lvlJc w:val="left"/>
      <w:pPr>
        <w:tabs>
          <w:tab w:val="left" w:pos="839"/>
        </w:tabs>
        <w:ind w:left="839" w:hanging="419"/>
      </w:pPr>
      <w:rPr>
        <w:rFonts w:hint="eastAsia" w:ascii="宋体" w:eastAsia="宋体"/>
        <w:b w:val="0"/>
        <w:i w:val="0"/>
        <w:sz w:val="21"/>
      </w:rPr>
    </w:lvl>
    <w:lvl w:ilvl="1" w:tentative="0">
      <w:start w:val="1"/>
      <w:numFmt w:val="decimal"/>
      <w:lvlText w:val="%2)"/>
      <w:lvlJc w:val="left"/>
      <w:pPr>
        <w:tabs>
          <w:tab w:val="left" w:pos="840"/>
        </w:tabs>
        <w:ind w:left="839" w:hanging="419"/>
      </w:pPr>
      <w:rPr>
        <w:rFonts w:hint="eastAsia" w:ascii="宋体" w:eastAsia="宋体"/>
        <w:b w:val="0"/>
        <w:i w:val="0"/>
        <w:sz w:val="21"/>
      </w:rPr>
    </w:lvl>
    <w:lvl w:ilvl="2" w:tentative="0">
      <w:start w:val="1"/>
      <w:numFmt w:val="lowerRoman"/>
      <w:lvlText w:val="%3."/>
      <w:lvlJc w:val="right"/>
      <w:pPr>
        <w:tabs>
          <w:tab w:val="left" w:pos="1260"/>
        </w:tabs>
        <w:ind w:left="1259" w:hanging="419"/>
      </w:pPr>
      <w:rPr>
        <w:rFonts w:hint="eastAsia"/>
      </w:rPr>
    </w:lvl>
    <w:lvl w:ilvl="3" w:tentative="0">
      <w:start w:val="1"/>
      <w:numFmt w:val="decimal"/>
      <w:lvlText w:val="%4."/>
      <w:lvlJc w:val="left"/>
      <w:pPr>
        <w:tabs>
          <w:tab w:val="left" w:pos="1680"/>
        </w:tabs>
        <w:ind w:left="1679" w:hanging="419"/>
      </w:pPr>
      <w:rPr>
        <w:rFonts w:hint="eastAsia"/>
      </w:rPr>
    </w:lvl>
    <w:lvl w:ilvl="4" w:tentative="0">
      <w:start w:val="1"/>
      <w:numFmt w:val="lowerLetter"/>
      <w:lvlText w:val="%5)"/>
      <w:lvlJc w:val="left"/>
      <w:pPr>
        <w:tabs>
          <w:tab w:val="left" w:pos="2100"/>
        </w:tabs>
        <w:ind w:left="2099" w:hanging="419"/>
      </w:pPr>
      <w:rPr>
        <w:rFonts w:hint="eastAsia"/>
      </w:rPr>
    </w:lvl>
    <w:lvl w:ilvl="5" w:tentative="0">
      <w:start w:val="1"/>
      <w:numFmt w:val="lowerRoman"/>
      <w:lvlText w:val="%6."/>
      <w:lvlJc w:val="right"/>
      <w:pPr>
        <w:tabs>
          <w:tab w:val="left" w:pos="2520"/>
        </w:tabs>
        <w:ind w:left="2519" w:hanging="419"/>
      </w:pPr>
      <w:rPr>
        <w:rFonts w:hint="eastAsia"/>
      </w:rPr>
    </w:lvl>
    <w:lvl w:ilvl="6" w:tentative="0">
      <w:start w:val="1"/>
      <w:numFmt w:val="decimal"/>
      <w:lvlText w:val="%7."/>
      <w:lvlJc w:val="left"/>
      <w:pPr>
        <w:tabs>
          <w:tab w:val="left" w:pos="2940"/>
        </w:tabs>
        <w:ind w:left="2939" w:hanging="419"/>
      </w:pPr>
      <w:rPr>
        <w:rFonts w:hint="eastAsia"/>
      </w:rPr>
    </w:lvl>
    <w:lvl w:ilvl="7" w:tentative="0">
      <w:start w:val="1"/>
      <w:numFmt w:val="lowerLetter"/>
      <w:lvlText w:val="%8)"/>
      <w:lvlJc w:val="left"/>
      <w:pPr>
        <w:tabs>
          <w:tab w:val="left" w:pos="3360"/>
        </w:tabs>
        <w:ind w:left="3359" w:hanging="419"/>
      </w:pPr>
      <w:rPr>
        <w:rFonts w:hint="eastAsia"/>
      </w:rPr>
    </w:lvl>
    <w:lvl w:ilvl="8" w:tentative="0">
      <w:start w:val="1"/>
      <w:numFmt w:val="lowerRoman"/>
      <w:lvlText w:val="%9."/>
      <w:lvlJc w:val="right"/>
      <w:pPr>
        <w:tabs>
          <w:tab w:val="left" w:pos="3780"/>
        </w:tabs>
        <w:ind w:left="3779" w:hanging="419"/>
      </w:pPr>
      <w:rPr>
        <w:rFonts w:hint="eastAsia"/>
      </w:rPr>
    </w:lvl>
  </w:abstractNum>
  <w:abstractNum w:abstractNumId="15">
    <w:nsid w:val="6DBF04F4"/>
    <w:multiLevelType w:val="multilevel"/>
    <w:tmpl w:val="6DBF04F4"/>
    <w:lvl w:ilvl="0" w:tentative="0">
      <w:start w:val="1"/>
      <w:numFmt w:val="none"/>
      <w:suff w:val="nothing"/>
      <w:lvlText w:val="%1注："/>
      <w:lvlJc w:val="left"/>
      <w:pPr>
        <w:ind w:left="931" w:hanging="363"/>
      </w:pPr>
      <w:rPr>
        <w:rFonts w:hint="eastAsia" w:ascii="黑体" w:hAnsi="Times New Roman" w:eastAsia="黑体"/>
        <w:b w:val="0"/>
        <w:i w:val="0"/>
        <w:sz w:val="18"/>
      </w:rPr>
    </w:lvl>
    <w:lvl w:ilvl="1" w:tentative="0">
      <w:start w:val="1"/>
      <w:numFmt w:val="lowerLetter"/>
      <w:pStyle w:val="136"/>
      <w:lvlText w:val="%2)"/>
      <w:lvlJc w:val="left"/>
      <w:pPr>
        <w:tabs>
          <w:tab w:val="left" w:pos="1345"/>
        </w:tabs>
        <w:ind w:left="931" w:hanging="363"/>
      </w:pPr>
      <w:rPr>
        <w:rFonts w:hint="eastAsia"/>
      </w:rPr>
    </w:lvl>
    <w:lvl w:ilvl="2" w:tentative="0">
      <w:start w:val="1"/>
      <w:numFmt w:val="lowerRoman"/>
      <w:lvlText w:val="%3."/>
      <w:lvlJc w:val="right"/>
      <w:pPr>
        <w:tabs>
          <w:tab w:val="left" w:pos="1345"/>
        </w:tabs>
        <w:ind w:left="931" w:hanging="363"/>
      </w:pPr>
      <w:rPr>
        <w:rFonts w:hint="eastAsia"/>
      </w:rPr>
    </w:lvl>
    <w:lvl w:ilvl="3" w:tentative="0">
      <w:start w:val="1"/>
      <w:numFmt w:val="decimal"/>
      <w:lvlText w:val="%4."/>
      <w:lvlJc w:val="left"/>
      <w:pPr>
        <w:tabs>
          <w:tab w:val="left" w:pos="1345"/>
        </w:tabs>
        <w:ind w:left="931" w:hanging="363"/>
      </w:pPr>
      <w:rPr>
        <w:rFonts w:hint="eastAsia"/>
      </w:rPr>
    </w:lvl>
    <w:lvl w:ilvl="4" w:tentative="0">
      <w:start w:val="1"/>
      <w:numFmt w:val="lowerLetter"/>
      <w:lvlText w:val="%5)"/>
      <w:lvlJc w:val="left"/>
      <w:pPr>
        <w:tabs>
          <w:tab w:val="left" w:pos="1345"/>
        </w:tabs>
        <w:ind w:left="931" w:hanging="363"/>
      </w:pPr>
      <w:rPr>
        <w:rFonts w:hint="eastAsia"/>
      </w:rPr>
    </w:lvl>
    <w:lvl w:ilvl="5" w:tentative="0">
      <w:start w:val="1"/>
      <w:numFmt w:val="lowerRoman"/>
      <w:lvlText w:val="%6."/>
      <w:lvlJc w:val="right"/>
      <w:pPr>
        <w:tabs>
          <w:tab w:val="left" w:pos="1345"/>
        </w:tabs>
        <w:ind w:left="931" w:hanging="363"/>
      </w:pPr>
      <w:rPr>
        <w:rFonts w:hint="eastAsia"/>
      </w:rPr>
    </w:lvl>
    <w:lvl w:ilvl="6" w:tentative="0">
      <w:start w:val="1"/>
      <w:numFmt w:val="decimal"/>
      <w:lvlText w:val="%7."/>
      <w:lvlJc w:val="left"/>
      <w:pPr>
        <w:tabs>
          <w:tab w:val="left" w:pos="1345"/>
        </w:tabs>
        <w:ind w:left="931" w:hanging="363"/>
      </w:pPr>
      <w:rPr>
        <w:rFonts w:hint="eastAsia"/>
      </w:rPr>
    </w:lvl>
    <w:lvl w:ilvl="7" w:tentative="0">
      <w:start w:val="1"/>
      <w:numFmt w:val="lowerLetter"/>
      <w:lvlText w:val="%8)"/>
      <w:lvlJc w:val="left"/>
      <w:pPr>
        <w:tabs>
          <w:tab w:val="left" w:pos="1345"/>
        </w:tabs>
        <w:ind w:left="931" w:hanging="363"/>
      </w:pPr>
      <w:rPr>
        <w:rFonts w:hint="eastAsia"/>
      </w:rPr>
    </w:lvl>
    <w:lvl w:ilvl="8" w:tentative="0">
      <w:start w:val="1"/>
      <w:numFmt w:val="lowerRoman"/>
      <w:lvlText w:val="%9."/>
      <w:lvlJc w:val="right"/>
      <w:pPr>
        <w:tabs>
          <w:tab w:val="left" w:pos="1345"/>
        </w:tabs>
        <w:ind w:left="931" w:hanging="363"/>
      </w:pPr>
      <w:rPr>
        <w:rFonts w:hint="eastAsia"/>
      </w:rPr>
    </w:lvl>
  </w:abstractNum>
  <w:num w:numId="1">
    <w:abstractNumId w:val="9"/>
  </w:num>
  <w:num w:numId="2">
    <w:abstractNumId w:val="3"/>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num>
  <w:num w:numId="5">
    <w:abstractNumId w:val="12"/>
  </w:num>
  <w:num w:numId="6">
    <w:abstractNumId w:val="5"/>
  </w:num>
  <w:num w:numId="7">
    <w:abstractNumId w:val="1"/>
  </w:num>
  <w:num w:numId="8">
    <w:abstractNumId w:val="14"/>
  </w:num>
  <w:num w:numId="9">
    <w:abstractNumId w:val="7"/>
  </w:num>
  <w:num w:numId="10">
    <w:abstractNumId w:val="10"/>
  </w:num>
  <w:num w:numId="11">
    <w:abstractNumId w:val="0"/>
  </w:num>
  <w:num w:numId="12">
    <w:abstractNumId w:val="15"/>
  </w:num>
  <w:num w:numId="13">
    <w:abstractNumId w:val="8"/>
  </w:num>
  <w:num w:numId="14">
    <w:abstractNumId w:val="6"/>
  </w:num>
  <w:num w:numId="15">
    <w:abstractNumId w:val="11"/>
  </w:num>
  <w:num w:numId="16">
    <w:abstractNumId w:val="2"/>
  </w:num>
  <w:num w:numId="17">
    <w:abstractNumId w:val="4"/>
  </w:num>
  <w:num w:numId="18">
    <w:abstractNumId w:val="0"/>
    <w:lvlOverride w:ilvl="0">
      <w:startOverride w:val="1"/>
    </w:lvlOverride>
  </w:num>
  <w:num w:numId="1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GVjOTM5NGFhNDJhMmQ0MGNiMDc5N2QyY2UzMDY4YjMifQ=="/>
  </w:docVars>
  <w:rsids>
    <w:rsidRoot w:val="00883EDB"/>
    <w:rsid w:val="00097BE2"/>
    <w:rsid w:val="000A0528"/>
    <w:rsid w:val="000B64BD"/>
    <w:rsid w:val="000D57E0"/>
    <w:rsid w:val="000F19E6"/>
    <w:rsid w:val="00147CD6"/>
    <w:rsid w:val="001652D6"/>
    <w:rsid w:val="001A73F1"/>
    <w:rsid w:val="00206838"/>
    <w:rsid w:val="00254C64"/>
    <w:rsid w:val="00264975"/>
    <w:rsid w:val="002B104D"/>
    <w:rsid w:val="002C39F2"/>
    <w:rsid w:val="002F1687"/>
    <w:rsid w:val="003B491B"/>
    <w:rsid w:val="003B7474"/>
    <w:rsid w:val="00463282"/>
    <w:rsid w:val="004C521A"/>
    <w:rsid w:val="004D3D6C"/>
    <w:rsid w:val="005050DF"/>
    <w:rsid w:val="00526B15"/>
    <w:rsid w:val="005C3306"/>
    <w:rsid w:val="005D3AFD"/>
    <w:rsid w:val="005D5301"/>
    <w:rsid w:val="00614904"/>
    <w:rsid w:val="006872B3"/>
    <w:rsid w:val="007464DB"/>
    <w:rsid w:val="00762572"/>
    <w:rsid w:val="007710BE"/>
    <w:rsid w:val="007A5F73"/>
    <w:rsid w:val="00824069"/>
    <w:rsid w:val="00843942"/>
    <w:rsid w:val="00845911"/>
    <w:rsid w:val="00870B8F"/>
    <w:rsid w:val="00883EDB"/>
    <w:rsid w:val="00905EE3"/>
    <w:rsid w:val="00952437"/>
    <w:rsid w:val="00962A9E"/>
    <w:rsid w:val="00974D04"/>
    <w:rsid w:val="009863E3"/>
    <w:rsid w:val="009F03F3"/>
    <w:rsid w:val="009F0DBF"/>
    <w:rsid w:val="00A54450"/>
    <w:rsid w:val="00A57A8C"/>
    <w:rsid w:val="00A60011"/>
    <w:rsid w:val="00AC3332"/>
    <w:rsid w:val="00B06E28"/>
    <w:rsid w:val="00B63678"/>
    <w:rsid w:val="00B7036E"/>
    <w:rsid w:val="00C911BA"/>
    <w:rsid w:val="00CA769C"/>
    <w:rsid w:val="00CD7EFB"/>
    <w:rsid w:val="00D20281"/>
    <w:rsid w:val="00D668BD"/>
    <w:rsid w:val="00D67599"/>
    <w:rsid w:val="00D83082"/>
    <w:rsid w:val="00D90E65"/>
    <w:rsid w:val="00E27886"/>
    <w:rsid w:val="00E4362F"/>
    <w:rsid w:val="00EB3637"/>
    <w:rsid w:val="00F261A2"/>
    <w:rsid w:val="00F41731"/>
    <w:rsid w:val="00F90646"/>
    <w:rsid w:val="00FF1A48"/>
    <w:rsid w:val="014D576C"/>
    <w:rsid w:val="01687703"/>
    <w:rsid w:val="017D5815"/>
    <w:rsid w:val="018856AF"/>
    <w:rsid w:val="02B761CD"/>
    <w:rsid w:val="04A66E64"/>
    <w:rsid w:val="04DB77CA"/>
    <w:rsid w:val="05BC001D"/>
    <w:rsid w:val="060F639F"/>
    <w:rsid w:val="06AF067A"/>
    <w:rsid w:val="072A0B18"/>
    <w:rsid w:val="07C17CF7"/>
    <w:rsid w:val="07F2675E"/>
    <w:rsid w:val="07F949EC"/>
    <w:rsid w:val="08262013"/>
    <w:rsid w:val="08B576D2"/>
    <w:rsid w:val="09396E3D"/>
    <w:rsid w:val="09A03EDE"/>
    <w:rsid w:val="0A187F18"/>
    <w:rsid w:val="0B185CF6"/>
    <w:rsid w:val="0B5A630E"/>
    <w:rsid w:val="0BA80E28"/>
    <w:rsid w:val="0CBA3508"/>
    <w:rsid w:val="0CF7460C"/>
    <w:rsid w:val="0EA14F8D"/>
    <w:rsid w:val="0F39623B"/>
    <w:rsid w:val="0F5E6275"/>
    <w:rsid w:val="100E60EB"/>
    <w:rsid w:val="11166187"/>
    <w:rsid w:val="11D34725"/>
    <w:rsid w:val="128123D2"/>
    <w:rsid w:val="135875D7"/>
    <w:rsid w:val="13A50343"/>
    <w:rsid w:val="13B77726"/>
    <w:rsid w:val="144B0EEA"/>
    <w:rsid w:val="1461426A"/>
    <w:rsid w:val="14814434"/>
    <w:rsid w:val="149D101A"/>
    <w:rsid w:val="15464746"/>
    <w:rsid w:val="15883A78"/>
    <w:rsid w:val="15CC1BB7"/>
    <w:rsid w:val="16021A7C"/>
    <w:rsid w:val="166D339A"/>
    <w:rsid w:val="192729DB"/>
    <w:rsid w:val="194072F2"/>
    <w:rsid w:val="198561B8"/>
    <w:rsid w:val="199E386A"/>
    <w:rsid w:val="19DB44C1"/>
    <w:rsid w:val="1A3B5AFB"/>
    <w:rsid w:val="1A41636C"/>
    <w:rsid w:val="1B7B0C73"/>
    <w:rsid w:val="1B925650"/>
    <w:rsid w:val="1C0F4EF3"/>
    <w:rsid w:val="1C1C4F1A"/>
    <w:rsid w:val="1C5867A4"/>
    <w:rsid w:val="1C6568C1"/>
    <w:rsid w:val="1C712278"/>
    <w:rsid w:val="1C915908"/>
    <w:rsid w:val="1CC43484"/>
    <w:rsid w:val="1CE74A11"/>
    <w:rsid w:val="1DE33F41"/>
    <w:rsid w:val="1EE92948"/>
    <w:rsid w:val="1EE937D9"/>
    <w:rsid w:val="1F5F2B49"/>
    <w:rsid w:val="1FD47FE6"/>
    <w:rsid w:val="1FE04BDC"/>
    <w:rsid w:val="207B4905"/>
    <w:rsid w:val="20820A01"/>
    <w:rsid w:val="20914128"/>
    <w:rsid w:val="210B5C89"/>
    <w:rsid w:val="218C753F"/>
    <w:rsid w:val="21B55BF5"/>
    <w:rsid w:val="22201FAE"/>
    <w:rsid w:val="224C6A68"/>
    <w:rsid w:val="22636C97"/>
    <w:rsid w:val="227C4964"/>
    <w:rsid w:val="22A55C69"/>
    <w:rsid w:val="22B365D8"/>
    <w:rsid w:val="22F4099F"/>
    <w:rsid w:val="233B65CE"/>
    <w:rsid w:val="23517B9F"/>
    <w:rsid w:val="23607DE2"/>
    <w:rsid w:val="23662472"/>
    <w:rsid w:val="23723470"/>
    <w:rsid w:val="23990542"/>
    <w:rsid w:val="23B6137F"/>
    <w:rsid w:val="23D74548"/>
    <w:rsid w:val="242937F6"/>
    <w:rsid w:val="246506E8"/>
    <w:rsid w:val="249266C1"/>
    <w:rsid w:val="252217F3"/>
    <w:rsid w:val="2545505E"/>
    <w:rsid w:val="258731AE"/>
    <w:rsid w:val="25A306A2"/>
    <w:rsid w:val="262B0B7B"/>
    <w:rsid w:val="27054F28"/>
    <w:rsid w:val="27363334"/>
    <w:rsid w:val="27FA0805"/>
    <w:rsid w:val="28612632"/>
    <w:rsid w:val="28700AC7"/>
    <w:rsid w:val="28771E56"/>
    <w:rsid w:val="28B409B4"/>
    <w:rsid w:val="28B60BD0"/>
    <w:rsid w:val="2AAB3851"/>
    <w:rsid w:val="2B9E0B05"/>
    <w:rsid w:val="2BD03515"/>
    <w:rsid w:val="2C300910"/>
    <w:rsid w:val="2C5A1872"/>
    <w:rsid w:val="2C6B7F24"/>
    <w:rsid w:val="2C7370D3"/>
    <w:rsid w:val="2CDF446E"/>
    <w:rsid w:val="2DCE15AF"/>
    <w:rsid w:val="2DD92C6B"/>
    <w:rsid w:val="2EB32F92"/>
    <w:rsid w:val="2FA8548D"/>
    <w:rsid w:val="2FFF52C9"/>
    <w:rsid w:val="3014442E"/>
    <w:rsid w:val="30195E1E"/>
    <w:rsid w:val="305B02AF"/>
    <w:rsid w:val="306453B6"/>
    <w:rsid w:val="30790319"/>
    <w:rsid w:val="3080164D"/>
    <w:rsid w:val="31753F70"/>
    <w:rsid w:val="318F411A"/>
    <w:rsid w:val="32222E32"/>
    <w:rsid w:val="32785148"/>
    <w:rsid w:val="32C6742A"/>
    <w:rsid w:val="33337DE1"/>
    <w:rsid w:val="33941B0E"/>
    <w:rsid w:val="344415E9"/>
    <w:rsid w:val="3464552E"/>
    <w:rsid w:val="34833930"/>
    <w:rsid w:val="35611EC4"/>
    <w:rsid w:val="35675000"/>
    <w:rsid w:val="35786A98"/>
    <w:rsid w:val="364C05D3"/>
    <w:rsid w:val="367D0F7F"/>
    <w:rsid w:val="36F6663C"/>
    <w:rsid w:val="378D4DDC"/>
    <w:rsid w:val="379C5435"/>
    <w:rsid w:val="37A61E10"/>
    <w:rsid w:val="38174ABC"/>
    <w:rsid w:val="381C370C"/>
    <w:rsid w:val="38A06EEE"/>
    <w:rsid w:val="38C57458"/>
    <w:rsid w:val="38C904AC"/>
    <w:rsid w:val="395775BC"/>
    <w:rsid w:val="39F2758E"/>
    <w:rsid w:val="3AAA1C17"/>
    <w:rsid w:val="3B9062BB"/>
    <w:rsid w:val="3BA90120"/>
    <w:rsid w:val="3BE839C2"/>
    <w:rsid w:val="3CFA3AE8"/>
    <w:rsid w:val="3D145A6E"/>
    <w:rsid w:val="3D5D142A"/>
    <w:rsid w:val="3DF243FA"/>
    <w:rsid w:val="3EC05384"/>
    <w:rsid w:val="403B6E09"/>
    <w:rsid w:val="40730CFD"/>
    <w:rsid w:val="40DF2527"/>
    <w:rsid w:val="410A78B3"/>
    <w:rsid w:val="410E46E1"/>
    <w:rsid w:val="411C1395"/>
    <w:rsid w:val="41202C33"/>
    <w:rsid w:val="413C37E5"/>
    <w:rsid w:val="41C97EF2"/>
    <w:rsid w:val="429D02B3"/>
    <w:rsid w:val="42FF1DAA"/>
    <w:rsid w:val="43340C18"/>
    <w:rsid w:val="441068EC"/>
    <w:rsid w:val="4483182C"/>
    <w:rsid w:val="44FD328B"/>
    <w:rsid w:val="45DA1AD8"/>
    <w:rsid w:val="46003033"/>
    <w:rsid w:val="46EB5A91"/>
    <w:rsid w:val="477A621C"/>
    <w:rsid w:val="4782275D"/>
    <w:rsid w:val="478F5CA9"/>
    <w:rsid w:val="47C04773"/>
    <w:rsid w:val="47D21405"/>
    <w:rsid w:val="47E7564D"/>
    <w:rsid w:val="48D20149"/>
    <w:rsid w:val="4900334A"/>
    <w:rsid w:val="490C7F41"/>
    <w:rsid w:val="49504656"/>
    <w:rsid w:val="497A3354"/>
    <w:rsid w:val="4A3A4904"/>
    <w:rsid w:val="4A550B10"/>
    <w:rsid w:val="4AE516A0"/>
    <w:rsid w:val="4B865D88"/>
    <w:rsid w:val="4C017487"/>
    <w:rsid w:val="4C6F469D"/>
    <w:rsid w:val="4C813491"/>
    <w:rsid w:val="4CA6112F"/>
    <w:rsid w:val="4E01203E"/>
    <w:rsid w:val="4E984750"/>
    <w:rsid w:val="4EBE7F2F"/>
    <w:rsid w:val="4EFD45B3"/>
    <w:rsid w:val="4F26028E"/>
    <w:rsid w:val="501831C1"/>
    <w:rsid w:val="50AB003F"/>
    <w:rsid w:val="50B52584"/>
    <w:rsid w:val="51E12AAE"/>
    <w:rsid w:val="52187956"/>
    <w:rsid w:val="524544B9"/>
    <w:rsid w:val="52B4767F"/>
    <w:rsid w:val="52CC7E3F"/>
    <w:rsid w:val="52E55A8A"/>
    <w:rsid w:val="52FE057D"/>
    <w:rsid w:val="52FF6F48"/>
    <w:rsid w:val="530A729F"/>
    <w:rsid w:val="5336140F"/>
    <w:rsid w:val="53377433"/>
    <w:rsid w:val="53762B86"/>
    <w:rsid w:val="53AA4158"/>
    <w:rsid w:val="540D2539"/>
    <w:rsid w:val="54A43422"/>
    <w:rsid w:val="54FA04B2"/>
    <w:rsid w:val="55EE2EA8"/>
    <w:rsid w:val="566537D6"/>
    <w:rsid w:val="56CE4A87"/>
    <w:rsid w:val="5721105B"/>
    <w:rsid w:val="573A3ECB"/>
    <w:rsid w:val="57693AD1"/>
    <w:rsid w:val="57D04F5B"/>
    <w:rsid w:val="580E7831"/>
    <w:rsid w:val="58CE5813"/>
    <w:rsid w:val="595E20F3"/>
    <w:rsid w:val="59C52172"/>
    <w:rsid w:val="5A5010D3"/>
    <w:rsid w:val="5AA13016"/>
    <w:rsid w:val="5AE54ABC"/>
    <w:rsid w:val="5B503CBD"/>
    <w:rsid w:val="5B546742"/>
    <w:rsid w:val="5B5D530D"/>
    <w:rsid w:val="5B6D4F6D"/>
    <w:rsid w:val="5C3D7CB3"/>
    <w:rsid w:val="5C97689B"/>
    <w:rsid w:val="5C9E6468"/>
    <w:rsid w:val="5CB70498"/>
    <w:rsid w:val="5CC26E3C"/>
    <w:rsid w:val="5CEB1EEF"/>
    <w:rsid w:val="5D5977A1"/>
    <w:rsid w:val="5DF474C9"/>
    <w:rsid w:val="5E0A2849"/>
    <w:rsid w:val="5E6E102A"/>
    <w:rsid w:val="5E8A58F8"/>
    <w:rsid w:val="5EBF3633"/>
    <w:rsid w:val="5ED03A93"/>
    <w:rsid w:val="5F723B2F"/>
    <w:rsid w:val="5F7A755A"/>
    <w:rsid w:val="5FD650D9"/>
    <w:rsid w:val="601259E5"/>
    <w:rsid w:val="60CA62C0"/>
    <w:rsid w:val="60D96503"/>
    <w:rsid w:val="612B1454"/>
    <w:rsid w:val="61842912"/>
    <w:rsid w:val="61906FF1"/>
    <w:rsid w:val="61B74A96"/>
    <w:rsid w:val="61F93300"/>
    <w:rsid w:val="627E7362"/>
    <w:rsid w:val="627F0705"/>
    <w:rsid w:val="62AC0373"/>
    <w:rsid w:val="62B153C1"/>
    <w:rsid w:val="630261E5"/>
    <w:rsid w:val="6327254B"/>
    <w:rsid w:val="63750765"/>
    <w:rsid w:val="63846BFA"/>
    <w:rsid w:val="63C90367"/>
    <w:rsid w:val="643B11CA"/>
    <w:rsid w:val="64E42046"/>
    <w:rsid w:val="656B45A8"/>
    <w:rsid w:val="658630FD"/>
    <w:rsid w:val="65AC2438"/>
    <w:rsid w:val="670F1364"/>
    <w:rsid w:val="671B5AC7"/>
    <w:rsid w:val="67237C90"/>
    <w:rsid w:val="67650AF0"/>
    <w:rsid w:val="67802FF5"/>
    <w:rsid w:val="67AD00C3"/>
    <w:rsid w:val="67D53EC8"/>
    <w:rsid w:val="67FC72E0"/>
    <w:rsid w:val="68242759"/>
    <w:rsid w:val="6870599E"/>
    <w:rsid w:val="69136471"/>
    <w:rsid w:val="69676DA1"/>
    <w:rsid w:val="69CF4947"/>
    <w:rsid w:val="6A8C6CB2"/>
    <w:rsid w:val="6AEA1A38"/>
    <w:rsid w:val="6B660497"/>
    <w:rsid w:val="6B843C84"/>
    <w:rsid w:val="6BF80185"/>
    <w:rsid w:val="6C057871"/>
    <w:rsid w:val="6C164AAF"/>
    <w:rsid w:val="6C537AB1"/>
    <w:rsid w:val="6C9A2D8C"/>
    <w:rsid w:val="6CB0280D"/>
    <w:rsid w:val="6CB7492C"/>
    <w:rsid w:val="6CD75FEC"/>
    <w:rsid w:val="6E380BB9"/>
    <w:rsid w:val="6E5378F4"/>
    <w:rsid w:val="6F2030BB"/>
    <w:rsid w:val="6F3F2196"/>
    <w:rsid w:val="6F661CE6"/>
    <w:rsid w:val="6F795A80"/>
    <w:rsid w:val="6FB3610E"/>
    <w:rsid w:val="6FF9096F"/>
    <w:rsid w:val="7104581E"/>
    <w:rsid w:val="724A3704"/>
    <w:rsid w:val="727E6F0A"/>
    <w:rsid w:val="72AC3A77"/>
    <w:rsid w:val="72B1708B"/>
    <w:rsid w:val="73027B3B"/>
    <w:rsid w:val="737F2F3A"/>
    <w:rsid w:val="73A3131E"/>
    <w:rsid w:val="73AC5D9C"/>
    <w:rsid w:val="74A0760B"/>
    <w:rsid w:val="74D37E07"/>
    <w:rsid w:val="74F33BDF"/>
    <w:rsid w:val="756218B3"/>
    <w:rsid w:val="75866801"/>
    <w:rsid w:val="75F97E60"/>
    <w:rsid w:val="76006F59"/>
    <w:rsid w:val="765406AD"/>
    <w:rsid w:val="76B1736C"/>
    <w:rsid w:val="777C4360"/>
    <w:rsid w:val="778E7BEF"/>
    <w:rsid w:val="77954CDD"/>
    <w:rsid w:val="781C0E5C"/>
    <w:rsid w:val="78505971"/>
    <w:rsid w:val="797E6C01"/>
    <w:rsid w:val="79B7342D"/>
    <w:rsid w:val="7A9916B5"/>
    <w:rsid w:val="7ACB4CB6"/>
    <w:rsid w:val="7B354F51"/>
    <w:rsid w:val="7B5F1FCE"/>
    <w:rsid w:val="7B8D50BE"/>
    <w:rsid w:val="7BAF7EBD"/>
    <w:rsid w:val="7BC10593"/>
    <w:rsid w:val="7C0C61E3"/>
    <w:rsid w:val="7C471E6A"/>
    <w:rsid w:val="7C66113B"/>
    <w:rsid w:val="7C771BED"/>
    <w:rsid w:val="7D2708CA"/>
    <w:rsid w:val="7D2F777E"/>
    <w:rsid w:val="7E643FE1"/>
    <w:rsid w:val="7ECD3E76"/>
    <w:rsid w:val="7EF92735"/>
    <w:rsid w:val="7F4C051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iPriority="99"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39" w:semiHidden="0" w:name="toc 1"/>
    <w:lsdException w:qFormat="1" w:unhideWhenUsed="0" w:uiPriority="0" w:name="toc 2"/>
    <w:lsdException w:qFormat="1" w:unhideWhenUsed="0" w:uiPriority="39" w:semiHidden="0" w:name="toc 3"/>
    <w:lsdException w:qFormat="1" w:unhideWhenUsed="0" w:uiPriority="39" w:semiHidden="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uiPriority="99" w:name="Normal Indent"/>
    <w:lsdException w:qFormat="1" w:unhideWhenUsed="0" w:uiPriority="0" w:semiHidden="0" w:name="footnote text"/>
    <w:lsdException w:qFormat="1" w:unhideWhenUsed="0" w:uiPriority="0" w:semiHidden="0" w:name="annotation text"/>
    <w:lsdException w:qFormat="1" w:uiPriority="0" w:semiHidden="0" w:name="header"/>
    <w:lsdException w:qFormat="1" w:uiPriority="0" w:semiHidden="0" w:name="footer"/>
    <w:lsdException w:qFormat="1" w:unhideWhenUsed="0" w:uiPriority="99" w:semiHidden="0" w:name="index heading"/>
    <w:lsdException w:qFormat="1" w:unhideWhenUsed="0" w:uiPriority="0" w:semiHidden="0" w:name="caption"/>
    <w:lsdException w:uiPriority="99" w:name="table of figures"/>
    <w:lsdException w:uiPriority="99" w:name="envelope address"/>
    <w:lsdException w:uiPriority="99" w:name="envelope return"/>
    <w:lsdException w:qFormat="1" w:unhideWhenUsed="0" w:uiPriority="0" w:name="footnote reference"/>
    <w:lsdException w:qFormat="1" w:unhideWhenUsed="0" w:uiPriority="0" w:semiHidden="0" w:name="annotation reference"/>
    <w:lsdException w:uiPriority="99" w:name="line number"/>
    <w:lsdException w:qFormat="1" w:unhideWhenUsed="0" w:uiPriority="0" w:semiHidden="0" w:name="page number"/>
    <w:lsdException w:qFormat="1" w:unhideWhenUsed="0" w:uiPriority="0" w:name="endnote reference"/>
    <w:lsdException w:qFormat="1" w:unhideWhenUsed="0" w:uiPriority="0"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53"/>
    <w:qFormat/>
    <w:uiPriority w:val="0"/>
    <w:pPr>
      <w:keepNext/>
      <w:keepLines/>
      <w:spacing w:before="480" w:after="80"/>
      <w:outlineLvl w:val="0"/>
    </w:pPr>
    <w:rPr>
      <w:rFonts w:asciiTheme="majorHAnsi" w:hAnsiTheme="majorHAnsi" w:eastAsiaTheme="majorEastAsia" w:cstheme="majorBidi"/>
      <w:color w:val="2F5597" w:themeColor="accent1" w:themeShade="BF"/>
      <w:sz w:val="48"/>
      <w:szCs w:val="48"/>
    </w:rPr>
  </w:style>
  <w:style w:type="paragraph" w:styleId="3">
    <w:name w:val="heading 2"/>
    <w:basedOn w:val="1"/>
    <w:next w:val="1"/>
    <w:link w:val="54"/>
    <w:semiHidden/>
    <w:unhideWhenUsed/>
    <w:qFormat/>
    <w:uiPriority w:val="9"/>
    <w:pPr>
      <w:keepNext/>
      <w:keepLines/>
      <w:spacing w:before="160" w:after="80"/>
      <w:outlineLvl w:val="1"/>
    </w:pPr>
    <w:rPr>
      <w:rFonts w:asciiTheme="majorHAnsi" w:hAnsiTheme="majorHAnsi" w:eastAsiaTheme="majorEastAsia" w:cstheme="majorBidi"/>
      <w:color w:val="2F5597" w:themeColor="accent1" w:themeShade="BF"/>
      <w:sz w:val="40"/>
      <w:szCs w:val="40"/>
    </w:rPr>
  </w:style>
  <w:style w:type="paragraph" w:styleId="4">
    <w:name w:val="heading 3"/>
    <w:basedOn w:val="1"/>
    <w:next w:val="1"/>
    <w:link w:val="55"/>
    <w:semiHidden/>
    <w:unhideWhenUsed/>
    <w:qFormat/>
    <w:uiPriority w:val="9"/>
    <w:pPr>
      <w:keepNext/>
      <w:keepLines/>
      <w:spacing w:before="160" w:after="80"/>
      <w:outlineLvl w:val="2"/>
    </w:pPr>
    <w:rPr>
      <w:rFonts w:asciiTheme="majorHAnsi" w:hAnsiTheme="majorHAnsi" w:eastAsiaTheme="majorEastAsia" w:cstheme="majorBidi"/>
      <w:color w:val="2F5597" w:themeColor="accent1" w:themeShade="BF"/>
      <w:sz w:val="32"/>
      <w:szCs w:val="32"/>
    </w:rPr>
  </w:style>
  <w:style w:type="paragraph" w:styleId="5">
    <w:name w:val="heading 4"/>
    <w:basedOn w:val="1"/>
    <w:next w:val="1"/>
    <w:link w:val="56"/>
    <w:semiHidden/>
    <w:unhideWhenUsed/>
    <w:qFormat/>
    <w:uiPriority w:val="9"/>
    <w:pPr>
      <w:keepNext/>
      <w:keepLines/>
      <w:spacing w:before="80" w:after="40"/>
      <w:outlineLvl w:val="3"/>
    </w:pPr>
    <w:rPr>
      <w:rFonts w:cstheme="majorBidi"/>
      <w:color w:val="2F5597" w:themeColor="accent1" w:themeShade="BF"/>
      <w:sz w:val="28"/>
      <w:szCs w:val="28"/>
    </w:rPr>
  </w:style>
  <w:style w:type="paragraph" w:styleId="6">
    <w:name w:val="heading 5"/>
    <w:basedOn w:val="1"/>
    <w:next w:val="1"/>
    <w:link w:val="57"/>
    <w:semiHidden/>
    <w:unhideWhenUsed/>
    <w:qFormat/>
    <w:uiPriority w:val="9"/>
    <w:pPr>
      <w:keepNext/>
      <w:keepLines/>
      <w:spacing w:before="80" w:after="40"/>
      <w:outlineLvl w:val="4"/>
    </w:pPr>
    <w:rPr>
      <w:rFonts w:cstheme="majorBidi"/>
      <w:color w:val="2F5597" w:themeColor="accent1" w:themeShade="BF"/>
      <w:sz w:val="24"/>
    </w:rPr>
  </w:style>
  <w:style w:type="paragraph" w:styleId="7">
    <w:name w:val="heading 6"/>
    <w:basedOn w:val="1"/>
    <w:next w:val="1"/>
    <w:link w:val="58"/>
    <w:semiHidden/>
    <w:unhideWhenUsed/>
    <w:qFormat/>
    <w:uiPriority w:val="9"/>
    <w:pPr>
      <w:keepNext/>
      <w:keepLines/>
      <w:spacing w:before="40"/>
      <w:outlineLvl w:val="5"/>
    </w:pPr>
    <w:rPr>
      <w:rFonts w:cstheme="majorBidi"/>
      <w:b/>
      <w:bCs/>
      <w:color w:val="2F5597" w:themeColor="accent1" w:themeShade="BF"/>
    </w:rPr>
  </w:style>
  <w:style w:type="paragraph" w:styleId="8">
    <w:name w:val="heading 7"/>
    <w:basedOn w:val="1"/>
    <w:next w:val="1"/>
    <w:link w:val="59"/>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60"/>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61"/>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44">
    <w:name w:val="Default Paragraph Font"/>
    <w:semiHidden/>
    <w:unhideWhenUsed/>
    <w:qFormat/>
    <w:uiPriority w:val="1"/>
  </w:style>
  <w:style w:type="table" w:default="1" w:styleId="42">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semiHidden/>
    <w:qFormat/>
    <w:uiPriority w:val="0"/>
    <w:pPr>
      <w:tabs>
        <w:tab w:val="right" w:leader="dot" w:pos="9241"/>
      </w:tabs>
      <w:ind w:firstLine="505" w:firstLineChars="500"/>
      <w:jc w:val="left"/>
    </w:pPr>
    <w:rPr>
      <w:rFonts w:ascii="宋体"/>
      <w:szCs w:val="21"/>
    </w:rPr>
  </w:style>
  <w:style w:type="paragraph" w:styleId="12">
    <w:name w:val="index 8"/>
    <w:basedOn w:val="1"/>
    <w:next w:val="1"/>
    <w:qFormat/>
    <w:uiPriority w:val="0"/>
    <w:pPr>
      <w:ind w:left="1680" w:hanging="210"/>
      <w:jc w:val="left"/>
    </w:pPr>
    <w:rPr>
      <w:rFonts w:ascii="Calibri" w:hAnsi="Calibri"/>
      <w:sz w:val="20"/>
      <w:szCs w:val="20"/>
    </w:rPr>
  </w:style>
  <w:style w:type="paragraph" w:styleId="13">
    <w:name w:val="caption"/>
    <w:basedOn w:val="1"/>
    <w:next w:val="1"/>
    <w:qFormat/>
    <w:uiPriority w:val="0"/>
    <w:pPr>
      <w:spacing w:before="152" w:after="160"/>
    </w:pPr>
    <w:rPr>
      <w:rFonts w:ascii="Arial" w:hAnsi="Arial" w:eastAsia="黑体" w:cs="Arial"/>
      <w:sz w:val="20"/>
      <w:szCs w:val="20"/>
    </w:rPr>
  </w:style>
  <w:style w:type="paragraph" w:styleId="14">
    <w:name w:val="index 5"/>
    <w:basedOn w:val="1"/>
    <w:next w:val="1"/>
    <w:qFormat/>
    <w:uiPriority w:val="0"/>
    <w:pPr>
      <w:ind w:left="1050" w:hanging="210"/>
      <w:jc w:val="left"/>
    </w:pPr>
    <w:rPr>
      <w:rFonts w:ascii="Calibri" w:hAnsi="Calibri"/>
      <w:sz w:val="20"/>
      <w:szCs w:val="20"/>
    </w:rPr>
  </w:style>
  <w:style w:type="paragraph" w:styleId="15">
    <w:name w:val="Document Map"/>
    <w:basedOn w:val="1"/>
    <w:link w:val="85"/>
    <w:semiHidden/>
    <w:qFormat/>
    <w:uiPriority w:val="0"/>
    <w:pPr>
      <w:shd w:val="clear" w:color="auto" w:fill="000080"/>
    </w:pPr>
  </w:style>
  <w:style w:type="paragraph" w:styleId="16">
    <w:name w:val="annotation text"/>
    <w:basedOn w:val="1"/>
    <w:link w:val="86"/>
    <w:qFormat/>
    <w:uiPriority w:val="0"/>
    <w:pPr>
      <w:jc w:val="left"/>
    </w:pPr>
  </w:style>
  <w:style w:type="paragraph" w:styleId="17">
    <w:name w:val="index 6"/>
    <w:basedOn w:val="1"/>
    <w:next w:val="1"/>
    <w:qFormat/>
    <w:uiPriority w:val="0"/>
    <w:pPr>
      <w:ind w:left="1260" w:hanging="210"/>
      <w:jc w:val="left"/>
    </w:pPr>
    <w:rPr>
      <w:rFonts w:ascii="Calibri" w:hAnsi="Calibri"/>
      <w:sz w:val="20"/>
      <w:szCs w:val="20"/>
    </w:rPr>
  </w:style>
  <w:style w:type="paragraph" w:styleId="18">
    <w:name w:val="index 4"/>
    <w:basedOn w:val="1"/>
    <w:next w:val="1"/>
    <w:qFormat/>
    <w:uiPriority w:val="0"/>
    <w:pPr>
      <w:ind w:left="840" w:hanging="210"/>
      <w:jc w:val="left"/>
    </w:pPr>
    <w:rPr>
      <w:rFonts w:ascii="Calibri" w:hAnsi="Calibri"/>
      <w:sz w:val="20"/>
      <w:szCs w:val="20"/>
    </w:rPr>
  </w:style>
  <w:style w:type="paragraph" w:styleId="19">
    <w:name w:val="toc 5"/>
    <w:basedOn w:val="1"/>
    <w:next w:val="1"/>
    <w:semiHidden/>
    <w:qFormat/>
    <w:uiPriority w:val="0"/>
    <w:pPr>
      <w:tabs>
        <w:tab w:val="right" w:leader="dot" w:pos="9241"/>
      </w:tabs>
      <w:ind w:firstLine="300" w:firstLineChars="300"/>
      <w:jc w:val="left"/>
    </w:pPr>
    <w:rPr>
      <w:rFonts w:ascii="宋体"/>
      <w:szCs w:val="21"/>
    </w:rPr>
  </w:style>
  <w:style w:type="paragraph" w:styleId="20">
    <w:name w:val="toc 3"/>
    <w:basedOn w:val="1"/>
    <w:next w:val="1"/>
    <w:qFormat/>
    <w:uiPriority w:val="39"/>
    <w:pPr>
      <w:tabs>
        <w:tab w:val="right" w:leader="dot" w:pos="9241"/>
      </w:tabs>
      <w:ind w:firstLine="102" w:firstLineChars="100"/>
      <w:jc w:val="left"/>
    </w:pPr>
    <w:rPr>
      <w:rFonts w:ascii="宋体"/>
      <w:szCs w:val="21"/>
    </w:rPr>
  </w:style>
  <w:style w:type="paragraph" w:styleId="21">
    <w:name w:val="toc 8"/>
    <w:basedOn w:val="1"/>
    <w:next w:val="1"/>
    <w:semiHidden/>
    <w:qFormat/>
    <w:uiPriority w:val="0"/>
    <w:pPr>
      <w:tabs>
        <w:tab w:val="right" w:leader="dot" w:pos="9241"/>
      </w:tabs>
      <w:ind w:firstLine="607" w:firstLineChars="600"/>
      <w:jc w:val="left"/>
    </w:pPr>
    <w:rPr>
      <w:rFonts w:ascii="宋体"/>
      <w:szCs w:val="21"/>
    </w:rPr>
  </w:style>
  <w:style w:type="paragraph" w:styleId="22">
    <w:name w:val="index 3"/>
    <w:basedOn w:val="1"/>
    <w:next w:val="1"/>
    <w:qFormat/>
    <w:uiPriority w:val="0"/>
    <w:pPr>
      <w:ind w:left="630" w:hanging="210"/>
      <w:jc w:val="left"/>
    </w:pPr>
    <w:rPr>
      <w:rFonts w:ascii="Calibri" w:hAnsi="Calibri"/>
      <w:sz w:val="20"/>
      <w:szCs w:val="20"/>
    </w:rPr>
  </w:style>
  <w:style w:type="paragraph" w:styleId="23">
    <w:name w:val="endnote text"/>
    <w:basedOn w:val="1"/>
    <w:link w:val="87"/>
    <w:semiHidden/>
    <w:qFormat/>
    <w:uiPriority w:val="0"/>
    <w:pPr>
      <w:snapToGrid w:val="0"/>
      <w:jc w:val="left"/>
    </w:pPr>
  </w:style>
  <w:style w:type="paragraph" w:styleId="24">
    <w:name w:val="Balloon Text"/>
    <w:basedOn w:val="1"/>
    <w:link w:val="88"/>
    <w:qFormat/>
    <w:uiPriority w:val="0"/>
    <w:rPr>
      <w:sz w:val="18"/>
      <w:szCs w:val="18"/>
    </w:rPr>
  </w:style>
  <w:style w:type="paragraph" w:styleId="25">
    <w:name w:val="footer"/>
    <w:basedOn w:val="1"/>
    <w:link w:val="72"/>
    <w:unhideWhenUsed/>
    <w:qFormat/>
    <w:uiPriority w:val="0"/>
    <w:pPr>
      <w:tabs>
        <w:tab w:val="center" w:pos="4153"/>
        <w:tab w:val="right" w:pos="8306"/>
      </w:tabs>
      <w:snapToGrid w:val="0"/>
      <w:jc w:val="left"/>
    </w:pPr>
    <w:rPr>
      <w:sz w:val="18"/>
      <w:szCs w:val="18"/>
    </w:rPr>
  </w:style>
  <w:style w:type="paragraph" w:styleId="26">
    <w:name w:val="header"/>
    <w:basedOn w:val="1"/>
    <w:link w:val="71"/>
    <w:unhideWhenUsed/>
    <w:qFormat/>
    <w:uiPriority w:val="0"/>
    <w:pPr>
      <w:tabs>
        <w:tab w:val="center" w:pos="4153"/>
        <w:tab w:val="right" w:pos="8306"/>
      </w:tabs>
      <w:snapToGrid w:val="0"/>
      <w:jc w:val="center"/>
    </w:pPr>
    <w:rPr>
      <w:sz w:val="18"/>
      <w:szCs w:val="18"/>
    </w:rPr>
  </w:style>
  <w:style w:type="paragraph" w:styleId="27">
    <w:name w:val="toc 1"/>
    <w:basedOn w:val="1"/>
    <w:next w:val="1"/>
    <w:qFormat/>
    <w:uiPriority w:val="39"/>
    <w:pPr>
      <w:tabs>
        <w:tab w:val="right" w:leader="dot" w:pos="9241"/>
      </w:tabs>
      <w:spacing w:beforeLines="25" w:afterLines="25"/>
      <w:jc w:val="left"/>
    </w:pPr>
    <w:rPr>
      <w:rFonts w:ascii="宋体"/>
      <w:szCs w:val="21"/>
    </w:rPr>
  </w:style>
  <w:style w:type="paragraph" w:styleId="28">
    <w:name w:val="toc 4"/>
    <w:basedOn w:val="1"/>
    <w:next w:val="1"/>
    <w:qFormat/>
    <w:uiPriority w:val="39"/>
    <w:pPr>
      <w:tabs>
        <w:tab w:val="right" w:leader="dot" w:pos="9241"/>
      </w:tabs>
      <w:ind w:firstLine="198" w:firstLineChars="200"/>
      <w:jc w:val="left"/>
    </w:pPr>
    <w:rPr>
      <w:rFonts w:ascii="宋体"/>
      <w:szCs w:val="21"/>
    </w:rPr>
  </w:style>
  <w:style w:type="paragraph" w:styleId="29">
    <w:name w:val="index heading"/>
    <w:basedOn w:val="1"/>
    <w:next w:val="30"/>
    <w:qFormat/>
    <w:uiPriority w:val="99"/>
    <w:pPr>
      <w:spacing w:before="120" w:after="120"/>
      <w:jc w:val="center"/>
    </w:pPr>
    <w:rPr>
      <w:rFonts w:ascii="Calibri" w:hAnsi="Calibri"/>
      <w:b/>
      <w:bCs/>
      <w:iCs/>
      <w:szCs w:val="20"/>
    </w:rPr>
  </w:style>
  <w:style w:type="paragraph" w:styleId="30">
    <w:name w:val="index 1"/>
    <w:basedOn w:val="1"/>
    <w:next w:val="1"/>
    <w:unhideWhenUsed/>
    <w:qFormat/>
    <w:uiPriority w:val="99"/>
  </w:style>
  <w:style w:type="paragraph" w:styleId="31">
    <w:name w:val="Subtitle"/>
    <w:basedOn w:val="1"/>
    <w:next w:val="1"/>
    <w:link w:val="63"/>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2">
    <w:name w:val="footnote text"/>
    <w:basedOn w:val="1"/>
    <w:link w:val="89"/>
    <w:qFormat/>
    <w:uiPriority w:val="0"/>
    <w:pPr>
      <w:numPr>
        <w:ilvl w:val="0"/>
        <w:numId w:val="1"/>
      </w:numPr>
      <w:tabs>
        <w:tab w:val="left" w:pos="0"/>
      </w:tabs>
      <w:snapToGrid w:val="0"/>
      <w:jc w:val="left"/>
    </w:pPr>
    <w:rPr>
      <w:rFonts w:ascii="宋体"/>
      <w:sz w:val="18"/>
      <w:szCs w:val="18"/>
    </w:rPr>
  </w:style>
  <w:style w:type="paragraph" w:styleId="33">
    <w:name w:val="toc 6"/>
    <w:basedOn w:val="1"/>
    <w:next w:val="1"/>
    <w:semiHidden/>
    <w:qFormat/>
    <w:uiPriority w:val="0"/>
    <w:pPr>
      <w:tabs>
        <w:tab w:val="right" w:leader="dot" w:pos="9241"/>
      </w:tabs>
      <w:ind w:firstLine="403" w:firstLineChars="400"/>
      <w:jc w:val="left"/>
    </w:pPr>
    <w:rPr>
      <w:rFonts w:ascii="宋体"/>
      <w:szCs w:val="21"/>
    </w:rPr>
  </w:style>
  <w:style w:type="paragraph" w:styleId="34">
    <w:name w:val="index 7"/>
    <w:basedOn w:val="1"/>
    <w:next w:val="1"/>
    <w:qFormat/>
    <w:uiPriority w:val="0"/>
    <w:pPr>
      <w:ind w:left="1470" w:hanging="210"/>
      <w:jc w:val="left"/>
    </w:pPr>
    <w:rPr>
      <w:rFonts w:ascii="Calibri" w:hAnsi="Calibri"/>
      <w:sz w:val="20"/>
      <w:szCs w:val="20"/>
    </w:rPr>
  </w:style>
  <w:style w:type="paragraph" w:styleId="35">
    <w:name w:val="index 9"/>
    <w:basedOn w:val="1"/>
    <w:next w:val="1"/>
    <w:qFormat/>
    <w:uiPriority w:val="0"/>
    <w:pPr>
      <w:ind w:left="1890" w:hanging="210"/>
      <w:jc w:val="left"/>
    </w:pPr>
    <w:rPr>
      <w:rFonts w:ascii="Calibri" w:hAnsi="Calibri"/>
      <w:sz w:val="20"/>
      <w:szCs w:val="20"/>
    </w:rPr>
  </w:style>
  <w:style w:type="paragraph" w:styleId="36">
    <w:name w:val="toc 2"/>
    <w:basedOn w:val="1"/>
    <w:next w:val="1"/>
    <w:semiHidden/>
    <w:qFormat/>
    <w:uiPriority w:val="0"/>
    <w:pPr>
      <w:tabs>
        <w:tab w:val="right" w:leader="dot" w:pos="9241"/>
      </w:tabs>
    </w:pPr>
    <w:rPr>
      <w:rFonts w:ascii="宋体"/>
      <w:szCs w:val="21"/>
    </w:rPr>
  </w:style>
  <w:style w:type="paragraph" w:styleId="37">
    <w:name w:val="toc 9"/>
    <w:basedOn w:val="1"/>
    <w:next w:val="1"/>
    <w:semiHidden/>
    <w:qFormat/>
    <w:uiPriority w:val="0"/>
    <w:pPr>
      <w:ind w:left="1470"/>
      <w:jc w:val="left"/>
    </w:pPr>
    <w:rPr>
      <w:sz w:val="20"/>
      <w:szCs w:val="20"/>
    </w:rPr>
  </w:style>
  <w:style w:type="paragraph" w:styleId="38">
    <w:name w:val="Normal (Web)"/>
    <w:basedOn w:val="1"/>
    <w:qFormat/>
    <w:uiPriority w:val="0"/>
    <w:rPr>
      <w:sz w:val="24"/>
    </w:rPr>
  </w:style>
  <w:style w:type="paragraph" w:styleId="39">
    <w:name w:val="index 2"/>
    <w:basedOn w:val="1"/>
    <w:next w:val="1"/>
    <w:qFormat/>
    <w:uiPriority w:val="0"/>
    <w:pPr>
      <w:ind w:left="420" w:hanging="210"/>
      <w:jc w:val="left"/>
    </w:pPr>
    <w:rPr>
      <w:rFonts w:ascii="Calibri" w:hAnsi="Calibri"/>
      <w:sz w:val="20"/>
      <w:szCs w:val="20"/>
    </w:rPr>
  </w:style>
  <w:style w:type="paragraph" w:styleId="40">
    <w:name w:val="Title"/>
    <w:basedOn w:val="1"/>
    <w:next w:val="1"/>
    <w:link w:val="62"/>
    <w:qFormat/>
    <w:uiPriority w:val="10"/>
    <w:pPr>
      <w:spacing w:after="80"/>
      <w:contextualSpacing/>
      <w:jc w:val="center"/>
    </w:pPr>
    <w:rPr>
      <w:rFonts w:asciiTheme="majorHAnsi" w:hAnsiTheme="majorHAnsi" w:eastAsiaTheme="majorEastAsia" w:cstheme="majorBidi"/>
      <w:spacing w:val="-10"/>
      <w:kern w:val="28"/>
      <w:sz w:val="56"/>
      <w:szCs w:val="56"/>
    </w:rPr>
  </w:style>
  <w:style w:type="paragraph" w:styleId="41">
    <w:name w:val="annotation subject"/>
    <w:basedOn w:val="16"/>
    <w:next w:val="16"/>
    <w:link w:val="90"/>
    <w:qFormat/>
    <w:uiPriority w:val="0"/>
    <w:rPr>
      <w:b/>
      <w:bCs/>
    </w:rPr>
  </w:style>
  <w:style w:type="table" w:styleId="43">
    <w:name w:val="Table Grid"/>
    <w:basedOn w:val="42"/>
    <w:qFormat/>
    <w:uiPriority w:val="0"/>
    <w:rPr>
      <w:rFonts w:ascii="宋体"/>
      <w:sz w:val="18"/>
      <w:szCs w:val="18"/>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45">
    <w:name w:val="Strong"/>
    <w:basedOn w:val="44"/>
    <w:qFormat/>
    <w:uiPriority w:val="22"/>
    <w:rPr>
      <w:b/>
    </w:rPr>
  </w:style>
  <w:style w:type="character" w:styleId="46">
    <w:name w:val="endnote reference"/>
    <w:semiHidden/>
    <w:qFormat/>
    <w:uiPriority w:val="0"/>
    <w:rPr>
      <w:vertAlign w:val="superscript"/>
    </w:rPr>
  </w:style>
  <w:style w:type="character" w:styleId="47">
    <w:name w:val="page number"/>
    <w:qFormat/>
    <w:uiPriority w:val="0"/>
    <w:rPr>
      <w:rFonts w:ascii="Times New Roman" w:hAnsi="Times New Roman" w:eastAsia="宋体"/>
      <w:sz w:val="18"/>
    </w:rPr>
  </w:style>
  <w:style w:type="character" w:styleId="48">
    <w:name w:val="FollowedHyperlink"/>
    <w:qFormat/>
    <w:uiPriority w:val="0"/>
    <w:rPr>
      <w:color w:val="800080"/>
      <w:u w:val="single"/>
    </w:rPr>
  </w:style>
  <w:style w:type="character" w:styleId="49">
    <w:name w:val="Emphasis"/>
    <w:qFormat/>
    <w:uiPriority w:val="0"/>
    <w:rPr>
      <w:i/>
    </w:rPr>
  </w:style>
  <w:style w:type="character" w:styleId="50">
    <w:name w:val="Hyperlink"/>
    <w:qFormat/>
    <w:uiPriority w:val="99"/>
    <w:rPr>
      <w:color w:val="0000FF"/>
      <w:spacing w:val="0"/>
      <w:w w:val="100"/>
      <w:szCs w:val="21"/>
      <w:u w:val="single"/>
      <w:lang w:val="en-US" w:eastAsia="zh-CN"/>
    </w:rPr>
  </w:style>
  <w:style w:type="character" w:styleId="51">
    <w:name w:val="annotation reference"/>
    <w:qFormat/>
    <w:uiPriority w:val="0"/>
    <w:rPr>
      <w:sz w:val="21"/>
      <w:szCs w:val="21"/>
    </w:rPr>
  </w:style>
  <w:style w:type="character" w:styleId="52">
    <w:name w:val="footnote reference"/>
    <w:semiHidden/>
    <w:qFormat/>
    <w:uiPriority w:val="0"/>
    <w:rPr>
      <w:vertAlign w:val="superscript"/>
    </w:rPr>
  </w:style>
  <w:style w:type="character" w:customStyle="1" w:styleId="53">
    <w:name w:val="标题 1 字符"/>
    <w:basedOn w:val="44"/>
    <w:link w:val="2"/>
    <w:qFormat/>
    <w:uiPriority w:val="9"/>
    <w:rPr>
      <w:rFonts w:asciiTheme="majorHAnsi" w:hAnsiTheme="majorHAnsi" w:eastAsiaTheme="majorEastAsia" w:cstheme="majorBidi"/>
      <w:color w:val="2F5597" w:themeColor="accent1" w:themeShade="BF"/>
      <w:sz w:val="48"/>
      <w:szCs w:val="48"/>
    </w:rPr>
  </w:style>
  <w:style w:type="character" w:customStyle="1" w:styleId="54">
    <w:name w:val="标题 2 字符"/>
    <w:basedOn w:val="44"/>
    <w:link w:val="3"/>
    <w:semiHidden/>
    <w:qFormat/>
    <w:uiPriority w:val="9"/>
    <w:rPr>
      <w:rFonts w:asciiTheme="majorHAnsi" w:hAnsiTheme="majorHAnsi" w:eastAsiaTheme="majorEastAsia" w:cstheme="majorBidi"/>
      <w:color w:val="2F5597" w:themeColor="accent1" w:themeShade="BF"/>
      <w:sz w:val="40"/>
      <w:szCs w:val="40"/>
    </w:rPr>
  </w:style>
  <w:style w:type="character" w:customStyle="1" w:styleId="55">
    <w:name w:val="标题 3 字符"/>
    <w:basedOn w:val="44"/>
    <w:link w:val="4"/>
    <w:semiHidden/>
    <w:qFormat/>
    <w:uiPriority w:val="9"/>
    <w:rPr>
      <w:rFonts w:asciiTheme="majorHAnsi" w:hAnsiTheme="majorHAnsi" w:eastAsiaTheme="majorEastAsia" w:cstheme="majorBidi"/>
      <w:color w:val="2F5597" w:themeColor="accent1" w:themeShade="BF"/>
      <w:sz w:val="32"/>
      <w:szCs w:val="32"/>
    </w:rPr>
  </w:style>
  <w:style w:type="character" w:customStyle="1" w:styleId="56">
    <w:name w:val="标题 4 字符"/>
    <w:basedOn w:val="44"/>
    <w:link w:val="5"/>
    <w:semiHidden/>
    <w:qFormat/>
    <w:uiPriority w:val="9"/>
    <w:rPr>
      <w:rFonts w:cstheme="majorBidi"/>
      <w:color w:val="2F5597" w:themeColor="accent1" w:themeShade="BF"/>
      <w:sz w:val="28"/>
      <w:szCs w:val="28"/>
    </w:rPr>
  </w:style>
  <w:style w:type="character" w:customStyle="1" w:styleId="57">
    <w:name w:val="标题 5 字符"/>
    <w:basedOn w:val="44"/>
    <w:link w:val="6"/>
    <w:semiHidden/>
    <w:qFormat/>
    <w:uiPriority w:val="9"/>
    <w:rPr>
      <w:rFonts w:cstheme="majorBidi"/>
      <w:color w:val="2F5597" w:themeColor="accent1" w:themeShade="BF"/>
      <w:sz w:val="24"/>
      <w:szCs w:val="24"/>
    </w:rPr>
  </w:style>
  <w:style w:type="character" w:customStyle="1" w:styleId="58">
    <w:name w:val="标题 6 字符"/>
    <w:basedOn w:val="44"/>
    <w:link w:val="7"/>
    <w:semiHidden/>
    <w:qFormat/>
    <w:uiPriority w:val="9"/>
    <w:rPr>
      <w:rFonts w:cstheme="majorBidi"/>
      <w:b/>
      <w:bCs/>
      <w:color w:val="2F5597" w:themeColor="accent1" w:themeShade="BF"/>
    </w:rPr>
  </w:style>
  <w:style w:type="character" w:customStyle="1" w:styleId="59">
    <w:name w:val="标题 7 字符"/>
    <w:basedOn w:val="44"/>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60">
    <w:name w:val="标题 8 字符"/>
    <w:basedOn w:val="44"/>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61">
    <w:name w:val="标题 9 字符"/>
    <w:basedOn w:val="44"/>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62">
    <w:name w:val="标题 字符"/>
    <w:basedOn w:val="44"/>
    <w:link w:val="40"/>
    <w:qFormat/>
    <w:uiPriority w:val="10"/>
    <w:rPr>
      <w:rFonts w:asciiTheme="majorHAnsi" w:hAnsiTheme="majorHAnsi" w:eastAsiaTheme="majorEastAsia" w:cstheme="majorBidi"/>
      <w:spacing w:val="-10"/>
      <w:kern w:val="28"/>
      <w:sz w:val="56"/>
      <w:szCs w:val="56"/>
    </w:rPr>
  </w:style>
  <w:style w:type="character" w:customStyle="1" w:styleId="63">
    <w:name w:val="副标题 字符"/>
    <w:basedOn w:val="44"/>
    <w:link w:val="31"/>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64">
    <w:name w:val="Quote"/>
    <w:basedOn w:val="1"/>
    <w:next w:val="1"/>
    <w:link w:val="65"/>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65">
    <w:name w:val="引用 字符"/>
    <w:basedOn w:val="44"/>
    <w:link w:val="64"/>
    <w:qFormat/>
    <w:uiPriority w:val="29"/>
    <w:rPr>
      <w:i/>
      <w:iCs/>
      <w:color w:val="404040" w:themeColor="text1" w:themeTint="BF"/>
      <w14:textFill>
        <w14:solidFill>
          <w14:schemeClr w14:val="tx1">
            <w14:lumMod w14:val="75000"/>
            <w14:lumOff w14:val="25000"/>
          </w14:schemeClr>
        </w14:solidFill>
      </w14:textFill>
    </w:rPr>
  </w:style>
  <w:style w:type="paragraph" w:styleId="66">
    <w:name w:val="List Paragraph"/>
    <w:basedOn w:val="1"/>
    <w:qFormat/>
    <w:uiPriority w:val="34"/>
    <w:pPr>
      <w:ind w:left="720"/>
      <w:contextualSpacing/>
    </w:pPr>
  </w:style>
  <w:style w:type="character" w:customStyle="1" w:styleId="67">
    <w:name w:val="明显强调1"/>
    <w:basedOn w:val="44"/>
    <w:qFormat/>
    <w:uiPriority w:val="21"/>
    <w:rPr>
      <w:i/>
      <w:iCs/>
      <w:color w:val="2F5597" w:themeColor="accent1" w:themeShade="BF"/>
    </w:rPr>
  </w:style>
  <w:style w:type="paragraph" w:styleId="68">
    <w:name w:val="Intense Quote"/>
    <w:basedOn w:val="1"/>
    <w:next w:val="1"/>
    <w:link w:val="69"/>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i/>
      <w:iCs/>
      <w:color w:val="2F5597" w:themeColor="accent1" w:themeShade="BF"/>
    </w:rPr>
  </w:style>
  <w:style w:type="character" w:customStyle="1" w:styleId="69">
    <w:name w:val="明显引用 字符"/>
    <w:basedOn w:val="44"/>
    <w:link w:val="68"/>
    <w:qFormat/>
    <w:uiPriority w:val="30"/>
    <w:rPr>
      <w:i/>
      <w:iCs/>
      <w:color w:val="2F5597" w:themeColor="accent1" w:themeShade="BF"/>
    </w:rPr>
  </w:style>
  <w:style w:type="character" w:customStyle="1" w:styleId="70">
    <w:name w:val="明显参考1"/>
    <w:basedOn w:val="44"/>
    <w:qFormat/>
    <w:uiPriority w:val="32"/>
    <w:rPr>
      <w:b/>
      <w:bCs/>
      <w:smallCaps/>
      <w:color w:val="2F5597" w:themeColor="accent1" w:themeShade="BF"/>
      <w:spacing w:val="5"/>
    </w:rPr>
  </w:style>
  <w:style w:type="character" w:customStyle="1" w:styleId="71">
    <w:name w:val="页眉 字符"/>
    <w:basedOn w:val="44"/>
    <w:link w:val="26"/>
    <w:qFormat/>
    <w:uiPriority w:val="99"/>
    <w:rPr>
      <w:sz w:val="18"/>
      <w:szCs w:val="18"/>
    </w:rPr>
  </w:style>
  <w:style w:type="character" w:customStyle="1" w:styleId="72">
    <w:name w:val="页脚 字符"/>
    <w:basedOn w:val="44"/>
    <w:link w:val="25"/>
    <w:qFormat/>
    <w:uiPriority w:val="99"/>
    <w:rPr>
      <w:sz w:val="18"/>
      <w:szCs w:val="18"/>
    </w:rPr>
  </w:style>
  <w:style w:type="paragraph" w:customStyle="1" w:styleId="73">
    <w:name w:val="段"/>
    <w:link w:val="74"/>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 w:type="character" w:customStyle="1" w:styleId="74">
    <w:name w:val="段 Char"/>
    <w:link w:val="73"/>
    <w:qFormat/>
    <w:uiPriority w:val="0"/>
    <w:rPr>
      <w:rFonts w:ascii="宋体" w:hAnsi="Times New Roman" w:eastAsia="宋体" w:cs="Times New Roman"/>
      <w:kern w:val="0"/>
      <w:szCs w:val="20"/>
    </w:rPr>
  </w:style>
  <w:style w:type="paragraph" w:customStyle="1" w:styleId="75">
    <w:name w:val="目次、标准名称标题"/>
    <w:basedOn w:val="1"/>
    <w:next w:val="73"/>
    <w:qFormat/>
    <w:uiPriority w:val="0"/>
    <w:pPr>
      <w:keepNext/>
      <w:pageBreakBefore/>
      <w:widowControl/>
      <w:shd w:val="clear" w:color="FFFFFF" w:fill="FFFFFF"/>
      <w:spacing w:before="640" w:after="560" w:line="460" w:lineRule="exact"/>
      <w:jc w:val="center"/>
      <w:outlineLvl w:val="0"/>
    </w:pPr>
    <w:rPr>
      <w:rFonts w:ascii="黑体" w:eastAsia="黑体"/>
      <w:kern w:val="0"/>
      <w:sz w:val="32"/>
      <w:szCs w:val="20"/>
    </w:rPr>
  </w:style>
  <w:style w:type="paragraph" w:customStyle="1" w:styleId="76">
    <w:name w:val="标准书脚_偶数页"/>
    <w:qFormat/>
    <w:uiPriority w:val="0"/>
    <w:pPr>
      <w:spacing w:before="120"/>
      <w:ind w:left="221"/>
    </w:pPr>
    <w:rPr>
      <w:rFonts w:ascii="宋体" w:hAnsi="Times New Roman" w:eastAsia="宋体" w:cs="Times New Roman"/>
      <w:sz w:val="18"/>
      <w:szCs w:val="18"/>
      <w:lang w:val="en-US" w:eastAsia="zh-CN" w:bidi="ar-SA"/>
    </w:rPr>
  </w:style>
  <w:style w:type="paragraph" w:customStyle="1" w:styleId="77">
    <w:name w:val="二级条标题"/>
    <w:basedOn w:val="78"/>
    <w:next w:val="73"/>
    <w:qFormat/>
    <w:uiPriority w:val="0"/>
    <w:pPr>
      <w:numPr>
        <w:ilvl w:val="2"/>
      </w:numPr>
      <w:spacing w:before="50" w:after="50"/>
      <w:outlineLvl w:val="3"/>
    </w:pPr>
  </w:style>
  <w:style w:type="paragraph" w:customStyle="1" w:styleId="78">
    <w:name w:val="一级条标题"/>
    <w:next w:val="73"/>
    <w:qFormat/>
    <w:uiPriority w:val="0"/>
    <w:pPr>
      <w:numPr>
        <w:ilvl w:val="1"/>
        <w:numId w:val="2"/>
      </w:numPr>
      <w:spacing w:beforeLines="50" w:afterLines="50"/>
      <w:outlineLvl w:val="2"/>
    </w:pPr>
    <w:rPr>
      <w:rFonts w:ascii="黑体" w:hAnsi="Times New Roman" w:eastAsia="黑体" w:cs="Times New Roman"/>
      <w:sz w:val="21"/>
      <w:szCs w:val="21"/>
      <w:lang w:val="en-US" w:eastAsia="zh-CN" w:bidi="ar-SA"/>
    </w:rPr>
  </w:style>
  <w:style w:type="paragraph" w:customStyle="1" w:styleId="79">
    <w:name w:val="附录章标题"/>
    <w:next w:val="73"/>
    <w:qFormat/>
    <w:uiPriority w:val="0"/>
    <w:pPr>
      <w:numPr>
        <w:ilvl w:val="1"/>
        <w:numId w:val="3"/>
      </w:numPr>
      <w:tabs>
        <w:tab w:val="left" w:pos="360"/>
      </w:tabs>
      <w:wordWrap w:val="0"/>
      <w:overflowPunct w:val="0"/>
      <w:autoSpaceDE w:val="0"/>
      <w:spacing w:beforeLines="100" w:afterLines="100"/>
      <w:jc w:val="both"/>
      <w:textAlignment w:val="baseline"/>
      <w:outlineLvl w:val="1"/>
    </w:pPr>
    <w:rPr>
      <w:rFonts w:ascii="黑体" w:hAnsi="Times New Roman" w:eastAsia="黑体" w:cs="Times New Roman"/>
      <w:kern w:val="21"/>
      <w:sz w:val="21"/>
      <w:lang w:val="en-US" w:eastAsia="zh-CN" w:bidi="ar-SA"/>
    </w:rPr>
  </w:style>
  <w:style w:type="paragraph" w:customStyle="1" w:styleId="80">
    <w:name w:val="章标题"/>
    <w:next w:val="73"/>
    <w:qFormat/>
    <w:uiPriority w:val="0"/>
    <w:pPr>
      <w:numPr>
        <w:ilvl w:val="0"/>
        <w:numId w:val="2"/>
      </w:numPr>
      <w:spacing w:beforeLines="100" w:afterLines="100"/>
      <w:jc w:val="both"/>
      <w:outlineLvl w:val="1"/>
    </w:pPr>
    <w:rPr>
      <w:rFonts w:ascii="黑体" w:hAnsi="Times New Roman" w:eastAsia="黑体" w:cs="Times New Roman"/>
      <w:sz w:val="21"/>
      <w:lang w:val="en-US" w:eastAsia="zh-CN" w:bidi="ar-SA"/>
    </w:rPr>
  </w:style>
  <w:style w:type="paragraph" w:customStyle="1" w:styleId="81">
    <w:name w:val="前言、引言标题"/>
    <w:next w:val="73"/>
    <w:qFormat/>
    <w:uiPriority w:val="0"/>
    <w:pPr>
      <w:keepNext/>
      <w:pageBreakBefore/>
      <w:shd w:val="clear" w:color="FFFFFF" w:fill="FFFFFF"/>
      <w:spacing w:before="640" w:after="560"/>
      <w:jc w:val="center"/>
      <w:outlineLvl w:val="0"/>
    </w:pPr>
    <w:rPr>
      <w:rFonts w:ascii="黑体" w:hAnsi="Times New Roman" w:eastAsia="黑体" w:cs="Times New Roman"/>
      <w:sz w:val="32"/>
      <w:lang w:val="en-US" w:eastAsia="zh-CN" w:bidi="ar-SA"/>
    </w:rPr>
  </w:style>
  <w:style w:type="paragraph" w:customStyle="1" w:styleId="82">
    <w:name w:val="标准书脚_奇数页"/>
    <w:qFormat/>
    <w:uiPriority w:val="0"/>
    <w:pPr>
      <w:spacing w:before="120"/>
      <w:ind w:right="198"/>
      <w:jc w:val="right"/>
    </w:pPr>
    <w:rPr>
      <w:rFonts w:ascii="宋体" w:hAnsi="Times New Roman" w:eastAsia="宋体" w:cs="Times New Roman"/>
      <w:sz w:val="18"/>
      <w:szCs w:val="18"/>
      <w:lang w:val="en-US" w:eastAsia="zh-CN" w:bidi="ar-SA"/>
    </w:rPr>
  </w:style>
  <w:style w:type="paragraph" w:customStyle="1" w:styleId="83">
    <w:name w:val="附录图标号"/>
    <w:basedOn w:val="1"/>
    <w:qFormat/>
    <w:uiPriority w:val="0"/>
    <w:pPr>
      <w:keepNext/>
      <w:pageBreakBefore/>
      <w:widowControl/>
      <w:numPr>
        <w:ilvl w:val="0"/>
        <w:numId w:val="4"/>
      </w:numPr>
      <w:spacing w:line="14" w:lineRule="exact"/>
      <w:ind w:firstLine="363"/>
      <w:jc w:val="center"/>
      <w:outlineLvl w:val="0"/>
    </w:pPr>
    <w:rPr>
      <w:color w:val="FFFFFF"/>
    </w:rPr>
  </w:style>
  <w:style w:type="paragraph" w:customStyle="1" w:styleId="84">
    <w:name w:val="附录标识"/>
    <w:basedOn w:val="1"/>
    <w:next w:val="73"/>
    <w:qFormat/>
    <w:uiPriority w:val="0"/>
    <w:pPr>
      <w:keepNext/>
      <w:widowControl/>
      <w:shd w:val="clear" w:color="FFFFFF" w:fill="FFFFFF"/>
      <w:tabs>
        <w:tab w:val="left" w:pos="360"/>
        <w:tab w:val="left" w:pos="6405"/>
      </w:tabs>
      <w:spacing w:before="640" w:after="280"/>
      <w:jc w:val="center"/>
      <w:outlineLvl w:val="0"/>
    </w:pPr>
    <w:rPr>
      <w:rFonts w:ascii="黑体" w:eastAsia="黑体"/>
      <w:kern w:val="0"/>
      <w:szCs w:val="20"/>
    </w:rPr>
  </w:style>
  <w:style w:type="character" w:customStyle="1" w:styleId="85">
    <w:name w:val="文档结构图 字符"/>
    <w:basedOn w:val="44"/>
    <w:link w:val="15"/>
    <w:semiHidden/>
    <w:qFormat/>
    <w:uiPriority w:val="0"/>
    <w:rPr>
      <w:rFonts w:ascii="Times New Roman" w:hAnsi="Times New Roman" w:eastAsia="宋体" w:cs="Times New Roman"/>
      <w:szCs w:val="24"/>
      <w:shd w:val="clear" w:color="auto" w:fill="000080"/>
    </w:rPr>
  </w:style>
  <w:style w:type="character" w:customStyle="1" w:styleId="86">
    <w:name w:val="批注文字 字符"/>
    <w:basedOn w:val="44"/>
    <w:link w:val="16"/>
    <w:qFormat/>
    <w:uiPriority w:val="0"/>
    <w:rPr>
      <w:rFonts w:ascii="Times New Roman" w:hAnsi="Times New Roman" w:eastAsia="宋体" w:cs="Times New Roman"/>
      <w:szCs w:val="24"/>
    </w:rPr>
  </w:style>
  <w:style w:type="character" w:customStyle="1" w:styleId="87">
    <w:name w:val="尾注文本 字符"/>
    <w:basedOn w:val="44"/>
    <w:link w:val="23"/>
    <w:semiHidden/>
    <w:qFormat/>
    <w:uiPriority w:val="0"/>
    <w:rPr>
      <w:rFonts w:ascii="Times New Roman" w:hAnsi="Times New Roman" w:eastAsia="宋体" w:cs="Times New Roman"/>
      <w:szCs w:val="24"/>
    </w:rPr>
  </w:style>
  <w:style w:type="character" w:customStyle="1" w:styleId="88">
    <w:name w:val="批注框文本 字符"/>
    <w:basedOn w:val="44"/>
    <w:link w:val="24"/>
    <w:qFormat/>
    <w:uiPriority w:val="0"/>
    <w:rPr>
      <w:rFonts w:ascii="Times New Roman" w:hAnsi="Times New Roman" w:eastAsia="宋体" w:cs="Times New Roman"/>
      <w:sz w:val="18"/>
      <w:szCs w:val="18"/>
    </w:rPr>
  </w:style>
  <w:style w:type="character" w:customStyle="1" w:styleId="89">
    <w:name w:val="脚注文本 字符"/>
    <w:basedOn w:val="44"/>
    <w:link w:val="32"/>
    <w:qFormat/>
    <w:uiPriority w:val="0"/>
    <w:rPr>
      <w:rFonts w:ascii="宋体" w:hAnsi="Times New Roman" w:eastAsia="宋体" w:cs="Times New Roman"/>
      <w:sz w:val="18"/>
      <w:szCs w:val="18"/>
    </w:rPr>
  </w:style>
  <w:style w:type="character" w:customStyle="1" w:styleId="90">
    <w:name w:val="批注主题 字符"/>
    <w:basedOn w:val="86"/>
    <w:link w:val="41"/>
    <w:qFormat/>
    <w:uiPriority w:val="0"/>
    <w:rPr>
      <w:rFonts w:ascii="Times New Roman" w:hAnsi="Times New Roman" w:eastAsia="宋体" w:cs="Times New Roman"/>
      <w:b/>
      <w:bCs/>
      <w:szCs w:val="24"/>
    </w:rPr>
  </w:style>
  <w:style w:type="character" w:customStyle="1" w:styleId="91">
    <w:name w:val="首示例 Char"/>
    <w:link w:val="92"/>
    <w:qFormat/>
    <w:uiPriority w:val="0"/>
    <w:rPr>
      <w:rFonts w:ascii="宋体" w:hAnsi="宋体"/>
      <w:sz w:val="18"/>
      <w:szCs w:val="18"/>
    </w:rPr>
  </w:style>
  <w:style w:type="paragraph" w:customStyle="1" w:styleId="92">
    <w:name w:val="首示例"/>
    <w:next w:val="73"/>
    <w:link w:val="91"/>
    <w:qFormat/>
    <w:uiPriority w:val="0"/>
    <w:pPr>
      <w:numPr>
        <w:ilvl w:val="0"/>
        <w:numId w:val="5"/>
      </w:numPr>
      <w:tabs>
        <w:tab w:val="left" w:pos="360"/>
      </w:tabs>
    </w:pPr>
    <w:rPr>
      <w:rFonts w:ascii="宋体" w:hAnsi="宋体" w:eastAsiaTheme="minorEastAsia" w:cstheme="minorBidi"/>
      <w:kern w:val="2"/>
      <w:sz w:val="18"/>
      <w:szCs w:val="18"/>
      <w:lang w:val="en-US" w:eastAsia="zh-CN" w:bidi="ar-SA"/>
    </w:rPr>
  </w:style>
  <w:style w:type="character" w:customStyle="1" w:styleId="93">
    <w:name w:val="附录公式 Char"/>
    <w:link w:val="94"/>
    <w:qFormat/>
    <w:uiPriority w:val="0"/>
  </w:style>
  <w:style w:type="paragraph" w:customStyle="1" w:styleId="94">
    <w:name w:val="附录公式"/>
    <w:basedOn w:val="73"/>
    <w:next w:val="73"/>
    <w:link w:val="93"/>
    <w:qFormat/>
    <w:uiPriority w:val="0"/>
    <w:rPr>
      <w:rFonts w:asciiTheme="minorHAnsi" w:hAnsiTheme="minorHAnsi" w:eastAsiaTheme="minorEastAsia" w:cstheme="minorBidi"/>
      <w:kern w:val="2"/>
      <w:szCs w:val="22"/>
    </w:rPr>
  </w:style>
  <w:style w:type="character" w:customStyle="1" w:styleId="95">
    <w:name w:val="发布"/>
    <w:qFormat/>
    <w:uiPriority w:val="0"/>
    <w:rPr>
      <w:rFonts w:ascii="黑体" w:eastAsia="黑体"/>
      <w:spacing w:val="85"/>
      <w:w w:val="100"/>
      <w:position w:val="3"/>
      <w:sz w:val="28"/>
      <w:szCs w:val="28"/>
    </w:rPr>
  </w:style>
  <w:style w:type="paragraph" w:customStyle="1" w:styleId="96">
    <w:name w:val="封面标准文稿编辑信息"/>
    <w:basedOn w:val="97"/>
    <w:qFormat/>
    <w:uiPriority w:val="0"/>
    <w:pPr>
      <w:framePr w:wrap="around"/>
      <w:spacing w:before="180" w:line="180" w:lineRule="exact"/>
    </w:pPr>
    <w:rPr>
      <w:sz w:val="21"/>
    </w:rPr>
  </w:style>
  <w:style w:type="paragraph" w:customStyle="1" w:styleId="97">
    <w:name w:val="封面标准文稿类别"/>
    <w:basedOn w:val="98"/>
    <w:qFormat/>
    <w:uiPriority w:val="0"/>
    <w:pPr>
      <w:framePr w:wrap="around"/>
      <w:spacing w:after="160" w:line="240" w:lineRule="auto"/>
    </w:pPr>
    <w:rPr>
      <w:sz w:val="24"/>
    </w:rPr>
  </w:style>
  <w:style w:type="paragraph" w:customStyle="1" w:styleId="98">
    <w:name w:val="封面一致性程度标识"/>
    <w:basedOn w:val="99"/>
    <w:qFormat/>
    <w:uiPriority w:val="0"/>
    <w:pPr>
      <w:framePr w:wrap="around"/>
      <w:spacing w:before="440"/>
    </w:pPr>
    <w:rPr>
      <w:rFonts w:ascii="宋体" w:eastAsia="宋体"/>
    </w:rPr>
  </w:style>
  <w:style w:type="paragraph" w:customStyle="1" w:styleId="99">
    <w:name w:val="封面标准英文名称"/>
    <w:basedOn w:val="100"/>
    <w:qFormat/>
    <w:uiPriority w:val="0"/>
    <w:pPr>
      <w:framePr w:wrap="around"/>
      <w:spacing w:before="370" w:line="400" w:lineRule="exact"/>
    </w:pPr>
    <w:rPr>
      <w:rFonts w:ascii="Times New Roman"/>
      <w:sz w:val="28"/>
      <w:szCs w:val="28"/>
    </w:rPr>
  </w:style>
  <w:style w:type="paragraph" w:customStyle="1" w:styleId="100">
    <w:name w:val="封面标准名称"/>
    <w:qFormat/>
    <w:uiPriority w:val="0"/>
    <w:pPr>
      <w:framePr w:w="9639" w:h="6917" w:hRule="exact" w:wrap="around" w:vAnchor="page" w:hAnchor="page" w:xAlign="center" w:y="6408"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101">
    <w:name w:val="封面标准英文名称2"/>
    <w:basedOn w:val="99"/>
    <w:qFormat/>
    <w:uiPriority w:val="0"/>
    <w:pPr>
      <w:framePr w:wrap="around" w:y="4469"/>
    </w:pPr>
  </w:style>
  <w:style w:type="paragraph" w:customStyle="1" w:styleId="102">
    <w:name w:val="其他实施日期"/>
    <w:basedOn w:val="103"/>
    <w:qFormat/>
    <w:uiPriority w:val="0"/>
    <w:pPr>
      <w:framePr w:wrap="around"/>
    </w:pPr>
  </w:style>
  <w:style w:type="paragraph" w:customStyle="1" w:styleId="103">
    <w:name w:val="实施日期"/>
    <w:basedOn w:val="104"/>
    <w:qFormat/>
    <w:uiPriority w:val="0"/>
    <w:pPr>
      <w:framePr w:wrap="around" w:vAnchor="page" w:hAnchor="text"/>
      <w:jc w:val="right"/>
    </w:pPr>
  </w:style>
  <w:style w:type="paragraph" w:customStyle="1" w:styleId="104">
    <w:name w:val="发布日期"/>
    <w:qFormat/>
    <w:uiPriority w:val="0"/>
    <w:pPr>
      <w:framePr w:w="3997" w:h="471" w:hRule="exact" w:vSpace="181" w:wrap="around" w:vAnchor="margin" w:hAnchor="page" w:x="7089" w:y="14097" w:anchorLock="1"/>
    </w:pPr>
    <w:rPr>
      <w:rFonts w:ascii="Times New Roman" w:hAnsi="Times New Roman" w:eastAsia="黑体" w:cs="Times New Roman"/>
      <w:sz w:val="28"/>
      <w:lang w:val="en-US" w:eastAsia="zh-CN" w:bidi="ar-SA"/>
    </w:rPr>
  </w:style>
  <w:style w:type="paragraph" w:customStyle="1" w:styleId="105">
    <w:name w:val="列项说明"/>
    <w:basedOn w:val="1"/>
    <w:qFormat/>
    <w:uiPriority w:val="0"/>
    <w:pPr>
      <w:adjustRightInd w:val="0"/>
      <w:spacing w:line="320" w:lineRule="exact"/>
      <w:ind w:left="400" w:leftChars="200" w:hanging="200" w:hangingChars="200"/>
      <w:jc w:val="left"/>
      <w:textAlignment w:val="baseline"/>
    </w:pPr>
    <w:rPr>
      <w:rFonts w:ascii="宋体"/>
      <w:kern w:val="0"/>
      <w:szCs w:val="20"/>
    </w:rPr>
  </w:style>
  <w:style w:type="paragraph" w:customStyle="1" w:styleId="106">
    <w:name w:val="正文公式编号制表符"/>
    <w:basedOn w:val="73"/>
    <w:next w:val="73"/>
    <w:qFormat/>
    <w:uiPriority w:val="0"/>
    <w:pPr>
      <w:ind w:firstLine="0" w:firstLineChars="0"/>
    </w:pPr>
  </w:style>
  <w:style w:type="paragraph" w:customStyle="1" w:styleId="107">
    <w:name w:val="封面正文"/>
    <w:qFormat/>
    <w:uiPriority w:val="0"/>
    <w:pPr>
      <w:jc w:val="both"/>
    </w:pPr>
    <w:rPr>
      <w:rFonts w:ascii="Times New Roman" w:hAnsi="Times New Roman" w:eastAsia="宋体" w:cs="Times New Roman"/>
      <w:lang w:val="en-US" w:eastAsia="zh-CN" w:bidi="ar-SA"/>
    </w:rPr>
  </w:style>
  <w:style w:type="paragraph" w:customStyle="1" w:styleId="108">
    <w:name w:val="附录标题"/>
    <w:basedOn w:val="73"/>
    <w:next w:val="73"/>
    <w:qFormat/>
    <w:uiPriority w:val="0"/>
    <w:pPr>
      <w:ind w:firstLine="0" w:firstLineChars="0"/>
      <w:jc w:val="center"/>
    </w:pPr>
    <w:rPr>
      <w:rFonts w:ascii="黑体" w:eastAsia="黑体"/>
    </w:rPr>
  </w:style>
  <w:style w:type="paragraph" w:customStyle="1" w:styleId="109">
    <w:name w:val="二级无"/>
    <w:basedOn w:val="77"/>
    <w:qFormat/>
    <w:uiPriority w:val="0"/>
    <w:pPr>
      <w:spacing w:beforeLines="0" w:afterLines="0"/>
      <w:ind w:left="0" w:firstLine="0"/>
    </w:pPr>
    <w:rPr>
      <w:rFonts w:ascii="宋体" w:eastAsia="宋体"/>
    </w:rPr>
  </w:style>
  <w:style w:type="paragraph" w:customStyle="1" w:styleId="110">
    <w:name w:val="封面标准名称2"/>
    <w:basedOn w:val="100"/>
    <w:qFormat/>
    <w:uiPriority w:val="0"/>
    <w:pPr>
      <w:framePr w:wrap="around" w:y="4469"/>
      <w:spacing w:beforeLines="630"/>
    </w:pPr>
  </w:style>
  <w:style w:type="paragraph" w:customStyle="1" w:styleId="111">
    <w:name w:val="附录三级条标题"/>
    <w:basedOn w:val="112"/>
    <w:next w:val="73"/>
    <w:qFormat/>
    <w:uiPriority w:val="0"/>
    <w:pPr>
      <w:numPr>
        <w:ilvl w:val="4"/>
      </w:numPr>
      <w:tabs>
        <w:tab w:val="left" w:pos="360"/>
      </w:tabs>
      <w:outlineLvl w:val="4"/>
    </w:pPr>
  </w:style>
  <w:style w:type="paragraph" w:customStyle="1" w:styleId="112">
    <w:name w:val="附录二级条标题"/>
    <w:basedOn w:val="1"/>
    <w:next w:val="73"/>
    <w:qFormat/>
    <w:uiPriority w:val="0"/>
    <w:pPr>
      <w:widowControl/>
      <w:numPr>
        <w:ilvl w:val="3"/>
        <w:numId w:val="3"/>
      </w:numPr>
      <w:tabs>
        <w:tab w:val="left" w:pos="360"/>
      </w:tabs>
      <w:wordWrap w:val="0"/>
      <w:overflowPunct w:val="0"/>
      <w:autoSpaceDE w:val="0"/>
      <w:autoSpaceDN w:val="0"/>
      <w:spacing w:beforeLines="50" w:afterLines="50"/>
      <w:textAlignment w:val="baseline"/>
      <w:outlineLvl w:val="3"/>
    </w:pPr>
    <w:rPr>
      <w:rFonts w:ascii="黑体" w:eastAsia="黑体"/>
      <w:kern w:val="21"/>
      <w:szCs w:val="20"/>
    </w:rPr>
  </w:style>
  <w:style w:type="paragraph" w:customStyle="1" w:styleId="113">
    <w:name w:val="四级条标题"/>
    <w:basedOn w:val="114"/>
    <w:next w:val="73"/>
    <w:qFormat/>
    <w:uiPriority w:val="0"/>
    <w:pPr>
      <w:numPr>
        <w:ilvl w:val="4"/>
      </w:numPr>
      <w:outlineLvl w:val="5"/>
    </w:pPr>
  </w:style>
  <w:style w:type="paragraph" w:customStyle="1" w:styleId="114">
    <w:name w:val="三级条标题"/>
    <w:basedOn w:val="77"/>
    <w:next w:val="73"/>
    <w:qFormat/>
    <w:uiPriority w:val="0"/>
    <w:pPr>
      <w:numPr>
        <w:ilvl w:val="3"/>
      </w:numPr>
      <w:outlineLvl w:val="4"/>
    </w:pPr>
  </w:style>
  <w:style w:type="paragraph" w:customStyle="1" w:styleId="115">
    <w:name w:val="附录数字编号列项（二级）"/>
    <w:qFormat/>
    <w:uiPriority w:val="0"/>
    <w:pPr>
      <w:numPr>
        <w:ilvl w:val="1"/>
        <w:numId w:val="4"/>
      </w:numPr>
      <w:tabs>
        <w:tab w:val="left" w:pos="840"/>
      </w:tabs>
    </w:pPr>
    <w:rPr>
      <w:rFonts w:ascii="宋体" w:hAnsi="Times New Roman" w:eastAsia="宋体" w:cs="Times New Roman"/>
      <w:sz w:val="21"/>
      <w:lang w:val="en-US" w:eastAsia="zh-CN" w:bidi="ar-SA"/>
    </w:rPr>
  </w:style>
  <w:style w:type="paragraph" w:customStyle="1" w:styleId="116">
    <w:name w:val="示例×："/>
    <w:basedOn w:val="80"/>
    <w:qFormat/>
    <w:uiPriority w:val="0"/>
    <w:pPr>
      <w:numPr>
        <w:numId w:val="6"/>
      </w:numPr>
      <w:tabs>
        <w:tab w:val="left" w:pos="0"/>
      </w:tabs>
      <w:spacing w:beforeLines="0" w:afterLines="0"/>
      <w:outlineLvl w:val="9"/>
    </w:pPr>
    <w:rPr>
      <w:rFonts w:ascii="宋体" w:eastAsia="宋体"/>
      <w:sz w:val="18"/>
      <w:szCs w:val="18"/>
    </w:rPr>
  </w:style>
  <w:style w:type="paragraph" w:customStyle="1" w:styleId="117">
    <w:name w:val="标准书眉_奇数页"/>
    <w:next w:val="1"/>
    <w:qFormat/>
    <w:uiPriority w:val="0"/>
    <w:pPr>
      <w:tabs>
        <w:tab w:val="center" w:pos="4154"/>
        <w:tab w:val="right" w:pos="8306"/>
      </w:tabs>
      <w:spacing w:after="220"/>
      <w:jc w:val="right"/>
    </w:pPr>
    <w:rPr>
      <w:rFonts w:ascii="黑体" w:hAnsi="Times New Roman" w:eastAsia="黑体" w:cs="Times New Roman"/>
      <w:sz w:val="21"/>
      <w:szCs w:val="21"/>
      <w:lang w:val="en-US" w:eastAsia="zh-CN" w:bidi="ar-SA"/>
    </w:rPr>
  </w:style>
  <w:style w:type="paragraph" w:customStyle="1" w:styleId="118">
    <w:name w:val="五级条标题"/>
    <w:basedOn w:val="113"/>
    <w:next w:val="73"/>
    <w:qFormat/>
    <w:uiPriority w:val="0"/>
    <w:pPr>
      <w:numPr>
        <w:ilvl w:val="5"/>
      </w:numPr>
      <w:outlineLvl w:val="6"/>
    </w:pPr>
  </w:style>
  <w:style w:type="paragraph" w:customStyle="1" w:styleId="119">
    <w:name w:val="一级无"/>
    <w:basedOn w:val="78"/>
    <w:qFormat/>
    <w:uiPriority w:val="0"/>
    <w:pPr>
      <w:spacing w:beforeLines="0" w:afterLines="0"/>
      <w:ind w:left="20" w:hanging="18"/>
    </w:pPr>
    <w:rPr>
      <w:rFonts w:ascii="宋体" w:eastAsia="宋体"/>
    </w:rPr>
  </w:style>
  <w:style w:type="paragraph" w:customStyle="1" w:styleId="120">
    <w:name w:val="附录表标号"/>
    <w:basedOn w:val="1"/>
    <w:next w:val="73"/>
    <w:qFormat/>
    <w:uiPriority w:val="0"/>
    <w:pPr>
      <w:numPr>
        <w:ilvl w:val="0"/>
        <w:numId w:val="7"/>
      </w:numPr>
      <w:spacing w:line="14" w:lineRule="exact"/>
      <w:ind w:left="811" w:hanging="448"/>
      <w:jc w:val="center"/>
      <w:outlineLvl w:val="0"/>
    </w:pPr>
    <w:rPr>
      <w:color w:val="FFFFFF"/>
    </w:rPr>
  </w:style>
  <w:style w:type="paragraph" w:customStyle="1" w:styleId="121">
    <w:name w:val="封面标准文稿类别2"/>
    <w:basedOn w:val="97"/>
    <w:qFormat/>
    <w:uiPriority w:val="0"/>
    <w:pPr>
      <w:framePr w:wrap="around" w:y="4469"/>
    </w:pPr>
  </w:style>
  <w:style w:type="paragraph" w:customStyle="1" w:styleId="122">
    <w:name w:val="列项说明数字编号"/>
    <w:qFormat/>
    <w:uiPriority w:val="0"/>
    <w:pPr>
      <w:ind w:left="600" w:leftChars="400" w:hanging="200" w:hangingChars="200"/>
    </w:pPr>
    <w:rPr>
      <w:rFonts w:ascii="宋体" w:hAnsi="Times New Roman" w:eastAsia="宋体" w:cs="Times New Roman"/>
      <w:sz w:val="21"/>
      <w:lang w:val="en-US" w:eastAsia="zh-CN" w:bidi="ar-SA"/>
    </w:rPr>
  </w:style>
  <w:style w:type="paragraph" w:customStyle="1" w:styleId="123">
    <w:name w:val="注×："/>
    <w:qFormat/>
    <w:uiPriority w:val="0"/>
    <w:pPr>
      <w:widowControl w:val="0"/>
      <w:numPr>
        <w:ilvl w:val="0"/>
        <w:numId w:val="8"/>
      </w:numPr>
      <w:autoSpaceDE w:val="0"/>
      <w:autoSpaceDN w:val="0"/>
      <w:jc w:val="both"/>
    </w:pPr>
    <w:rPr>
      <w:rFonts w:ascii="宋体" w:hAnsi="Times New Roman" w:eastAsia="宋体" w:cs="Times New Roman"/>
      <w:sz w:val="18"/>
      <w:szCs w:val="18"/>
      <w:lang w:val="en-US" w:eastAsia="zh-CN" w:bidi="ar-SA"/>
    </w:rPr>
  </w:style>
  <w:style w:type="paragraph" w:customStyle="1" w:styleId="124">
    <w:name w:val="附录表标题"/>
    <w:basedOn w:val="1"/>
    <w:next w:val="73"/>
    <w:qFormat/>
    <w:uiPriority w:val="0"/>
    <w:pPr>
      <w:numPr>
        <w:ilvl w:val="1"/>
        <w:numId w:val="7"/>
      </w:numPr>
      <w:tabs>
        <w:tab w:val="left" w:pos="180"/>
      </w:tabs>
      <w:spacing w:beforeLines="50" w:afterLines="50"/>
      <w:ind w:left="0" w:firstLine="0"/>
      <w:jc w:val="center"/>
    </w:pPr>
    <w:rPr>
      <w:rFonts w:ascii="黑体" w:eastAsia="黑体"/>
      <w:szCs w:val="21"/>
    </w:rPr>
  </w:style>
  <w:style w:type="paragraph" w:customStyle="1" w:styleId="125">
    <w:name w:val="封面标准号2"/>
    <w:qFormat/>
    <w:uiPriority w:val="0"/>
    <w:pPr>
      <w:framePr w:w="9140" w:h="1242" w:hRule="exact" w:hSpace="284" w:wrap="around" w:vAnchor="page" w:hAnchor="page" w:x="1645" w:y="2910" w:anchorLock="1"/>
      <w:spacing w:before="357" w:line="280" w:lineRule="exact"/>
      <w:jc w:val="right"/>
    </w:pPr>
    <w:rPr>
      <w:rFonts w:ascii="黑体" w:hAnsi="Times New Roman" w:eastAsia="黑体" w:cs="Times New Roman"/>
      <w:sz w:val="28"/>
      <w:szCs w:val="28"/>
      <w:lang w:val="en-US" w:eastAsia="zh-CN" w:bidi="ar-SA"/>
    </w:rPr>
  </w:style>
  <w:style w:type="paragraph" w:customStyle="1" w:styleId="126">
    <w:name w:val="标准标志"/>
    <w:next w:val="1"/>
    <w:qFormat/>
    <w:uiPriority w:val="0"/>
    <w:pPr>
      <w:framePr w:w="2546" w:h="1389" w:hRule="exact" w:hSpace="181" w:vSpace="181" w:wrap="around" w:vAnchor="margin" w:hAnchor="margin" w:x="6522" w:y="398" w:anchorLock="1"/>
      <w:shd w:val="solid" w:color="FFFFFF" w:fill="FFFFFF"/>
      <w:spacing w:line="0" w:lineRule="atLeast"/>
      <w:jc w:val="right"/>
    </w:pPr>
    <w:rPr>
      <w:rFonts w:ascii="Times New Roman" w:hAnsi="Times New Roman" w:eastAsia="宋体" w:cs="Times New Roman"/>
      <w:b/>
      <w:w w:val="170"/>
      <w:sz w:val="96"/>
      <w:szCs w:val="96"/>
      <w:lang w:val="en-US" w:eastAsia="zh-CN" w:bidi="ar-SA"/>
    </w:rPr>
  </w:style>
  <w:style w:type="paragraph" w:customStyle="1" w:styleId="127">
    <w:name w:val="附录公式编号制表符"/>
    <w:basedOn w:val="1"/>
    <w:next w:val="73"/>
    <w:qFormat/>
    <w:uiPriority w:val="0"/>
    <w:pPr>
      <w:widowControl/>
      <w:tabs>
        <w:tab w:val="center" w:pos="4201"/>
        <w:tab w:val="right" w:leader="dot" w:pos="9298"/>
      </w:tabs>
      <w:autoSpaceDE w:val="0"/>
      <w:autoSpaceDN w:val="0"/>
    </w:pPr>
    <w:rPr>
      <w:rFonts w:ascii="宋体"/>
      <w:kern w:val="0"/>
      <w:szCs w:val="20"/>
    </w:rPr>
  </w:style>
  <w:style w:type="paragraph" w:customStyle="1" w:styleId="128">
    <w:name w:val="注：（正文）"/>
    <w:basedOn w:val="129"/>
    <w:next w:val="73"/>
    <w:qFormat/>
    <w:uiPriority w:val="0"/>
  </w:style>
  <w:style w:type="paragraph" w:customStyle="1" w:styleId="129">
    <w:name w:val="注："/>
    <w:next w:val="73"/>
    <w:qFormat/>
    <w:uiPriority w:val="0"/>
    <w:pPr>
      <w:widowControl w:val="0"/>
      <w:numPr>
        <w:ilvl w:val="0"/>
        <w:numId w:val="9"/>
      </w:numPr>
      <w:autoSpaceDE w:val="0"/>
      <w:autoSpaceDN w:val="0"/>
      <w:ind w:left="726"/>
      <w:jc w:val="both"/>
    </w:pPr>
    <w:rPr>
      <w:rFonts w:ascii="宋体" w:hAnsi="Times New Roman" w:eastAsia="宋体" w:cs="Times New Roman"/>
      <w:sz w:val="18"/>
      <w:szCs w:val="18"/>
      <w:lang w:val="en-US" w:eastAsia="zh-CN" w:bidi="ar-SA"/>
    </w:rPr>
  </w:style>
  <w:style w:type="paragraph" w:customStyle="1" w:styleId="130">
    <w:name w:val="正文图标题"/>
    <w:next w:val="73"/>
    <w:qFormat/>
    <w:uiPriority w:val="0"/>
    <w:pPr>
      <w:numPr>
        <w:ilvl w:val="0"/>
        <w:numId w:val="10"/>
      </w:numPr>
      <w:tabs>
        <w:tab w:val="left" w:pos="360"/>
      </w:tabs>
      <w:spacing w:beforeLines="50" w:afterLines="50"/>
      <w:jc w:val="center"/>
    </w:pPr>
    <w:rPr>
      <w:rFonts w:ascii="黑体" w:hAnsi="Times New Roman" w:eastAsia="黑体" w:cs="Times New Roman"/>
      <w:sz w:val="21"/>
      <w:lang w:val="en-US" w:eastAsia="zh-CN" w:bidi="ar-SA"/>
    </w:rPr>
  </w:style>
  <w:style w:type="paragraph" w:customStyle="1" w:styleId="131">
    <w:name w:val="参考文献、索引标题"/>
    <w:basedOn w:val="1"/>
    <w:next w:val="73"/>
    <w:qFormat/>
    <w:uiPriority w:val="0"/>
    <w:pPr>
      <w:keepNext/>
      <w:pageBreakBefore/>
      <w:widowControl/>
      <w:shd w:val="clear" w:color="FFFFFF" w:fill="FFFFFF"/>
      <w:spacing w:before="640" w:after="200"/>
      <w:jc w:val="center"/>
      <w:outlineLvl w:val="0"/>
    </w:pPr>
    <w:rPr>
      <w:rFonts w:ascii="黑体" w:eastAsia="黑体"/>
      <w:kern w:val="0"/>
      <w:szCs w:val="20"/>
    </w:rPr>
  </w:style>
  <w:style w:type="paragraph" w:customStyle="1" w:styleId="132">
    <w:name w:val="五级无"/>
    <w:basedOn w:val="118"/>
    <w:qFormat/>
    <w:uiPriority w:val="0"/>
    <w:pPr>
      <w:spacing w:beforeLines="0" w:afterLines="0"/>
    </w:pPr>
    <w:rPr>
      <w:rFonts w:ascii="宋体" w:eastAsia="宋体"/>
    </w:rPr>
  </w:style>
  <w:style w:type="paragraph" w:customStyle="1" w:styleId="133">
    <w:name w:val="其他发布日期"/>
    <w:basedOn w:val="104"/>
    <w:qFormat/>
    <w:uiPriority w:val="0"/>
    <w:pPr>
      <w:framePr w:wrap="around" w:vAnchor="page" w:hAnchor="text" w:x="1419"/>
    </w:pPr>
  </w:style>
  <w:style w:type="paragraph" w:customStyle="1" w:styleId="134">
    <w:name w:val="附录三级无"/>
    <w:basedOn w:val="111"/>
    <w:qFormat/>
    <w:uiPriority w:val="0"/>
    <w:pPr>
      <w:tabs>
        <w:tab w:val="clear" w:pos="360"/>
      </w:tabs>
      <w:spacing w:beforeLines="0" w:afterLines="0"/>
    </w:pPr>
    <w:rPr>
      <w:rFonts w:ascii="宋体" w:eastAsia="宋体"/>
      <w:szCs w:val="21"/>
    </w:rPr>
  </w:style>
  <w:style w:type="paragraph" w:customStyle="1" w:styleId="135">
    <w:name w:val="字母编号列项（一级）"/>
    <w:qFormat/>
    <w:uiPriority w:val="0"/>
    <w:pPr>
      <w:numPr>
        <w:ilvl w:val="0"/>
        <w:numId w:val="11"/>
      </w:numPr>
      <w:tabs>
        <w:tab w:val="left" w:pos="839"/>
      </w:tabs>
      <w:jc w:val="both"/>
    </w:pPr>
    <w:rPr>
      <w:rFonts w:ascii="宋体" w:hAnsi="Times New Roman" w:eastAsia="宋体" w:cs="Times New Roman"/>
      <w:sz w:val="21"/>
      <w:lang w:val="en-US" w:eastAsia="zh-CN" w:bidi="ar-SA"/>
    </w:rPr>
  </w:style>
  <w:style w:type="paragraph" w:customStyle="1" w:styleId="136">
    <w:name w:val="附录图标题"/>
    <w:basedOn w:val="1"/>
    <w:next w:val="73"/>
    <w:qFormat/>
    <w:uiPriority w:val="0"/>
    <w:pPr>
      <w:numPr>
        <w:ilvl w:val="1"/>
        <w:numId w:val="12"/>
      </w:numPr>
      <w:tabs>
        <w:tab w:val="left" w:pos="363"/>
      </w:tabs>
      <w:spacing w:beforeLines="50" w:afterLines="50"/>
      <w:ind w:left="0" w:firstLine="0"/>
      <w:jc w:val="center"/>
    </w:pPr>
    <w:rPr>
      <w:rFonts w:ascii="黑体" w:eastAsia="黑体"/>
      <w:szCs w:val="21"/>
    </w:rPr>
  </w:style>
  <w:style w:type="paragraph" w:customStyle="1" w:styleId="137">
    <w:name w:val="正文表标题"/>
    <w:next w:val="73"/>
    <w:qFormat/>
    <w:uiPriority w:val="0"/>
    <w:pPr>
      <w:numPr>
        <w:ilvl w:val="0"/>
        <w:numId w:val="13"/>
      </w:numPr>
      <w:tabs>
        <w:tab w:val="left" w:pos="360"/>
      </w:tabs>
      <w:spacing w:beforeLines="50" w:afterLines="50"/>
      <w:jc w:val="center"/>
    </w:pPr>
    <w:rPr>
      <w:rFonts w:ascii="黑体" w:hAnsi="Times New Roman" w:eastAsia="黑体" w:cs="Times New Roman"/>
      <w:sz w:val="21"/>
      <w:lang w:val="en-US" w:eastAsia="zh-CN" w:bidi="ar-SA"/>
    </w:rPr>
  </w:style>
  <w:style w:type="paragraph" w:customStyle="1" w:styleId="138">
    <w:name w:val="示例"/>
    <w:next w:val="139"/>
    <w:qFormat/>
    <w:uiPriority w:val="0"/>
    <w:pPr>
      <w:widowControl w:val="0"/>
      <w:numPr>
        <w:ilvl w:val="0"/>
        <w:numId w:val="14"/>
      </w:numPr>
      <w:jc w:val="both"/>
    </w:pPr>
    <w:rPr>
      <w:rFonts w:ascii="宋体" w:hAnsi="Times New Roman" w:eastAsia="宋体" w:cs="Times New Roman"/>
      <w:sz w:val="18"/>
      <w:szCs w:val="18"/>
      <w:lang w:val="en-US" w:eastAsia="zh-CN" w:bidi="ar-SA"/>
    </w:rPr>
  </w:style>
  <w:style w:type="paragraph" w:customStyle="1" w:styleId="139">
    <w:name w:val="示例内容"/>
    <w:qFormat/>
    <w:uiPriority w:val="0"/>
    <w:pPr>
      <w:ind w:firstLine="200" w:firstLineChars="200"/>
    </w:pPr>
    <w:rPr>
      <w:rFonts w:ascii="宋体" w:hAnsi="Times New Roman" w:eastAsia="宋体" w:cs="Times New Roman"/>
      <w:sz w:val="18"/>
      <w:szCs w:val="18"/>
      <w:lang w:val="en-US" w:eastAsia="zh-CN" w:bidi="ar-SA"/>
    </w:rPr>
  </w:style>
  <w:style w:type="paragraph" w:customStyle="1" w:styleId="140">
    <w:name w:val="四级无"/>
    <w:basedOn w:val="113"/>
    <w:qFormat/>
    <w:uiPriority w:val="0"/>
    <w:pPr>
      <w:spacing w:beforeLines="0" w:afterLines="0"/>
    </w:pPr>
    <w:rPr>
      <w:rFonts w:ascii="宋体" w:eastAsia="宋体"/>
    </w:rPr>
  </w:style>
  <w:style w:type="paragraph" w:customStyle="1" w:styleId="141">
    <w:name w:val="其他标准标志"/>
    <w:basedOn w:val="126"/>
    <w:qFormat/>
    <w:uiPriority w:val="0"/>
    <w:pPr>
      <w:framePr w:w="6101" w:wrap="around" w:vAnchor="page" w:hAnchor="page" w:x="4673" w:y="942"/>
    </w:pPr>
    <w:rPr>
      <w:w w:val="130"/>
    </w:rPr>
  </w:style>
  <w:style w:type="paragraph" w:customStyle="1" w:styleId="142">
    <w:name w:val="附录四级条标题"/>
    <w:basedOn w:val="111"/>
    <w:next w:val="73"/>
    <w:qFormat/>
    <w:uiPriority w:val="0"/>
    <w:pPr>
      <w:numPr>
        <w:ilvl w:val="5"/>
      </w:numPr>
      <w:outlineLvl w:val="5"/>
    </w:pPr>
  </w:style>
  <w:style w:type="paragraph" w:customStyle="1" w:styleId="143">
    <w:name w:val="附录一级无"/>
    <w:basedOn w:val="144"/>
    <w:qFormat/>
    <w:uiPriority w:val="0"/>
    <w:pPr>
      <w:tabs>
        <w:tab w:val="left" w:pos="360"/>
      </w:tabs>
      <w:spacing w:beforeLines="0" w:afterLines="0"/>
    </w:pPr>
    <w:rPr>
      <w:rFonts w:ascii="宋体" w:eastAsia="宋体"/>
      <w:szCs w:val="21"/>
    </w:rPr>
  </w:style>
  <w:style w:type="paragraph" w:customStyle="1" w:styleId="144">
    <w:name w:val="附录一级条标题"/>
    <w:basedOn w:val="79"/>
    <w:next w:val="73"/>
    <w:qFormat/>
    <w:uiPriority w:val="0"/>
    <w:pPr>
      <w:numPr>
        <w:ilvl w:val="2"/>
      </w:numPr>
      <w:autoSpaceDN w:val="0"/>
      <w:spacing w:beforeLines="50" w:afterLines="50"/>
      <w:outlineLvl w:val="2"/>
    </w:pPr>
  </w:style>
  <w:style w:type="paragraph" w:customStyle="1" w:styleId="145">
    <w:name w:val="列项◆（三级）"/>
    <w:basedOn w:val="1"/>
    <w:qFormat/>
    <w:uiPriority w:val="0"/>
    <w:pPr>
      <w:numPr>
        <w:ilvl w:val="2"/>
        <w:numId w:val="15"/>
      </w:numPr>
      <w:tabs>
        <w:tab w:val="left" w:pos="1678"/>
      </w:tabs>
    </w:pPr>
    <w:rPr>
      <w:rFonts w:ascii="宋体"/>
      <w:szCs w:val="21"/>
    </w:rPr>
  </w:style>
  <w:style w:type="paragraph" w:customStyle="1" w:styleId="146">
    <w:name w:val="附录五级条标题"/>
    <w:basedOn w:val="142"/>
    <w:next w:val="73"/>
    <w:qFormat/>
    <w:uiPriority w:val="0"/>
    <w:pPr>
      <w:numPr>
        <w:ilvl w:val="6"/>
      </w:numPr>
      <w:outlineLvl w:val="6"/>
    </w:pPr>
  </w:style>
  <w:style w:type="paragraph" w:customStyle="1" w:styleId="147">
    <w:name w:val="附录五级无"/>
    <w:basedOn w:val="146"/>
    <w:qFormat/>
    <w:uiPriority w:val="0"/>
    <w:pPr>
      <w:tabs>
        <w:tab w:val="clear" w:pos="360"/>
      </w:tabs>
      <w:spacing w:beforeLines="0" w:afterLines="0"/>
    </w:pPr>
    <w:rPr>
      <w:rFonts w:ascii="宋体" w:eastAsia="宋体"/>
      <w:szCs w:val="21"/>
    </w:rPr>
  </w:style>
  <w:style w:type="paragraph" w:customStyle="1" w:styleId="148">
    <w:name w:val="附录字母编号列项（一级）"/>
    <w:qFormat/>
    <w:uiPriority w:val="0"/>
    <w:pPr>
      <w:tabs>
        <w:tab w:val="left" w:pos="720"/>
        <w:tab w:val="left" w:pos="839"/>
      </w:tabs>
      <w:ind w:left="720" w:hanging="720"/>
    </w:pPr>
    <w:rPr>
      <w:rFonts w:ascii="宋体" w:hAnsi="Times New Roman" w:eastAsia="宋体" w:cs="Times New Roman"/>
      <w:sz w:val="21"/>
      <w:lang w:val="en-US" w:eastAsia="zh-CN" w:bidi="ar-SA"/>
    </w:rPr>
  </w:style>
  <w:style w:type="paragraph" w:customStyle="1" w:styleId="149">
    <w:name w:val="封面标准号1"/>
    <w:qFormat/>
    <w:uiPriority w:val="0"/>
    <w:pPr>
      <w:widowControl w:val="0"/>
      <w:kinsoku w:val="0"/>
      <w:overflowPunct w:val="0"/>
      <w:autoSpaceDE w:val="0"/>
      <w:autoSpaceDN w:val="0"/>
      <w:spacing w:before="308"/>
      <w:jc w:val="right"/>
      <w:textAlignment w:val="center"/>
    </w:pPr>
    <w:rPr>
      <w:rFonts w:ascii="Times New Roman" w:hAnsi="Times New Roman" w:eastAsia="宋体" w:cs="Times New Roman"/>
      <w:sz w:val="28"/>
      <w:lang w:val="en-US" w:eastAsia="zh-CN" w:bidi="ar-SA"/>
    </w:rPr>
  </w:style>
  <w:style w:type="paragraph" w:customStyle="1" w:styleId="150">
    <w:name w:val="附录四级无"/>
    <w:basedOn w:val="142"/>
    <w:qFormat/>
    <w:uiPriority w:val="0"/>
    <w:pPr>
      <w:tabs>
        <w:tab w:val="clear" w:pos="360"/>
      </w:tabs>
      <w:spacing w:beforeLines="0" w:afterLines="0"/>
    </w:pPr>
    <w:rPr>
      <w:rFonts w:ascii="宋体" w:eastAsia="宋体"/>
      <w:szCs w:val="21"/>
    </w:rPr>
  </w:style>
  <w:style w:type="paragraph" w:customStyle="1" w:styleId="151">
    <w:name w:val="列项●（二级）"/>
    <w:qFormat/>
    <w:uiPriority w:val="0"/>
    <w:pPr>
      <w:numPr>
        <w:ilvl w:val="1"/>
        <w:numId w:val="15"/>
      </w:numPr>
      <w:tabs>
        <w:tab w:val="left" w:pos="840"/>
      </w:tabs>
      <w:jc w:val="both"/>
    </w:pPr>
    <w:rPr>
      <w:rFonts w:ascii="宋体" w:hAnsi="Times New Roman" w:eastAsia="宋体" w:cs="Times New Roman"/>
      <w:sz w:val="21"/>
      <w:lang w:val="en-US" w:eastAsia="zh-CN" w:bidi="ar-SA"/>
    </w:rPr>
  </w:style>
  <w:style w:type="paragraph" w:customStyle="1" w:styleId="152">
    <w:name w:val="标准书眉_偶数页"/>
    <w:basedOn w:val="117"/>
    <w:next w:val="1"/>
    <w:qFormat/>
    <w:uiPriority w:val="0"/>
    <w:pPr>
      <w:jc w:val="left"/>
    </w:pPr>
  </w:style>
  <w:style w:type="paragraph" w:customStyle="1" w:styleId="153">
    <w:name w:val="其他发布部门"/>
    <w:basedOn w:val="154"/>
    <w:qFormat/>
    <w:uiPriority w:val="0"/>
    <w:pPr>
      <w:framePr w:wrap="around" w:y="15310"/>
      <w:spacing w:line="0" w:lineRule="atLeast"/>
    </w:pPr>
    <w:rPr>
      <w:rFonts w:ascii="黑体" w:eastAsia="黑体"/>
      <w:b w:val="0"/>
    </w:rPr>
  </w:style>
  <w:style w:type="paragraph" w:customStyle="1" w:styleId="154">
    <w:name w:val="发布部门"/>
    <w:next w:val="73"/>
    <w:qFormat/>
    <w:uiPriority w:val="0"/>
    <w:pPr>
      <w:framePr w:w="7938" w:h="1134" w:hRule="exact" w:hSpace="125" w:vSpace="181" w:wrap="around" w:vAnchor="page" w:hAnchor="page" w:x="2150" w:y="14630" w:anchorLock="1"/>
      <w:jc w:val="center"/>
    </w:pPr>
    <w:rPr>
      <w:rFonts w:ascii="宋体" w:hAnsi="Times New Roman" w:eastAsia="宋体" w:cs="Times New Roman"/>
      <w:b/>
      <w:spacing w:val="20"/>
      <w:w w:val="135"/>
      <w:sz w:val="28"/>
      <w:lang w:val="en-US" w:eastAsia="zh-CN" w:bidi="ar-SA"/>
    </w:rPr>
  </w:style>
  <w:style w:type="paragraph" w:customStyle="1" w:styleId="155">
    <w:name w:val="标准称谓"/>
    <w:next w:val="1"/>
    <w:qFormat/>
    <w:uiPriority w:val="0"/>
    <w:pPr>
      <w:framePr w:w="9639" w:h="624" w:hRule="exact" w:hSpace="181" w:vSpace="181" w:wrap="around" w:vAnchor="page" w:hAnchor="page" w:x="1419" w:y="2286" w:anchorLock="1"/>
      <w:widowControl w:val="0"/>
      <w:kinsoku w:val="0"/>
      <w:overflowPunct w:val="0"/>
      <w:autoSpaceDE w:val="0"/>
      <w:autoSpaceDN w:val="0"/>
      <w:spacing w:line="0" w:lineRule="atLeast"/>
      <w:jc w:val="distribute"/>
    </w:pPr>
    <w:rPr>
      <w:rFonts w:ascii="宋体" w:hAnsi="Times New Roman" w:eastAsia="宋体" w:cs="Times New Roman"/>
      <w:b/>
      <w:bCs/>
      <w:spacing w:val="20"/>
      <w:w w:val="148"/>
      <w:sz w:val="48"/>
      <w:lang w:val="en-US" w:eastAsia="zh-CN" w:bidi="ar-SA"/>
    </w:rPr>
  </w:style>
  <w:style w:type="paragraph" w:customStyle="1" w:styleId="156">
    <w:name w:val="附录二级无"/>
    <w:basedOn w:val="112"/>
    <w:qFormat/>
    <w:uiPriority w:val="0"/>
    <w:pPr>
      <w:tabs>
        <w:tab w:val="clear" w:pos="360"/>
      </w:tabs>
      <w:spacing w:beforeLines="0" w:afterLines="0"/>
    </w:pPr>
    <w:rPr>
      <w:rFonts w:ascii="宋体" w:eastAsia="宋体"/>
      <w:szCs w:val="21"/>
    </w:rPr>
  </w:style>
  <w:style w:type="paragraph" w:customStyle="1" w:styleId="157">
    <w:name w:val="目次、索引正文"/>
    <w:qFormat/>
    <w:uiPriority w:val="0"/>
    <w:pPr>
      <w:spacing w:line="320" w:lineRule="exact"/>
      <w:jc w:val="both"/>
    </w:pPr>
    <w:rPr>
      <w:rFonts w:ascii="宋体" w:hAnsi="Times New Roman" w:eastAsia="宋体" w:cs="Times New Roman"/>
      <w:sz w:val="21"/>
      <w:lang w:val="en-US" w:eastAsia="zh-CN" w:bidi="ar-SA"/>
    </w:rPr>
  </w:style>
  <w:style w:type="paragraph" w:customStyle="1" w:styleId="158">
    <w:name w:val="列项——（一级）"/>
    <w:qFormat/>
    <w:uiPriority w:val="0"/>
    <w:pPr>
      <w:widowControl w:val="0"/>
      <w:numPr>
        <w:ilvl w:val="0"/>
        <w:numId w:val="15"/>
      </w:numPr>
      <w:jc w:val="both"/>
    </w:pPr>
    <w:rPr>
      <w:rFonts w:ascii="宋体" w:hAnsi="Times New Roman" w:eastAsia="宋体" w:cs="Times New Roman"/>
      <w:sz w:val="21"/>
      <w:lang w:val="en-US" w:eastAsia="zh-CN" w:bidi="ar-SA"/>
    </w:rPr>
  </w:style>
  <w:style w:type="paragraph" w:customStyle="1" w:styleId="159">
    <w:name w:val="条文脚注"/>
    <w:basedOn w:val="32"/>
    <w:qFormat/>
    <w:uiPriority w:val="0"/>
    <w:pPr>
      <w:numPr>
        <w:numId w:val="0"/>
      </w:numPr>
      <w:jc w:val="both"/>
    </w:pPr>
  </w:style>
  <w:style w:type="paragraph" w:customStyle="1" w:styleId="160">
    <w:name w:val="示例后文字"/>
    <w:basedOn w:val="73"/>
    <w:next w:val="73"/>
    <w:qFormat/>
    <w:uiPriority w:val="0"/>
    <w:pPr>
      <w:ind w:firstLine="360"/>
    </w:pPr>
    <w:rPr>
      <w:sz w:val="18"/>
    </w:rPr>
  </w:style>
  <w:style w:type="paragraph" w:customStyle="1" w:styleId="161">
    <w:name w:val="注×：（正文）"/>
    <w:qFormat/>
    <w:uiPriority w:val="0"/>
    <w:pPr>
      <w:numPr>
        <w:ilvl w:val="0"/>
        <w:numId w:val="16"/>
      </w:numPr>
      <w:jc w:val="both"/>
    </w:pPr>
    <w:rPr>
      <w:rFonts w:ascii="宋体" w:hAnsi="Times New Roman" w:eastAsia="宋体" w:cs="Times New Roman"/>
      <w:sz w:val="18"/>
      <w:szCs w:val="18"/>
      <w:lang w:val="en-US" w:eastAsia="zh-CN" w:bidi="ar-SA"/>
    </w:rPr>
  </w:style>
  <w:style w:type="paragraph" w:customStyle="1" w:styleId="162">
    <w:name w:val="图的脚注"/>
    <w:next w:val="73"/>
    <w:qFormat/>
    <w:uiPriority w:val="0"/>
    <w:pPr>
      <w:widowControl w:val="0"/>
      <w:ind w:left="840" w:leftChars="200" w:hanging="420" w:hangingChars="200"/>
      <w:jc w:val="both"/>
    </w:pPr>
    <w:rPr>
      <w:rFonts w:ascii="宋体" w:hAnsi="Times New Roman" w:eastAsia="宋体" w:cs="Times New Roman"/>
      <w:sz w:val="18"/>
      <w:lang w:val="en-US" w:eastAsia="zh-CN" w:bidi="ar-SA"/>
    </w:rPr>
  </w:style>
  <w:style w:type="paragraph" w:customStyle="1" w:styleId="163">
    <w:name w:val="编号列项（三级）"/>
    <w:qFormat/>
    <w:uiPriority w:val="0"/>
    <w:pPr>
      <w:numPr>
        <w:ilvl w:val="2"/>
        <w:numId w:val="11"/>
      </w:numPr>
    </w:pPr>
    <w:rPr>
      <w:rFonts w:ascii="宋体" w:hAnsi="Times New Roman" w:eastAsia="宋体" w:cs="Times New Roman"/>
      <w:sz w:val="21"/>
      <w:lang w:val="en-US" w:eastAsia="zh-CN" w:bidi="ar-SA"/>
    </w:rPr>
  </w:style>
  <w:style w:type="paragraph" w:customStyle="1" w:styleId="164">
    <w:name w:val="终结线"/>
    <w:basedOn w:val="1"/>
    <w:qFormat/>
    <w:uiPriority w:val="0"/>
    <w:pPr>
      <w:framePr w:hSpace="181" w:vSpace="181" w:wrap="around" w:vAnchor="text" w:hAnchor="margin" w:xAlign="center" w:y="285"/>
    </w:pPr>
  </w:style>
  <w:style w:type="paragraph" w:customStyle="1" w:styleId="165">
    <w:name w:val="图表脚注说明"/>
    <w:basedOn w:val="1"/>
    <w:qFormat/>
    <w:uiPriority w:val="0"/>
    <w:pPr>
      <w:numPr>
        <w:ilvl w:val="0"/>
        <w:numId w:val="17"/>
      </w:numPr>
    </w:pPr>
    <w:rPr>
      <w:rFonts w:ascii="宋体"/>
      <w:sz w:val="18"/>
      <w:szCs w:val="18"/>
    </w:rPr>
  </w:style>
  <w:style w:type="paragraph" w:customStyle="1" w:styleId="166">
    <w:name w:val="标准书眉一"/>
    <w:qFormat/>
    <w:uiPriority w:val="0"/>
    <w:pPr>
      <w:jc w:val="both"/>
    </w:pPr>
    <w:rPr>
      <w:rFonts w:ascii="Times New Roman" w:hAnsi="Times New Roman" w:eastAsia="宋体" w:cs="Times New Roman"/>
      <w:lang w:val="en-US" w:eastAsia="zh-CN" w:bidi="ar-SA"/>
    </w:rPr>
  </w:style>
  <w:style w:type="paragraph" w:customStyle="1" w:styleId="167">
    <w:name w:val="数字编号列项（二级）"/>
    <w:qFormat/>
    <w:uiPriority w:val="0"/>
    <w:pPr>
      <w:numPr>
        <w:ilvl w:val="1"/>
        <w:numId w:val="11"/>
      </w:numPr>
      <w:tabs>
        <w:tab w:val="left" w:pos="1259"/>
      </w:tabs>
      <w:jc w:val="both"/>
    </w:pPr>
    <w:rPr>
      <w:rFonts w:ascii="宋体" w:hAnsi="Times New Roman" w:eastAsia="宋体" w:cs="Times New Roman"/>
      <w:sz w:val="21"/>
      <w:lang w:val="en-US" w:eastAsia="zh-CN" w:bidi="ar-SA"/>
    </w:rPr>
  </w:style>
  <w:style w:type="paragraph" w:customStyle="1" w:styleId="168">
    <w:name w:val="文献分类号"/>
    <w:qFormat/>
    <w:uiPriority w:val="0"/>
    <w:pPr>
      <w:framePr w:hSpace="180" w:vSpace="180" w:wrap="around" w:vAnchor="margin" w:hAnchor="margin" w:y="1" w:anchorLock="1"/>
      <w:widowControl w:val="0"/>
      <w:textAlignment w:val="center"/>
    </w:pPr>
    <w:rPr>
      <w:rFonts w:ascii="黑体" w:hAnsi="Times New Roman" w:eastAsia="黑体" w:cs="Times New Roman"/>
      <w:sz w:val="21"/>
      <w:szCs w:val="21"/>
      <w:lang w:val="en-US" w:eastAsia="zh-CN" w:bidi="ar-SA"/>
    </w:rPr>
  </w:style>
  <w:style w:type="paragraph" w:customStyle="1" w:styleId="169">
    <w:name w:val="参考文献"/>
    <w:basedOn w:val="1"/>
    <w:next w:val="73"/>
    <w:qFormat/>
    <w:uiPriority w:val="0"/>
    <w:pPr>
      <w:keepNext/>
      <w:pageBreakBefore/>
      <w:widowControl/>
      <w:shd w:val="clear" w:color="FFFFFF" w:fill="FFFFFF"/>
      <w:spacing w:before="640" w:after="200"/>
      <w:jc w:val="center"/>
      <w:outlineLvl w:val="0"/>
    </w:pPr>
    <w:rPr>
      <w:rFonts w:ascii="黑体" w:eastAsia="黑体"/>
      <w:kern w:val="0"/>
      <w:szCs w:val="20"/>
    </w:rPr>
  </w:style>
  <w:style w:type="paragraph" w:customStyle="1" w:styleId="170">
    <w:name w:val="封面标准代替信息"/>
    <w:qFormat/>
    <w:uiPriority w:val="0"/>
    <w:pPr>
      <w:framePr w:w="9140" w:h="1242" w:hRule="exact" w:hSpace="284" w:wrap="around" w:vAnchor="page" w:hAnchor="page" w:x="1645" w:y="2910" w:anchorLock="1"/>
      <w:spacing w:before="57" w:line="280" w:lineRule="exact"/>
      <w:jc w:val="right"/>
    </w:pPr>
    <w:rPr>
      <w:rFonts w:ascii="宋体" w:hAnsi="Times New Roman" w:eastAsia="宋体" w:cs="Times New Roman"/>
      <w:sz w:val="21"/>
      <w:szCs w:val="21"/>
      <w:lang w:val="en-US" w:eastAsia="zh-CN" w:bidi="ar-SA"/>
    </w:rPr>
  </w:style>
  <w:style w:type="paragraph" w:customStyle="1" w:styleId="171">
    <w:name w:val="其他标准称谓"/>
    <w:next w:val="1"/>
    <w:qFormat/>
    <w:uiPriority w:val="0"/>
    <w:pPr>
      <w:framePr w:hSpace="181" w:vSpace="181" w:wrap="around" w:vAnchor="page" w:hAnchor="page" w:x="1419" w:y="2286" w:anchorLock="1"/>
      <w:spacing w:line="0" w:lineRule="atLeast"/>
      <w:jc w:val="distribute"/>
    </w:pPr>
    <w:rPr>
      <w:rFonts w:ascii="黑体" w:hAnsi="宋体" w:eastAsia="黑体" w:cs="Times New Roman"/>
      <w:spacing w:val="-40"/>
      <w:sz w:val="48"/>
      <w:szCs w:val="52"/>
      <w:lang w:val="en-US" w:eastAsia="zh-CN" w:bidi="ar-SA"/>
    </w:rPr>
  </w:style>
  <w:style w:type="paragraph" w:customStyle="1" w:styleId="172">
    <w:name w:val="图标脚注说明"/>
    <w:basedOn w:val="73"/>
    <w:qFormat/>
    <w:uiPriority w:val="0"/>
    <w:pPr>
      <w:ind w:left="840" w:hanging="420" w:firstLineChars="0"/>
    </w:pPr>
    <w:rPr>
      <w:sz w:val="18"/>
      <w:szCs w:val="18"/>
    </w:rPr>
  </w:style>
  <w:style w:type="paragraph" w:customStyle="1" w:styleId="173">
    <w:name w:val="三级无"/>
    <w:basedOn w:val="114"/>
    <w:qFormat/>
    <w:uiPriority w:val="0"/>
    <w:pPr>
      <w:spacing w:beforeLines="0" w:afterLines="0"/>
    </w:pPr>
    <w:rPr>
      <w:rFonts w:ascii="宋体" w:eastAsia="宋体"/>
    </w:rPr>
  </w:style>
  <w:style w:type="paragraph" w:customStyle="1" w:styleId="174">
    <w:name w:val="封面一致性程度标识2"/>
    <w:basedOn w:val="98"/>
    <w:qFormat/>
    <w:uiPriority w:val="0"/>
    <w:pPr>
      <w:framePr w:wrap="around" w:y="4469"/>
    </w:pPr>
  </w:style>
  <w:style w:type="paragraph" w:customStyle="1" w:styleId="175">
    <w:name w:val="封面标准文稿编辑信息2"/>
    <w:basedOn w:val="96"/>
    <w:qFormat/>
    <w:uiPriority w:val="0"/>
    <w:pPr>
      <w:framePr w:wrap="around" w:y="4469"/>
    </w:p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28</Pages>
  <Words>4203</Words>
  <Characters>4782</Characters>
  <Lines>126</Lines>
  <Paragraphs>35</Paragraphs>
  <TotalTime>3</TotalTime>
  <ScaleCrop>false</ScaleCrop>
  <LinksUpToDate>false</LinksUpToDate>
  <CharactersWithSpaces>5063</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2026-03-23T04:12:00Z</dcterms:created>
  <dc:creator>Administrator</dc:creator>
  <cp:lastModifiedBy>think</cp:lastModifiedBy>
  <cp:lastPrinted>2026-03-13T08:44:00Z</cp:lastPrinted>
  <dcterms:modified xsi:type="dcterms:W3CDTF">2026-03-25T02:12:50Z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eyJoZGlkIjoiMTBlNGRmNjJkM2U0M2FlMjUzMjA4NzhiZjMxOWRhZTEiLCJ1c2VySWQiOiIzODY2NTQzODgifQ==</vt:lpwstr>
  </property>
  <property fmtid="{D5CDD505-2E9C-101B-9397-08002B2CF9AE}" pid="3" name="KSOProductBuildVer">
    <vt:lpwstr>2052-12.1.0.24657</vt:lpwstr>
  </property>
  <property fmtid="{D5CDD505-2E9C-101B-9397-08002B2CF9AE}" pid="4" name="ICV">
    <vt:lpwstr>FFFCCEC0AD8A433C9599EE7D047DE44F_13</vt:lpwstr>
  </property>
</Properties>
</file>