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98371">
      <w:pPr>
        <w:pStyle w:val="56"/>
        <w:jc w:val="both"/>
        <w:rPr>
          <w:sz w:val="21"/>
          <w:szCs w:val="21"/>
        </w:rPr>
      </w:pPr>
      <w:bookmarkStart w:id="0" w:name="_Toc20720"/>
      <w:bookmarkStart w:id="1" w:name="_Toc21664"/>
      <w:bookmarkStart w:id="2" w:name="_Toc18021"/>
      <w:bookmarkStart w:id="3" w:name="_Toc195800497"/>
      <w:bookmarkStart w:id="55" w:name="_GoBack"/>
      <w:bookmarkEnd w:id="55"/>
      <w:r>
        <w:rPr>
          <w:rFonts w:hint="eastAsia"/>
          <w:sz w:val="21"/>
          <w:szCs w:val="21"/>
        </w:rPr>
        <w:t>ICS XX.XX</w:t>
      </w:r>
      <w:bookmarkEnd w:id="0"/>
      <w:bookmarkEnd w:id="1"/>
      <w:bookmarkEnd w:id="2"/>
    </w:p>
    <w:p w14:paraId="7B94808E">
      <w:pPr>
        <w:rPr>
          <w:rFonts w:hint="eastAsia" w:ascii="宋体" w:hAnsi="宋体" w:cs="宋体"/>
          <w:szCs w:val="21"/>
        </w:rPr>
      </w:pPr>
      <w:r>
        <w:rPr>
          <w:rFonts w:hint="eastAsia" w:ascii="宋体" w:hAnsi="宋体" w:cs="宋体"/>
        </w:rPr>
        <w:t>XXX</w:t>
      </w:r>
    </w:p>
    <w:p w14:paraId="0B14C71E">
      <w:pPr>
        <w:pStyle w:val="28"/>
        <w:ind w:firstLine="0" w:firstLineChars="0"/>
        <w:jc w:val="distribute"/>
        <w:rPr>
          <w:rFonts w:hint="eastAsia" w:ascii="黑体" w:hAnsi="黑体" w:eastAsia="黑体"/>
          <w:sz w:val="48"/>
          <w:szCs w:val="48"/>
        </w:rPr>
      </w:pPr>
      <w:r>
        <w:rPr>
          <w:rFonts w:hint="eastAsia" w:ascii="黑体" w:hAnsi="黑体" w:eastAsia="黑体"/>
          <w:sz w:val="48"/>
          <w:szCs w:val="48"/>
        </w:rPr>
        <w:t>团体标准</w:t>
      </w:r>
    </w:p>
    <w:p w14:paraId="3727835F">
      <w:pPr>
        <w:pStyle w:val="28"/>
        <w:wordWrap w:val="0"/>
        <w:ind w:firstLine="0" w:firstLineChars="0"/>
        <w:jc w:val="right"/>
        <w:rPr>
          <w:rFonts w:ascii="Times New Roman"/>
          <w:sz w:val="28"/>
          <w:szCs w:val="28"/>
        </w:rPr>
      </w:pPr>
      <w:r>
        <w:rPr>
          <w:rFonts w:hint="eastAsia" w:ascii="Times New Roman"/>
          <w:sz w:val="28"/>
          <w:szCs w:val="28"/>
        </w:rPr>
        <mc:AlternateContent>
          <mc:Choice Requires="wps">
            <w:drawing>
              <wp:anchor distT="0" distB="0" distL="114300" distR="114300" simplePos="0" relativeHeight="251665408" behindDoc="0" locked="0" layoutInCell="1" allowOverlap="1">
                <wp:simplePos x="0" y="0"/>
                <wp:positionH relativeFrom="column">
                  <wp:posOffset>-19685</wp:posOffset>
                </wp:positionH>
                <wp:positionV relativeFrom="paragraph">
                  <wp:posOffset>487045</wp:posOffset>
                </wp:positionV>
                <wp:extent cx="6095365" cy="635"/>
                <wp:effectExtent l="0" t="0" r="0" b="0"/>
                <wp:wrapNone/>
                <wp:docPr id="2" name="直接连接符 2"/>
                <wp:cNvGraphicFramePr/>
                <a:graphic xmlns:a="http://schemas.openxmlformats.org/drawingml/2006/main">
                  <a:graphicData uri="http://schemas.microsoft.com/office/word/2010/wordprocessingShape">
                    <wps:wsp>
                      <wps:cNvCnPr/>
                      <wps:spPr>
                        <a:xfrm flipV="1">
                          <a:off x="742950" y="2878455"/>
                          <a:ext cx="6095365"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5pt;margin-top:38.35pt;height:0.05pt;width:479.95pt;z-index:251665408;mso-width-relative:page;mso-height-relative:page;" filled="f" stroked="t" coordsize="21600,21600" o:gfxdata="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yUPMQ1gAAAAgBAAAPAAAAAAAAAAEAIAAAACIAAABkcnMvZG93bnJldi54bWxQ&#10;SwECFAAUAAAACACHTuJAMt9gcPkBAADIAwAADgAAAAAAAAABACAAAAAlAQAAZHJzL2Uyb0RvYy54&#10;bWxQSwUGAAAAAAYABgBZAQAAkAUAAAAA&#10;">
                <v:fill on="f" focussize="0,0"/>
                <v:stroke weight="0.5pt" color="#000000 [3200]" miterlimit="8" joinstyle="miter"/>
                <v:imagedata o:title=""/>
                <o:lock v:ext="edit" aspectratio="f"/>
              </v:line>
            </w:pict>
          </mc:Fallback>
        </mc:AlternateContent>
      </w:r>
      <w:r>
        <w:rPr>
          <w:rFonts w:hint="eastAsia" w:ascii="Times New Roman"/>
          <w:sz w:val="28"/>
          <w:szCs w:val="28"/>
        </w:rPr>
        <w:t xml:space="preserve">T/CAGHPER </w:t>
      </w:r>
      <w:r>
        <w:rPr>
          <w:rFonts w:hint="eastAsia" w:ascii="仿宋" w:hAnsi="仿宋" w:eastAsia="仿宋" w:cs="仿宋"/>
          <w:sz w:val="28"/>
          <w:szCs w:val="28"/>
        </w:rPr>
        <w:t>XXX—XXXX</w:t>
      </w:r>
    </w:p>
    <w:p w14:paraId="01E79334">
      <w:pPr>
        <w:jc w:val="right"/>
        <w:rPr>
          <w:szCs w:val="21"/>
        </w:rPr>
      </w:pPr>
    </w:p>
    <w:p w14:paraId="2C06F481">
      <w:pPr>
        <w:jc w:val="right"/>
        <w:rPr>
          <w:szCs w:val="21"/>
        </w:rPr>
      </w:pPr>
    </w:p>
    <w:p w14:paraId="21DEBEB3">
      <w:pPr>
        <w:jc w:val="right"/>
        <w:rPr>
          <w:szCs w:val="21"/>
        </w:rPr>
      </w:pPr>
    </w:p>
    <w:p w14:paraId="7946AE98">
      <w:pPr>
        <w:pStyle w:val="28"/>
        <w:ind w:firstLine="0" w:firstLineChars="0"/>
        <w:jc w:val="center"/>
        <w:rPr>
          <w:rFonts w:hint="eastAsia" w:ascii="黑体" w:hAnsi="黑体" w:eastAsia="黑体"/>
          <w:sz w:val="52"/>
          <w:szCs w:val="52"/>
        </w:rPr>
      </w:pPr>
      <w:r>
        <w:rPr>
          <w:rFonts w:hint="eastAsia" w:ascii="黑体" w:hAnsi="黑体" w:eastAsia="黑体"/>
          <w:sz w:val="52"/>
          <w:szCs w:val="52"/>
        </w:rPr>
        <w:t>废弃矿山生态修复工程后期管护规范</w:t>
      </w:r>
    </w:p>
    <w:p w14:paraId="27A4E7B2">
      <w:pPr>
        <w:jc w:val="center"/>
        <w:rPr>
          <w:rFonts w:hint="eastAsia" w:ascii="黑体" w:hAnsi="黑体" w:eastAsia="黑体" w:cs="黑体"/>
          <w:color w:val="000000" w:themeColor="text1"/>
          <w:szCs w:val="21"/>
          <w14:textFill>
            <w14:solidFill>
              <w14:schemeClr w14:val="tx1"/>
            </w14:solidFill>
          </w14:textFill>
        </w:rPr>
      </w:pPr>
      <w:r>
        <w:rPr>
          <w:rFonts w:hint="eastAsia" w:ascii="黑体" w:hAnsi="黑体" w:eastAsia="黑体"/>
          <w:kern w:val="0"/>
          <w:sz w:val="28"/>
          <w:szCs w:val="28"/>
        </w:rPr>
        <w:t>Technical Specifications for Late engineering maintenance ecological Remediation of Mines</w:t>
      </w:r>
    </w:p>
    <w:p w14:paraId="7C594F7B">
      <w:pPr>
        <w:pStyle w:val="28"/>
        <w:ind w:firstLine="0" w:firstLineChars="0"/>
        <w:jc w:val="center"/>
        <w:rPr>
          <w:rFonts w:hint="eastAsia" w:hAnsi="宋体"/>
          <w:szCs w:val="21"/>
        </w:rPr>
      </w:pPr>
    </w:p>
    <w:p w14:paraId="094B2E41">
      <w:pPr>
        <w:pStyle w:val="28"/>
        <w:ind w:firstLine="0" w:firstLineChars="0"/>
        <w:jc w:val="center"/>
        <w:rPr>
          <w:rFonts w:hint="eastAsia" w:hAnsi="宋体"/>
          <w:szCs w:val="21"/>
        </w:rPr>
      </w:pPr>
      <w:r>
        <w:rPr>
          <w:rFonts w:hint="eastAsia" w:hAnsi="宋体"/>
          <w:szCs w:val="21"/>
        </w:rPr>
        <w:t>（征求意见稿）</w:t>
      </w:r>
    </w:p>
    <w:p w14:paraId="243A1DCD">
      <w:pPr>
        <w:jc w:val="center"/>
        <w:rPr>
          <w:color w:val="000000" w:themeColor="text1"/>
          <w:szCs w:val="21"/>
          <w14:textFill>
            <w14:solidFill>
              <w14:schemeClr w14:val="tx1"/>
            </w14:solidFill>
          </w14:textFill>
        </w:rPr>
      </w:pPr>
    </w:p>
    <w:p w14:paraId="6495FF10">
      <w:pPr>
        <w:jc w:val="center"/>
        <w:rPr>
          <w:color w:val="000000" w:themeColor="text1"/>
          <w:szCs w:val="21"/>
          <w14:textFill>
            <w14:solidFill>
              <w14:schemeClr w14:val="tx1"/>
            </w14:solidFill>
          </w14:textFill>
        </w:rPr>
      </w:pPr>
    </w:p>
    <w:p w14:paraId="6966EE7D">
      <w:pPr>
        <w:jc w:val="center"/>
        <w:rPr>
          <w:color w:val="000000" w:themeColor="text1"/>
          <w:szCs w:val="21"/>
          <w14:textFill>
            <w14:solidFill>
              <w14:schemeClr w14:val="tx1"/>
            </w14:solidFill>
          </w14:textFill>
        </w:rPr>
      </w:pPr>
    </w:p>
    <w:p w14:paraId="2CD81DE8">
      <w:pPr>
        <w:jc w:val="center"/>
        <w:rPr>
          <w:color w:val="000000" w:themeColor="text1"/>
          <w:szCs w:val="21"/>
          <w14:textFill>
            <w14:solidFill>
              <w14:schemeClr w14:val="tx1"/>
            </w14:solidFill>
          </w14:textFill>
        </w:rPr>
      </w:pPr>
    </w:p>
    <w:p w14:paraId="7A0027B7">
      <w:pPr>
        <w:jc w:val="center"/>
        <w:rPr>
          <w:color w:val="000000" w:themeColor="text1"/>
          <w:szCs w:val="21"/>
          <w14:textFill>
            <w14:solidFill>
              <w14:schemeClr w14:val="tx1"/>
            </w14:solidFill>
          </w14:textFill>
        </w:rPr>
      </w:pPr>
    </w:p>
    <w:p w14:paraId="7300A0E5">
      <w:pPr>
        <w:jc w:val="center"/>
        <w:rPr>
          <w:color w:val="000000" w:themeColor="text1"/>
          <w:szCs w:val="21"/>
          <w14:textFill>
            <w14:solidFill>
              <w14:schemeClr w14:val="tx1"/>
            </w14:solidFill>
          </w14:textFill>
        </w:rPr>
      </w:pPr>
    </w:p>
    <w:p w14:paraId="7A29767C">
      <w:pPr>
        <w:jc w:val="center"/>
        <w:rPr>
          <w:color w:val="000000" w:themeColor="text1"/>
          <w:szCs w:val="21"/>
          <w14:textFill>
            <w14:solidFill>
              <w14:schemeClr w14:val="tx1"/>
            </w14:solidFill>
          </w14:textFill>
        </w:rPr>
      </w:pPr>
    </w:p>
    <w:p w14:paraId="23B378A5">
      <w:pPr>
        <w:jc w:val="center"/>
        <w:rPr>
          <w:color w:val="000000" w:themeColor="text1"/>
          <w:szCs w:val="21"/>
          <w14:textFill>
            <w14:solidFill>
              <w14:schemeClr w14:val="tx1"/>
            </w14:solidFill>
          </w14:textFill>
        </w:rPr>
      </w:pPr>
    </w:p>
    <w:p w14:paraId="372826B0">
      <w:pPr>
        <w:jc w:val="center"/>
        <w:rPr>
          <w:color w:val="000000" w:themeColor="text1"/>
          <w:szCs w:val="21"/>
          <w14:textFill>
            <w14:solidFill>
              <w14:schemeClr w14:val="tx1"/>
            </w14:solidFill>
          </w14:textFill>
        </w:rPr>
      </w:pPr>
    </w:p>
    <w:p w14:paraId="515F9855">
      <w:pPr>
        <w:jc w:val="center"/>
        <w:rPr>
          <w:color w:val="000000" w:themeColor="text1"/>
          <w:szCs w:val="21"/>
          <w14:textFill>
            <w14:solidFill>
              <w14:schemeClr w14:val="tx1"/>
            </w14:solidFill>
          </w14:textFill>
        </w:rPr>
      </w:pPr>
    </w:p>
    <w:p w14:paraId="22BE4F53">
      <w:pPr>
        <w:jc w:val="center"/>
        <w:rPr>
          <w:color w:val="000000" w:themeColor="text1"/>
          <w:szCs w:val="21"/>
          <w14:textFill>
            <w14:solidFill>
              <w14:schemeClr w14:val="tx1"/>
            </w14:solidFill>
          </w14:textFill>
        </w:rPr>
      </w:pPr>
    </w:p>
    <w:p w14:paraId="67D8A8EA">
      <w:pPr>
        <w:jc w:val="center"/>
        <w:rPr>
          <w:color w:val="000000" w:themeColor="text1"/>
          <w:szCs w:val="21"/>
          <w14:textFill>
            <w14:solidFill>
              <w14:schemeClr w14:val="tx1"/>
            </w14:solidFill>
          </w14:textFill>
        </w:rPr>
      </w:pPr>
    </w:p>
    <w:p w14:paraId="73127FD7">
      <w:pPr>
        <w:jc w:val="center"/>
        <w:rPr>
          <w:color w:val="000000" w:themeColor="text1"/>
          <w:szCs w:val="21"/>
          <w14:textFill>
            <w14:solidFill>
              <w14:schemeClr w14:val="tx1"/>
            </w14:solidFill>
          </w14:textFill>
        </w:rPr>
      </w:pPr>
    </w:p>
    <w:p w14:paraId="6EFCE709">
      <w:pPr>
        <w:jc w:val="center"/>
        <w:rPr>
          <w:rFonts w:hint="eastAsia"/>
          <w:color w:val="000000" w:themeColor="text1"/>
          <w:szCs w:val="21"/>
          <w14:textFill>
            <w14:solidFill>
              <w14:schemeClr w14:val="tx1"/>
            </w14:solidFill>
          </w14:textFill>
        </w:rPr>
      </w:pPr>
    </w:p>
    <w:p w14:paraId="1A60F220">
      <w:pPr>
        <w:jc w:val="center"/>
        <w:rPr>
          <w:color w:val="000000" w:themeColor="text1"/>
          <w:szCs w:val="21"/>
          <w14:textFill>
            <w14:solidFill>
              <w14:schemeClr w14:val="tx1"/>
            </w14:solidFill>
          </w14:textFill>
        </w:rPr>
      </w:pPr>
    </w:p>
    <w:p w14:paraId="14357458">
      <w:pPr>
        <w:jc w:val="center"/>
        <w:rPr>
          <w:color w:val="000000" w:themeColor="text1"/>
          <w:szCs w:val="21"/>
          <w14:textFill>
            <w14:solidFill>
              <w14:schemeClr w14:val="tx1"/>
            </w14:solidFill>
          </w14:textFill>
        </w:rPr>
      </w:pPr>
    </w:p>
    <w:p w14:paraId="61BD08B7">
      <w:pPr>
        <w:jc w:val="center"/>
        <w:rPr>
          <w:color w:val="000000" w:themeColor="text1"/>
          <w:szCs w:val="21"/>
          <w14:textFill>
            <w14:solidFill>
              <w14:schemeClr w14:val="tx1"/>
            </w14:solidFill>
          </w14:textFill>
        </w:rPr>
      </w:pPr>
    </w:p>
    <w:p w14:paraId="2C044FE4">
      <w:pPr>
        <w:jc w:val="center"/>
        <w:rPr>
          <w:color w:val="000000" w:themeColor="text1"/>
          <w:szCs w:val="21"/>
          <w14:textFill>
            <w14:solidFill>
              <w14:schemeClr w14:val="tx1"/>
            </w14:solidFill>
          </w14:textFill>
        </w:rPr>
      </w:pPr>
    </w:p>
    <w:p w14:paraId="3C799786">
      <w:pPr>
        <w:jc w:val="center"/>
        <w:rPr>
          <w:color w:val="000000" w:themeColor="text1"/>
          <w:szCs w:val="21"/>
          <w14:textFill>
            <w14:solidFill>
              <w14:schemeClr w14:val="tx1"/>
            </w14:solidFill>
          </w14:textFill>
        </w:rPr>
      </w:pPr>
    </w:p>
    <w:p w14:paraId="1FB6C447">
      <w:pPr>
        <w:jc w:val="center"/>
        <w:rPr>
          <w:color w:val="000000" w:themeColor="text1"/>
          <w:szCs w:val="21"/>
          <w14:textFill>
            <w14:solidFill>
              <w14:schemeClr w14:val="tx1"/>
            </w14:solidFill>
          </w14:textFill>
        </w:rPr>
      </w:pPr>
    </w:p>
    <w:p w14:paraId="41948E0B">
      <w:pPr>
        <w:jc w:val="center"/>
        <w:rPr>
          <w:color w:val="000000" w:themeColor="text1"/>
          <w:szCs w:val="21"/>
          <w14:textFill>
            <w14:solidFill>
              <w14:schemeClr w14:val="tx1"/>
            </w14:solidFill>
          </w14:textFill>
        </w:rPr>
      </w:pPr>
    </w:p>
    <w:p w14:paraId="7B1A02F3">
      <w:pPr>
        <w:pStyle w:val="28"/>
        <w:ind w:firstLine="0" w:firstLineChars="0"/>
        <w:rPr>
          <w:rFonts w:hint="eastAsia" w:ascii="黑体" w:hAnsi="黑体" w:eastAsia="黑体"/>
          <w:sz w:val="28"/>
          <w:szCs w:val="28"/>
        </w:rPr>
      </w:pPr>
      <w:r>
        <w:rPr>
          <w:rFonts w:hint="eastAsia" w:ascii="黑体" w:hAnsi="黑体" w:eastAsia="黑体"/>
          <w:sz w:val="28"/>
          <w:szCs w:val="28"/>
        </w:rPr>
        <w:fldChar w:fldCharType="begin">
          <w:ffData>
            <w:name w:val="FY"/>
            <w:enabled/>
            <w:calcOnExit w:val="0"/>
            <w:textInput>
              <w:default w:val="XXXX"/>
              <w:maxLength w:val="4"/>
            </w:textInput>
          </w:ffData>
        </w:fldChar>
      </w:r>
      <w:r>
        <w:rPr>
          <w:rFonts w:hint="eastAsia" w:ascii="黑体" w:hAnsi="黑体" w:eastAsia="黑体"/>
          <w:sz w:val="28"/>
          <w:szCs w:val="28"/>
        </w:rPr>
        <w:instrText xml:space="preserve"> FORMTEXT </w:instrText>
      </w:r>
      <w:r>
        <w:rPr>
          <w:rFonts w:hint="eastAsia" w:ascii="黑体" w:hAnsi="黑体" w:eastAsia="黑体"/>
          <w:sz w:val="28"/>
          <w:szCs w:val="28"/>
        </w:rPr>
        <w:fldChar w:fldCharType="separate"/>
      </w:r>
      <w:r>
        <w:rPr>
          <w:rFonts w:hint="eastAsia" w:ascii="黑体" w:hAnsi="黑体" w:eastAsia="黑体"/>
          <w:sz w:val="28"/>
          <w:szCs w:val="28"/>
        </w:rPr>
        <w:t>XXXX</w:t>
      </w:r>
      <w:r>
        <w:rPr>
          <w:rFonts w:hint="eastAsia" w:ascii="黑体" w:hAnsi="黑体" w:eastAsia="黑体"/>
          <w:sz w:val="28"/>
          <w:szCs w:val="28"/>
        </w:rPr>
        <w:fldChar w:fldCharType="end"/>
      </w:r>
      <w:r>
        <w:rPr>
          <w:rFonts w:hint="eastAsia" w:ascii="黑体" w:hAnsi="黑体" w:eastAsia="黑体"/>
          <w:sz w:val="28"/>
          <w:szCs w:val="28"/>
        </w:rPr>
        <w:t>-</w:t>
      </w:r>
      <w:r>
        <w:rPr>
          <w:rFonts w:hint="eastAsia" w:ascii="黑体" w:hAnsi="黑体" w:eastAsia="黑体"/>
          <w:sz w:val="28"/>
          <w:szCs w:val="28"/>
        </w:rPr>
        <w:fldChar w:fldCharType="begin">
          <w:ffData>
            <w:name w:val="FM"/>
            <w:enabled/>
            <w:calcOnExit w:val="0"/>
            <w:textInput>
              <w:default w:val="XX"/>
              <w:maxLength w:val="2"/>
            </w:textInput>
          </w:ffData>
        </w:fldChar>
      </w:r>
      <w:r>
        <w:rPr>
          <w:rFonts w:hint="eastAsia" w:ascii="黑体" w:hAnsi="黑体" w:eastAsia="黑体"/>
          <w:sz w:val="28"/>
          <w:szCs w:val="28"/>
        </w:rPr>
        <w:instrText xml:space="preserve"> FORMTEXT </w:instrText>
      </w:r>
      <w:r>
        <w:rPr>
          <w:rFonts w:hint="eastAsia" w:ascii="黑体" w:hAnsi="黑体" w:eastAsia="黑体"/>
          <w:sz w:val="28"/>
          <w:szCs w:val="28"/>
        </w:rPr>
        <w:fldChar w:fldCharType="separate"/>
      </w:r>
      <w:r>
        <w:rPr>
          <w:rFonts w:hint="eastAsia" w:ascii="黑体" w:hAnsi="黑体" w:eastAsia="黑体"/>
          <w:sz w:val="28"/>
          <w:szCs w:val="28"/>
        </w:rPr>
        <w:t>XX</w:t>
      </w:r>
      <w:r>
        <w:rPr>
          <w:rFonts w:hint="eastAsia" w:ascii="黑体" w:hAnsi="黑体" w:eastAsia="黑体"/>
          <w:sz w:val="28"/>
          <w:szCs w:val="28"/>
        </w:rPr>
        <w:fldChar w:fldCharType="end"/>
      </w:r>
      <w:r>
        <w:rPr>
          <w:rFonts w:hint="eastAsia" w:ascii="黑体" w:hAnsi="黑体" w:eastAsia="黑体"/>
          <w:sz w:val="28"/>
          <w:szCs w:val="28"/>
        </w:rPr>
        <w:t>-</w:t>
      </w:r>
      <w:r>
        <w:rPr>
          <w:rFonts w:hint="eastAsia" w:ascii="黑体" w:hAnsi="黑体" w:eastAsia="黑体"/>
          <w:sz w:val="28"/>
          <w:szCs w:val="28"/>
        </w:rPr>
        <w:fldChar w:fldCharType="begin">
          <w:ffData>
            <w:name w:val="FD"/>
            <w:enabled/>
            <w:calcOnExit w:val="0"/>
            <w:textInput>
              <w:default w:val="XX"/>
              <w:maxLength w:val="2"/>
            </w:textInput>
          </w:ffData>
        </w:fldChar>
      </w:r>
      <w:r>
        <w:rPr>
          <w:rFonts w:hint="eastAsia" w:ascii="黑体" w:hAnsi="黑体" w:eastAsia="黑体"/>
          <w:sz w:val="28"/>
          <w:szCs w:val="28"/>
        </w:rPr>
        <w:instrText xml:space="preserve"> FORMTEXT </w:instrText>
      </w:r>
      <w:r>
        <w:rPr>
          <w:rFonts w:hint="eastAsia" w:ascii="黑体" w:hAnsi="黑体" w:eastAsia="黑体"/>
          <w:sz w:val="28"/>
          <w:szCs w:val="28"/>
        </w:rPr>
        <w:fldChar w:fldCharType="separate"/>
      </w:r>
      <w:r>
        <w:rPr>
          <w:rFonts w:hint="eastAsia" w:ascii="黑体" w:hAnsi="黑体" w:eastAsia="黑体"/>
          <w:sz w:val="28"/>
          <w:szCs w:val="28"/>
        </w:rPr>
        <w:t>XX</w:t>
      </w:r>
      <w:r>
        <w:rPr>
          <w:rFonts w:hint="eastAsia" w:ascii="黑体" w:hAnsi="黑体" w:eastAsia="黑体"/>
          <w:sz w:val="28"/>
          <w:szCs w:val="28"/>
        </w:rPr>
        <w:fldChar w:fldCharType="end"/>
      </w:r>
      <w:r>
        <w:rPr>
          <w:rFonts w:hint="eastAsia" w:ascii="黑体" w:hAnsi="黑体" w:eastAsia="黑体"/>
          <w:sz w:val="28"/>
          <w:szCs w:val="28"/>
        </w:rPr>
        <w:t xml:space="preserve">发布                                      </w:t>
      </w:r>
      <w:r>
        <w:rPr>
          <w:rFonts w:hint="eastAsia" w:ascii="黑体" w:hAnsi="黑体" w:eastAsia="黑体"/>
          <w:sz w:val="28"/>
          <w:szCs w:val="28"/>
        </w:rPr>
        <w:fldChar w:fldCharType="begin">
          <w:ffData>
            <w:name w:val="SY"/>
            <w:enabled/>
            <w:calcOnExit w:val="0"/>
            <w:textInput>
              <w:default w:val="XXXX"/>
              <w:maxLength w:val="4"/>
            </w:textInput>
          </w:ffData>
        </w:fldChar>
      </w:r>
      <w:r>
        <w:rPr>
          <w:rFonts w:hint="eastAsia" w:ascii="黑体" w:hAnsi="黑体" w:eastAsia="黑体"/>
          <w:sz w:val="28"/>
          <w:szCs w:val="28"/>
        </w:rPr>
        <w:instrText xml:space="preserve"> FORMTEXT </w:instrText>
      </w:r>
      <w:r>
        <w:rPr>
          <w:rFonts w:hint="eastAsia" w:ascii="黑体" w:hAnsi="黑体" w:eastAsia="黑体"/>
          <w:sz w:val="28"/>
          <w:szCs w:val="28"/>
        </w:rPr>
        <w:fldChar w:fldCharType="separate"/>
      </w:r>
      <w:r>
        <w:rPr>
          <w:rFonts w:hint="eastAsia" w:ascii="黑体" w:hAnsi="黑体" w:eastAsia="黑体"/>
          <w:sz w:val="28"/>
          <w:szCs w:val="28"/>
        </w:rPr>
        <w:t>XXXX</w:t>
      </w:r>
      <w:r>
        <w:rPr>
          <w:rFonts w:hint="eastAsia" w:ascii="黑体" w:hAnsi="黑体" w:eastAsia="黑体"/>
          <w:sz w:val="28"/>
          <w:szCs w:val="28"/>
        </w:rPr>
        <w:fldChar w:fldCharType="end"/>
      </w:r>
      <w:r>
        <w:rPr>
          <w:rFonts w:hint="eastAsia" w:ascii="黑体" w:hAnsi="黑体" w:eastAsia="黑体"/>
          <w:sz w:val="28"/>
          <w:szCs w:val="28"/>
        </w:rPr>
        <w:t>-</w:t>
      </w:r>
      <w:r>
        <w:rPr>
          <w:rFonts w:hint="eastAsia" w:ascii="黑体" w:hAnsi="黑体" w:eastAsia="黑体"/>
          <w:sz w:val="28"/>
          <w:szCs w:val="28"/>
        </w:rPr>
        <w:fldChar w:fldCharType="begin">
          <w:ffData>
            <w:name w:val="SM"/>
            <w:enabled/>
            <w:calcOnExit w:val="0"/>
            <w:textInput>
              <w:default w:val="XX"/>
              <w:maxLength w:val="2"/>
            </w:textInput>
          </w:ffData>
        </w:fldChar>
      </w:r>
      <w:r>
        <w:rPr>
          <w:rFonts w:hint="eastAsia" w:ascii="黑体" w:hAnsi="黑体" w:eastAsia="黑体"/>
          <w:sz w:val="28"/>
          <w:szCs w:val="28"/>
        </w:rPr>
        <w:instrText xml:space="preserve"> FORMTEXT </w:instrText>
      </w:r>
      <w:r>
        <w:rPr>
          <w:rFonts w:hint="eastAsia" w:ascii="黑体" w:hAnsi="黑体" w:eastAsia="黑体"/>
          <w:sz w:val="28"/>
          <w:szCs w:val="28"/>
        </w:rPr>
        <w:fldChar w:fldCharType="separate"/>
      </w:r>
      <w:r>
        <w:rPr>
          <w:rFonts w:hint="eastAsia" w:ascii="黑体" w:hAnsi="黑体" w:eastAsia="黑体"/>
          <w:sz w:val="28"/>
          <w:szCs w:val="28"/>
        </w:rPr>
        <w:t>XX</w:t>
      </w:r>
      <w:r>
        <w:rPr>
          <w:rFonts w:hint="eastAsia" w:ascii="黑体" w:hAnsi="黑体" w:eastAsia="黑体"/>
          <w:sz w:val="28"/>
          <w:szCs w:val="28"/>
        </w:rPr>
        <w:fldChar w:fldCharType="end"/>
      </w:r>
      <w:r>
        <w:rPr>
          <w:rFonts w:hint="eastAsia" w:ascii="黑体" w:hAnsi="黑体" w:eastAsia="黑体"/>
          <w:sz w:val="28"/>
          <w:szCs w:val="28"/>
        </w:rPr>
        <w:t>-</w:t>
      </w:r>
      <w:r>
        <w:rPr>
          <w:rFonts w:hint="eastAsia" w:ascii="黑体" w:hAnsi="黑体" w:eastAsia="黑体"/>
          <w:sz w:val="28"/>
          <w:szCs w:val="28"/>
        </w:rPr>
        <w:fldChar w:fldCharType="begin">
          <w:ffData>
            <w:name w:val="SD"/>
            <w:enabled/>
            <w:calcOnExit w:val="0"/>
            <w:textInput>
              <w:default w:val="XX"/>
              <w:maxLength w:val="2"/>
            </w:textInput>
          </w:ffData>
        </w:fldChar>
      </w:r>
      <w:r>
        <w:rPr>
          <w:rFonts w:hint="eastAsia" w:ascii="黑体" w:hAnsi="黑体" w:eastAsia="黑体"/>
          <w:sz w:val="28"/>
          <w:szCs w:val="28"/>
        </w:rPr>
        <w:instrText xml:space="preserve"> FORMTEXT </w:instrText>
      </w:r>
      <w:r>
        <w:rPr>
          <w:rFonts w:hint="eastAsia" w:ascii="黑体" w:hAnsi="黑体" w:eastAsia="黑体"/>
          <w:sz w:val="28"/>
          <w:szCs w:val="28"/>
        </w:rPr>
        <w:fldChar w:fldCharType="separate"/>
      </w:r>
      <w:r>
        <w:rPr>
          <w:rFonts w:hint="eastAsia" w:ascii="黑体" w:hAnsi="黑体" w:eastAsia="黑体"/>
          <w:sz w:val="28"/>
          <w:szCs w:val="28"/>
        </w:rPr>
        <w:t>XX</w:t>
      </w:r>
      <w:r>
        <w:rPr>
          <w:rFonts w:hint="eastAsia" w:ascii="黑体" w:hAnsi="黑体" w:eastAsia="黑体"/>
          <w:sz w:val="28"/>
          <w:szCs w:val="28"/>
        </w:rPr>
        <w:fldChar w:fldCharType="end"/>
      </w:r>
      <w:r>
        <w:rPr>
          <w:rFonts w:hint="eastAsia" w:ascii="黑体" w:hAnsi="黑体" w:eastAsia="黑体"/>
          <w:sz w:val="28"/>
          <w:szCs w:val="28"/>
        </w:rPr>
        <w:t>实施</w:t>
      </w:r>
    </w:p>
    <w:p w14:paraId="2FF02501">
      <w:pPr>
        <w:jc w:val="center"/>
        <w:rPr>
          <w:color w:val="000000" w:themeColor="text1"/>
          <w:szCs w:val="21"/>
          <w14:textFill>
            <w14:solidFill>
              <w14:schemeClr w14:val="tx1"/>
            </w14:solidFill>
          </w14:textFill>
        </w:rPr>
      </w:pPr>
      <w:r>
        <w:rPr>
          <w:szCs w:val="21"/>
        </w:rPr>
        <mc:AlternateContent>
          <mc:Choice Requires="wps">
            <w:drawing>
              <wp:anchor distT="0" distB="0" distL="114300" distR="114300" simplePos="0" relativeHeight="251666432" behindDoc="0" locked="0" layoutInCell="1" allowOverlap="1">
                <wp:simplePos x="0" y="0"/>
                <wp:positionH relativeFrom="column">
                  <wp:posOffset>-57150</wp:posOffset>
                </wp:positionH>
                <wp:positionV relativeFrom="paragraph">
                  <wp:posOffset>64770</wp:posOffset>
                </wp:positionV>
                <wp:extent cx="6095365" cy="635"/>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6095365"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5pt;margin-top:5.1pt;height:0.05pt;width:479.95pt;z-index:251666432;mso-width-relative:page;mso-height-relative:page;" filled="f" stroked="t" coordsize="21600,21600" o:gfxdata="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KLi4vV&#10;AAAACAEAAA8AAAAAAAAAAQAgAAAAIgAAAGRycy9kb3ducmV2LnhtbFBLAQIUABQAAAAIAIdO4kBQ&#10;uTwb6gEAAL0DAAAOAAAAAAAAAAEAIAAAACQBAABkcnMvZTJvRG9jLnhtbFBLBQYAAAAABgAGAFkB&#10;AACABQAAAAA=&#10;">
                <v:fill on="f" focussize="0,0"/>
                <v:stroke weight="0.5pt" color="#000000 [3200]" miterlimit="8" joinstyle="miter"/>
                <v:imagedata o:title=""/>
                <o:lock v:ext="edit" aspectratio="f"/>
              </v:line>
            </w:pict>
          </mc:Fallback>
        </mc:AlternateContent>
      </w:r>
    </w:p>
    <w:p w14:paraId="2AC8739A">
      <w:pPr>
        <w:jc w:val="center"/>
        <w:rPr>
          <w:rFonts w:hint="eastAsia" w:ascii="黑体" w:hAnsi="黑体" w:eastAsia="黑体" w:cs="黑体"/>
          <w:color w:val="000000" w:themeColor="text1"/>
          <w:szCs w:val="21"/>
          <w14:textFill>
            <w14:solidFill>
              <w14:schemeClr w14:val="tx1"/>
            </w14:solidFill>
          </w14:textFill>
        </w:rPr>
      </w:pPr>
      <w:r>
        <w:rPr>
          <w:rFonts w:hint="eastAsia" w:eastAsia="黑体"/>
          <w:kern w:val="0"/>
          <w:sz w:val="28"/>
          <w:szCs w:val="28"/>
        </w:rPr>
        <w:t>中国地质灾害防治与生态修复协会   发布</w:t>
      </w:r>
    </w:p>
    <w:p w14:paraId="6707A56C">
      <w:pPr>
        <w:tabs>
          <w:tab w:val="left" w:pos="8647"/>
        </w:tabs>
        <w:jc w:val="center"/>
      </w:pPr>
      <w:bookmarkStart w:id="4" w:name="_Toc7894"/>
    </w:p>
    <w:p w14:paraId="2B620F34">
      <w:pPr>
        <w:tabs>
          <w:tab w:val="left" w:pos="8647"/>
        </w:tabs>
        <w:jc w:val="center"/>
        <w:rPr>
          <w:rFonts w:hint="eastAsia" w:ascii="宋体" w:hAnsi="宋体"/>
          <w:color w:val="000000" w:themeColor="text1"/>
          <w:kern w:val="0"/>
          <w:szCs w:val="21"/>
          <w14:textFill>
            <w14:solidFill>
              <w14:schemeClr w14:val="tx1"/>
            </w14:solidFill>
          </w14:textFill>
        </w:rPr>
      </w:pPr>
      <w:r>
        <w:rPr>
          <w:rFonts w:hint="eastAsia"/>
          <w:b/>
          <w:bCs/>
        </w:rPr>
        <w:t>目  次</w:t>
      </w:r>
      <w:bookmarkEnd w:id="3"/>
      <w:bookmarkEnd w:id="4"/>
      <w:r>
        <w:rPr>
          <w:rFonts w:ascii="宋体" w:hAnsi="宋体"/>
          <w:color w:val="000000" w:themeColor="text1"/>
          <w:szCs w:val="21"/>
          <w14:textFill>
            <w14:solidFill>
              <w14:schemeClr w14:val="tx1"/>
            </w14:solidFill>
          </w14:textFill>
        </w:rPr>
        <w:fldChar w:fldCharType="begin"/>
      </w:r>
      <w:r>
        <w:rPr>
          <w:rFonts w:ascii="宋体" w:hAnsi="宋体"/>
          <w:color w:val="000000" w:themeColor="text1"/>
          <w:szCs w:val="21"/>
          <w14:textFill>
            <w14:solidFill>
              <w14:schemeClr w14:val="tx1"/>
            </w14:solidFill>
          </w14:textFill>
        </w:rPr>
        <w:instrText xml:space="preserve"> TOC \o "1-3" \h \z \u </w:instrText>
      </w:r>
      <w:r>
        <w:rPr>
          <w:rFonts w:ascii="宋体" w:hAnsi="宋体"/>
          <w:color w:val="000000" w:themeColor="text1"/>
          <w:szCs w:val="21"/>
          <w14:textFill>
            <w14:solidFill>
              <w14:schemeClr w14:val="tx1"/>
            </w14:solidFill>
          </w14:textFill>
        </w:rPr>
        <w:fldChar w:fldCharType="separate"/>
      </w:r>
    </w:p>
    <w:p w14:paraId="6BEE181A">
      <w:pPr>
        <w:pStyle w:val="33"/>
        <w:tabs>
          <w:tab w:val="right" w:leader="dot" w:pos="9354"/>
          <w:tab w:val="clear" w:pos="9242"/>
        </w:tabs>
        <w:ind w:left="210"/>
      </w:pPr>
      <w:r>
        <w:fldChar w:fldCharType="begin"/>
      </w:r>
      <w:r>
        <w:instrText xml:space="preserve"> HYPERLINK \l "_Toc10333" </w:instrText>
      </w:r>
      <w:r>
        <w:fldChar w:fldCharType="separate"/>
      </w:r>
      <w:r>
        <w:rPr>
          <w:rFonts w:eastAsia="黑体"/>
          <w:szCs w:val="24"/>
        </w:rPr>
        <w:t xml:space="preserve">1 </w:t>
      </w:r>
      <w:r>
        <w:rPr>
          <w:rFonts w:hint="eastAsia"/>
        </w:rPr>
        <w:t>范围</w:t>
      </w:r>
      <w:r>
        <w:tab/>
      </w:r>
      <w:r>
        <w:fldChar w:fldCharType="begin"/>
      </w:r>
      <w:r>
        <w:instrText xml:space="preserve"> PAGEREF _Toc10333 \h </w:instrText>
      </w:r>
      <w:r>
        <w:fldChar w:fldCharType="separate"/>
      </w:r>
      <w:r>
        <w:t>1</w:t>
      </w:r>
      <w:r>
        <w:fldChar w:fldCharType="end"/>
      </w:r>
      <w:r>
        <w:fldChar w:fldCharType="end"/>
      </w:r>
    </w:p>
    <w:p w14:paraId="281F91F6">
      <w:pPr>
        <w:pStyle w:val="33"/>
        <w:tabs>
          <w:tab w:val="right" w:leader="dot" w:pos="9354"/>
          <w:tab w:val="clear" w:pos="9242"/>
        </w:tabs>
        <w:ind w:left="210"/>
      </w:pPr>
      <w:r>
        <w:fldChar w:fldCharType="begin"/>
      </w:r>
      <w:r>
        <w:instrText xml:space="preserve"> HYPERLINK \l "_Toc8808" </w:instrText>
      </w:r>
      <w:r>
        <w:fldChar w:fldCharType="separate"/>
      </w:r>
      <w:r>
        <w:rPr>
          <w:rFonts w:eastAsia="黑体"/>
          <w:szCs w:val="24"/>
        </w:rPr>
        <w:t xml:space="preserve">2 </w:t>
      </w:r>
      <w:r>
        <w:rPr>
          <w:rFonts w:hint="eastAsia"/>
        </w:rPr>
        <w:t>规范性引用文件</w:t>
      </w:r>
      <w:r>
        <w:tab/>
      </w:r>
      <w:r>
        <w:fldChar w:fldCharType="begin"/>
      </w:r>
      <w:r>
        <w:instrText xml:space="preserve"> PAGEREF _Toc8808 \h </w:instrText>
      </w:r>
      <w:r>
        <w:fldChar w:fldCharType="separate"/>
      </w:r>
      <w:r>
        <w:t>1</w:t>
      </w:r>
      <w:r>
        <w:fldChar w:fldCharType="end"/>
      </w:r>
      <w:r>
        <w:fldChar w:fldCharType="end"/>
      </w:r>
    </w:p>
    <w:p w14:paraId="5E2F4F3A">
      <w:pPr>
        <w:pStyle w:val="33"/>
        <w:tabs>
          <w:tab w:val="right" w:leader="dot" w:pos="9354"/>
          <w:tab w:val="clear" w:pos="9242"/>
        </w:tabs>
        <w:ind w:left="210"/>
      </w:pPr>
      <w:r>
        <w:fldChar w:fldCharType="begin"/>
      </w:r>
      <w:r>
        <w:instrText xml:space="preserve"> HYPERLINK \l "_Toc17110" </w:instrText>
      </w:r>
      <w:r>
        <w:fldChar w:fldCharType="separate"/>
      </w:r>
      <w:r>
        <w:rPr>
          <w:rFonts w:eastAsia="黑体"/>
          <w:szCs w:val="24"/>
        </w:rPr>
        <w:t xml:space="preserve">3 </w:t>
      </w:r>
      <w:r>
        <w:rPr>
          <w:rFonts w:hint="eastAsia"/>
        </w:rPr>
        <w:t>术语和定义</w:t>
      </w:r>
      <w:r>
        <w:tab/>
      </w:r>
      <w:r>
        <w:fldChar w:fldCharType="begin"/>
      </w:r>
      <w:r>
        <w:instrText xml:space="preserve"> PAGEREF _Toc17110 \h </w:instrText>
      </w:r>
      <w:r>
        <w:fldChar w:fldCharType="separate"/>
      </w:r>
      <w:r>
        <w:t>1</w:t>
      </w:r>
      <w:r>
        <w:fldChar w:fldCharType="end"/>
      </w:r>
      <w:r>
        <w:fldChar w:fldCharType="end"/>
      </w:r>
    </w:p>
    <w:p w14:paraId="57FF3B23">
      <w:pPr>
        <w:pStyle w:val="33"/>
        <w:tabs>
          <w:tab w:val="right" w:leader="dot" w:pos="9354"/>
          <w:tab w:val="clear" w:pos="9242"/>
        </w:tabs>
        <w:ind w:left="210"/>
      </w:pPr>
      <w:r>
        <w:fldChar w:fldCharType="begin"/>
      </w:r>
      <w:r>
        <w:instrText xml:space="preserve"> HYPERLINK \l "_Toc10765" </w:instrText>
      </w:r>
      <w:r>
        <w:fldChar w:fldCharType="separate"/>
      </w:r>
      <w:r>
        <w:rPr>
          <w:rFonts w:eastAsia="黑体"/>
          <w:szCs w:val="24"/>
        </w:rPr>
        <w:t xml:space="preserve">4 </w:t>
      </w:r>
      <w:r>
        <w:rPr>
          <w:rFonts w:hint="eastAsia"/>
        </w:rPr>
        <w:t>管护总体要求</w:t>
      </w:r>
      <w:r>
        <w:tab/>
      </w:r>
      <w:r>
        <w:fldChar w:fldCharType="begin"/>
      </w:r>
      <w:r>
        <w:instrText xml:space="preserve"> PAGEREF _Toc10765 \h </w:instrText>
      </w:r>
      <w:r>
        <w:fldChar w:fldCharType="separate"/>
      </w:r>
      <w:r>
        <w:t>2</w:t>
      </w:r>
      <w:r>
        <w:fldChar w:fldCharType="end"/>
      </w:r>
      <w:r>
        <w:fldChar w:fldCharType="end"/>
      </w:r>
    </w:p>
    <w:p w14:paraId="758C8A19">
      <w:pPr>
        <w:pStyle w:val="33"/>
        <w:tabs>
          <w:tab w:val="right" w:leader="dot" w:pos="9354"/>
          <w:tab w:val="clear" w:pos="9242"/>
        </w:tabs>
        <w:ind w:left="210"/>
      </w:pPr>
      <w:r>
        <w:fldChar w:fldCharType="begin"/>
      </w:r>
      <w:r>
        <w:instrText xml:space="preserve"> HYPERLINK \l "_Toc32340" </w:instrText>
      </w:r>
      <w:r>
        <w:fldChar w:fldCharType="separate"/>
      </w:r>
      <w:r>
        <w:rPr>
          <w:rFonts w:eastAsia="黑体"/>
          <w:szCs w:val="24"/>
        </w:rPr>
        <w:t xml:space="preserve">5 </w:t>
      </w:r>
      <w:r>
        <w:rPr>
          <w:rFonts w:hint="eastAsia"/>
        </w:rPr>
        <w:t>管护方案编制</w:t>
      </w:r>
      <w:r>
        <w:tab/>
      </w:r>
      <w:r>
        <w:fldChar w:fldCharType="begin"/>
      </w:r>
      <w:r>
        <w:instrText xml:space="preserve"> PAGEREF _Toc32340 \h </w:instrText>
      </w:r>
      <w:r>
        <w:fldChar w:fldCharType="separate"/>
      </w:r>
      <w:r>
        <w:t>2</w:t>
      </w:r>
      <w:r>
        <w:fldChar w:fldCharType="end"/>
      </w:r>
      <w:r>
        <w:fldChar w:fldCharType="end"/>
      </w:r>
    </w:p>
    <w:p w14:paraId="2B9ADFDD">
      <w:pPr>
        <w:pStyle w:val="33"/>
        <w:tabs>
          <w:tab w:val="right" w:leader="dot" w:pos="9354"/>
          <w:tab w:val="clear" w:pos="9242"/>
        </w:tabs>
        <w:ind w:left="210"/>
      </w:pPr>
      <w:r>
        <w:fldChar w:fldCharType="begin"/>
      </w:r>
      <w:r>
        <w:instrText xml:space="preserve"> HYPERLINK \l "_Toc31089" </w:instrText>
      </w:r>
      <w:r>
        <w:fldChar w:fldCharType="separate"/>
      </w:r>
      <w:r>
        <w:rPr>
          <w:rFonts w:eastAsia="黑体"/>
          <w:szCs w:val="24"/>
        </w:rPr>
        <w:t xml:space="preserve">6 </w:t>
      </w:r>
      <w:r>
        <w:rPr>
          <w:rFonts w:hint="eastAsia"/>
        </w:rPr>
        <w:t>后期管护要求</w:t>
      </w:r>
      <w:r>
        <w:tab/>
      </w:r>
      <w:r>
        <w:fldChar w:fldCharType="begin"/>
      </w:r>
      <w:r>
        <w:instrText xml:space="preserve"> PAGEREF _Toc31089 \h </w:instrText>
      </w:r>
      <w:r>
        <w:fldChar w:fldCharType="separate"/>
      </w:r>
      <w:r>
        <w:t>3</w:t>
      </w:r>
      <w:r>
        <w:fldChar w:fldCharType="end"/>
      </w:r>
      <w:r>
        <w:fldChar w:fldCharType="end"/>
      </w:r>
    </w:p>
    <w:p w14:paraId="6F8AE1A5">
      <w:pPr>
        <w:pStyle w:val="17"/>
        <w:tabs>
          <w:tab w:val="right" w:leader="dot" w:pos="9354"/>
          <w:tab w:val="clear" w:pos="9241"/>
        </w:tabs>
        <w:ind w:firstLine="210"/>
      </w:pPr>
      <w:r>
        <w:fldChar w:fldCharType="begin"/>
      </w:r>
      <w:r>
        <w:instrText xml:space="preserve"> HYPERLINK \l "_Toc7983" </w:instrText>
      </w:r>
      <w:r>
        <w:fldChar w:fldCharType="separate"/>
      </w:r>
      <w:r>
        <w:t xml:space="preserve">6.1 </w:t>
      </w:r>
      <w:r>
        <w:rPr>
          <w:rFonts w:hint="eastAsia"/>
        </w:rPr>
        <w:t>工程设施维护</w:t>
      </w:r>
      <w:r>
        <w:tab/>
      </w:r>
      <w:r>
        <w:fldChar w:fldCharType="begin"/>
      </w:r>
      <w:r>
        <w:instrText xml:space="preserve"> PAGEREF _Toc7983 \h </w:instrText>
      </w:r>
      <w:r>
        <w:fldChar w:fldCharType="separate"/>
      </w:r>
      <w:r>
        <w:t>3</w:t>
      </w:r>
      <w:r>
        <w:fldChar w:fldCharType="end"/>
      </w:r>
      <w:r>
        <w:fldChar w:fldCharType="end"/>
      </w:r>
    </w:p>
    <w:p w14:paraId="3DFF7845">
      <w:pPr>
        <w:pStyle w:val="17"/>
        <w:tabs>
          <w:tab w:val="right" w:leader="dot" w:pos="9354"/>
          <w:tab w:val="clear" w:pos="9241"/>
        </w:tabs>
        <w:ind w:firstLine="210"/>
      </w:pPr>
      <w:r>
        <w:fldChar w:fldCharType="begin"/>
      </w:r>
      <w:r>
        <w:instrText xml:space="preserve"> HYPERLINK \l "_Toc11233" </w:instrText>
      </w:r>
      <w:r>
        <w:fldChar w:fldCharType="separate"/>
      </w:r>
      <w:r>
        <w:rPr>
          <w:rFonts w:hint="eastAsia"/>
        </w:rPr>
        <w:t>6.1.1  边坡工程管护</w:t>
      </w:r>
      <w:r>
        <w:tab/>
      </w:r>
      <w:r>
        <w:fldChar w:fldCharType="begin"/>
      </w:r>
      <w:r>
        <w:instrText xml:space="preserve"> PAGEREF _Toc11233 \h </w:instrText>
      </w:r>
      <w:r>
        <w:fldChar w:fldCharType="separate"/>
      </w:r>
      <w:r>
        <w:t>3</w:t>
      </w:r>
      <w:r>
        <w:fldChar w:fldCharType="end"/>
      </w:r>
      <w:r>
        <w:fldChar w:fldCharType="end"/>
      </w:r>
    </w:p>
    <w:p w14:paraId="0CB5B654">
      <w:pPr>
        <w:pStyle w:val="17"/>
        <w:tabs>
          <w:tab w:val="right" w:leader="dot" w:pos="9354"/>
          <w:tab w:val="clear" w:pos="9241"/>
        </w:tabs>
        <w:ind w:firstLine="210"/>
      </w:pPr>
      <w:r>
        <w:fldChar w:fldCharType="begin"/>
      </w:r>
      <w:r>
        <w:instrText xml:space="preserve"> HYPERLINK \l "_Toc633" </w:instrText>
      </w:r>
      <w:r>
        <w:fldChar w:fldCharType="separate"/>
      </w:r>
      <w:r>
        <w:rPr>
          <w:rFonts w:hint="eastAsia"/>
        </w:rPr>
        <w:t>6.1.2  截排水工程管护</w:t>
      </w:r>
      <w:r>
        <w:tab/>
      </w:r>
      <w:r>
        <w:fldChar w:fldCharType="begin"/>
      </w:r>
      <w:r>
        <w:instrText xml:space="preserve"> PAGEREF _Toc633 \h </w:instrText>
      </w:r>
      <w:r>
        <w:fldChar w:fldCharType="separate"/>
      </w:r>
      <w:r>
        <w:t>3</w:t>
      </w:r>
      <w:r>
        <w:fldChar w:fldCharType="end"/>
      </w:r>
      <w:r>
        <w:fldChar w:fldCharType="end"/>
      </w:r>
    </w:p>
    <w:p w14:paraId="32205E07">
      <w:pPr>
        <w:pStyle w:val="17"/>
        <w:tabs>
          <w:tab w:val="right" w:leader="dot" w:pos="9354"/>
          <w:tab w:val="clear" w:pos="9241"/>
        </w:tabs>
        <w:ind w:firstLine="210"/>
      </w:pPr>
      <w:r>
        <w:fldChar w:fldCharType="begin"/>
      </w:r>
      <w:r>
        <w:instrText xml:space="preserve"> HYPERLINK \l "_Toc25940" </w:instrText>
      </w:r>
      <w:r>
        <w:fldChar w:fldCharType="separate"/>
      </w:r>
      <w:r>
        <w:rPr>
          <w:rFonts w:hint="eastAsia"/>
        </w:rPr>
        <w:t>6.1.3  砌体工程管护</w:t>
      </w:r>
      <w:r>
        <w:tab/>
      </w:r>
      <w:r>
        <w:fldChar w:fldCharType="begin"/>
      </w:r>
      <w:r>
        <w:instrText xml:space="preserve"> PAGEREF _Toc25940 \h </w:instrText>
      </w:r>
      <w:r>
        <w:fldChar w:fldCharType="separate"/>
      </w:r>
      <w:r>
        <w:t>3</w:t>
      </w:r>
      <w:r>
        <w:fldChar w:fldCharType="end"/>
      </w:r>
      <w:r>
        <w:fldChar w:fldCharType="end"/>
      </w:r>
    </w:p>
    <w:p w14:paraId="1EC3FE26">
      <w:pPr>
        <w:pStyle w:val="17"/>
        <w:tabs>
          <w:tab w:val="right" w:leader="dot" w:pos="9354"/>
          <w:tab w:val="clear" w:pos="9241"/>
        </w:tabs>
        <w:ind w:firstLine="210"/>
      </w:pPr>
      <w:r>
        <w:fldChar w:fldCharType="begin"/>
      </w:r>
      <w:r>
        <w:instrText xml:space="preserve"> HYPERLINK \l "_Toc13005" </w:instrText>
      </w:r>
      <w:r>
        <w:fldChar w:fldCharType="separate"/>
      </w:r>
      <w:r>
        <w:rPr>
          <w:rFonts w:hint="eastAsia"/>
        </w:rPr>
        <w:t>6.1.4  灌溉工程管护</w:t>
      </w:r>
      <w:r>
        <w:tab/>
      </w:r>
      <w:r>
        <w:fldChar w:fldCharType="begin"/>
      </w:r>
      <w:r>
        <w:instrText xml:space="preserve"> PAGEREF _Toc13005 \h </w:instrText>
      </w:r>
      <w:r>
        <w:fldChar w:fldCharType="separate"/>
      </w:r>
      <w:r>
        <w:t>3</w:t>
      </w:r>
      <w:r>
        <w:fldChar w:fldCharType="end"/>
      </w:r>
      <w:r>
        <w:fldChar w:fldCharType="end"/>
      </w:r>
    </w:p>
    <w:p w14:paraId="5FF9B5D8">
      <w:pPr>
        <w:pStyle w:val="17"/>
        <w:tabs>
          <w:tab w:val="right" w:leader="dot" w:pos="9354"/>
          <w:tab w:val="clear" w:pos="9241"/>
        </w:tabs>
        <w:ind w:firstLine="210"/>
      </w:pPr>
      <w:r>
        <w:fldChar w:fldCharType="begin"/>
      </w:r>
      <w:r>
        <w:instrText xml:space="preserve"> HYPERLINK \l "_Toc10868" </w:instrText>
      </w:r>
      <w:r>
        <w:fldChar w:fldCharType="separate"/>
      </w:r>
      <w:r>
        <w:rPr>
          <w:rFonts w:hint="eastAsia"/>
        </w:rPr>
        <w:t>6.1.5  水域工程设施管护</w:t>
      </w:r>
      <w:r>
        <w:tab/>
      </w:r>
      <w:r>
        <w:fldChar w:fldCharType="begin"/>
      </w:r>
      <w:r>
        <w:instrText xml:space="preserve"> PAGEREF _Toc10868 \h </w:instrText>
      </w:r>
      <w:r>
        <w:fldChar w:fldCharType="separate"/>
      </w:r>
      <w:r>
        <w:t>4</w:t>
      </w:r>
      <w:r>
        <w:fldChar w:fldCharType="end"/>
      </w:r>
      <w:r>
        <w:fldChar w:fldCharType="end"/>
      </w:r>
    </w:p>
    <w:p w14:paraId="09C20899">
      <w:pPr>
        <w:pStyle w:val="17"/>
        <w:tabs>
          <w:tab w:val="right" w:leader="dot" w:pos="9354"/>
          <w:tab w:val="clear" w:pos="9241"/>
        </w:tabs>
        <w:ind w:firstLine="210"/>
      </w:pPr>
      <w:r>
        <w:fldChar w:fldCharType="begin"/>
      </w:r>
      <w:r>
        <w:instrText xml:space="preserve"> HYPERLINK \l "_Toc7359" </w:instrText>
      </w:r>
      <w:r>
        <w:fldChar w:fldCharType="separate"/>
      </w:r>
      <w:r>
        <w:rPr>
          <w:rFonts w:hint="eastAsia"/>
        </w:rPr>
        <w:t>6.1.6  地下水修复工程管护</w:t>
      </w:r>
      <w:r>
        <w:tab/>
      </w:r>
      <w:r>
        <w:fldChar w:fldCharType="begin"/>
      </w:r>
      <w:r>
        <w:instrText xml:space="preserve"> PAGEREF _Toc7359 \h </w:instrText>
      </w:r>
      <w:r>
        <w:fldChar w:fldCharType="separate"/>
      </w:r>
      <w:r>
        <w:t>4</w:t>
      </w:r>
      <w:r>
        <w:fldChar w:fldCharType="end"/>
      </w:r>
      <w:r>
        <w:fldChar w:fldCharType="end"/>
      </w:r>
    </w:p>
    <w:p w14:paraId="73D082FC">
      <w:pPr>
        <w:pStyle w:val="17"/>
        <w:tabs>
          <w:tab w:val="right" w:leader="dot" w:pos="9354"/>
          <w:tab w:val="clear" w:pos="9241"/>
        </w:tabs>
        <w:ind w:firstLine="210"/>
      </w:pPr>
      <w:r>
        <w:fldChar w:fldCharType="begin"/>
      </w:r>
      <w:r>
        <w:instrText xml:space="preserve"> HYPERLINK \l "_Toc3529" </w:instrText>
      </w:r>
      <w:r>
        <w:fldChar w:fldCharType="separate"/>
      </w:r>
      <w:r>
        <w:rPr>
          <w:rFonts w:hint="eastAsia"/>
        </w:rPr>
        <w:t>6.1.7  道路工程管护</w:t>
      </w:r>
      <w:r>
        <w:tab/>
      </w:r>
      <w:r>
        <w:fldChar w:fldCharType="begin"/>
      </w:r>
      <w:r>
        <w:instrText xml:space="preserve"> PAGEREF _Toc3529 \h </w:instrText>
      </w:r>
      <w:r>
        <w:fldChar w:fldCharType="separate"/>
      </w:r>
      <w:r>
        <w:t>4</w:t>
      </w:r>
      <w:r>
        <w:fldChar w:fldCharType="end"/>
      </w:r>
      <w:r>
        <w:fldChar w:fldCharType="end"/>
      </w:r>
    </w:p>
    <w:p w14:paraId="213E0099">
      <w:pPr>
        <w:pStyle w:val="17"/>
        <w:tabs>
          <w:tab w:val="right" w:leader="dot" w:pos="9354"/>
          <w:tab w:val="clear" w:pos="9241"/>
        </w:tabs>
        <w:ind w:firstLine="210"/>
      </w:pPr>
      <w:r>
        <w:fldChar w:fldCharType="begin"/>
      </w:r>
      <w:r>
        <w:instrText xml:space="preserve"> HYPERLINK \l "_Toc10199" </w:instrText>
      </w:r>
      <w:r>
        <w:fldChar w:fldCharType="separate"/>
      </w:r>
      <w:r>
        <w:rPr>
          <w:rFonts w:hint="eastAsia"/>
        </w:rPr>
        <w:t>6.2  植被与土地管护</w:t>
      </w:r>
      <w:r>
        <w:tab/>
      </w:r>
      <w:r>
        <w:fldChar w:fldCharType="begin"/>
      </w:r>
      <w:r>
        <w:instrText xml:space="preserve"> PAGEREF _Toc10199 \h </w:instrText>
      </w:r>
      <w:r>
        <w:fldChar w:fldCharType="separate"/>
      </w:r>
      <w:r>
        <w:t>4</w:t>
      </w:r>
      <w:r>
        <w:fldChar w:fldCharType="end"/>
      </w:r>
      <w:r>
        <w:fldChar w:fldCharType="end"/>
      </w:r>
    </w:p>
    <w:p w14:paraId="62A9BB95">
      <w:pPr>
        <w:pStyle w:val="17"/>
        <w:tabs>
          <w:tab w:val="right" w:leader="dot" w:pos="9354"/>
          <w:tab w:val="clear" w:pos="9241"/>
        </w:tabs>
        <w:ind w:firstLine="210"/>
      </w:pPr>
      <w:r>
        <w:fldChar w:fldCharType="begin"/>
      </w:r>
      <w:r>
        <w:instrText xml:space="preserve"> HYPERLINK \l "_Toc860" </w:instrText>
      </w:r>
      <w:r>
        <w:fldChar w:fldCharType="separate"/>
      </w:r>
      <w:r>
        <w:rPr>
          <w:rFonts w:hint="eastAsia"/>
        </w:rPr>
        <w:t>6.2.1  未成林管护</w:t>
      </w:r>
      <w:r>
        <w:tab/>
      </w:r>
      <w:r>
        <w:fldChar w:fldCharType="begin"/>
      </w:r>
      <w:r>
        <w:instrText xml:space="preserve"> PAGEREF _Toc860 \h </w:instrText>
      </w:r>
      <w:r>
        <w:fldChar w:fldCharType="separate"/>
      </w:r>
      <w:r>
        <w:t>4</w:t>
      </w:r>
      <w:r>
        <w:fldChar w:fldCharType="end"/>
      </w:r>
      <w:r>
        <w:fldChar w:fldCharType="end"/>
      </w:r>
    </w:p>
    <w:p w14:paraId="248E2057">
      <w:pPr>
        <w:pStyle w:val="17"/>
        <w:tabs>
          <w:tab w:val="right" w:leader="dot" w:pos="9354"/>
          <w:tab w:val="clear" w:pos="9241"/>
        </w:tabs>
        <w:ind w:firstLine="210"/>
      </w:pPr>
      <w:r>
        <w:fldChar w:fldCharType="begin"/>
      </w:r>
      <w:r>
        <w:instrText xml:space="preserve"> HYPERLINK \l "_Toc24621" </w:instrText>
      </w:r>
      <w:r>
        <w:fldChar w:fldCharType="separate"/>
      </w:r>
      <w:r>
        <w:rPr>
          <w:rFonts w:hint="eastAsia"/>
        </w:rPr>
        <w:t>6.2.2  坡面植被管护</w:t>
      </w:r>
      <w:r>
        <w:tab/>
      </w:r>
      <w:r>
        <w:fldChar w:fldCharType="begin"/>
      </w:r>
      <w:r>
        <w:instrText xml:space="preserve"> PAGEREF _Toc24621 \h </w:instrText>
      </w:r>
      <w:r>
        <w:fldChar w:fldCharType="separate"/>
      </w:r>
      <w:r>
        <w:t>5</w:t>
      </w:r>
      <w:r>
        <w:fldChar w:fldCharType="end"/>
      </w:r>
      <w:r>
        <w:fldChar w:fldCharType="end"/>
      </w:r>
    </w:p>
    <w:p w14:paraId="7B7B81F1">
      <w:pPr>
        <w:pStyle w:val="17"/>
        <w:tabs>
          <w:tab w:val="right" w:leader="dot" w:pos="9354"/>
          <w:tab w:val="clear" w:pos="9241"/>
        </w:tabs>
        <w:ind w:firstLine="210"/>
      </w:pPr>
      <w:r>
        <w:fldChar w:fldCharType="begin"/>
      </w:r>
      <w:r>
        <w:instrText xml:space="preserve"> HYPERLINK \l "_Toc30285" </w:instrText>
      </w:r>
      <w:r>
        <w:fldChar w:fldCharType="separate"/>
      </w:r>
      <w:r>
        <w:rPr>
          <w:rFonts w:hint="eastAsia"/>
        </w:rPr>
        <w:t>6.2.3  平台植被管护</w:t>
      </w:r>
      <w:r>
        <w:tab/>
      </w:r>
      <w:r>
        <w:fldChar w:fldCharType="begin"/>
      </w:r>
      <w:r>
        <w:instrText xml:space="preserve"> PAGEREF _Toc30285 \h </w:instrText>
      </w:r>
      <w:r>
        <w:fldChar w:fldCharType="separate"/>
      </w:r>
      <w:r>
        <w:t>5</w:t>
      </w:r>
      <w:r>
        <w:fldChar w:fldCharType="end"/>
      </w:r>
      <w:r>
        <w:fldChar w:fldCharType="end"/>
      </w:r>
    </w:p>
    <w:p w14:paraId="4C3500AC">
      <w:pPr>
        <w:pStyle w:val="17"/>
        <w:tabs>
          <w:tab w:val="right" w:leader="dot" w:pos="9354"/>
          <w:tab w:val="clear" w:pos="9241"/>
        </w:tabs>
        <w:ind w:firstLine="210"/>
      </w:pPr>
      <w:r>
        <w:fldChar w:fldCharType="begin"/>
      </w:r>
      <w:r>
        <w:instrText xml:space="preserve"> HYPERLINK \l "_Toc32292" </w:instrText>
      </w:r>
      <w:r>
        <w:fldChar w:fldCharType="separate"/>
      </w:r>
      <w:r>
        <w:rPr>
          <w:rFonts w:hint="eastAsia"/>
        </w:rPr>
        <w:t>6.2.4  水生植被管护</w:t>
      </w:r>
      <w:r>
        <w:tab/>
      </w:r>
      <w:r>
        <w:fldChar w:fldCharType="begin"/>
      </w:r>
      <w:r>
        <w:instrText xml:space="preserve"> PAGEREF _Toc32292 \h </w:instrText>
      </w:r>
      <w:r>
        <w:fldChar w:fldCharType="separate"/>
      </w:r>
      <w:r>
        <w:t>5</w:t>
      </w:r>
      <w:r>
        <w:fldChar w:fldCharType="end"/>
      </w:r>
      <w:r>
        <w:fldChar w:fldCharType="end"/>
      </w:r>
    </w:p>
    <w:p w14:paraId="2867A5B8">
      <w:pPr>
        <w:pStyle w:val="17"/>
        <w:tabs>
          <w:tab w:val="right" w:leader="dot" w:pos="9354"/>
          <w:tab w:val="clear" w:pos="9241"/>
        </w:tabs>
        <w:ind w:firstLine="210"/>
      </w:pPr>
      <w:r>
        <w:fldChar w:fldCharType="begin"/>
      </w:r>
      <w:r>
        <w:instrText xml:space="preserve"> HYPERLINK \l "_Toc22571" </w:instrText>
      </w:r>
      <w:r>
        <w:fldChar w:fldCharType="separate"/>
      </w:r>
      <w:r>
        <w:rPr>
          <w:rFonts w:hint="eastAsia"/>
        </w:rPr>
        <w:t>6.2.5  草地管护</w:t>
      </w:r>
      <w:r>
        <w:tab/>
      </w:r>
      <w:r>
        <w:fldChar w:fldCharType="begin"/>
      </w:r>
      <w:r>
        <w:instrText xml:space="preserve"> PAGEREF _Toc22571 \h </w:instrText>
      </w:r>
      <w:r>
        <w:fldChar w:fldCharType="separate"/>
      </w:r>
      <w:r>
        <w:t>6</w:t>
      </w:r>
      <w:r>
        <w:fldChar w:fldCharType="end"/>
      </w:r>
      <w:r>
        <w:fldChar w:fldCharType="end"/>
      </w:r>
    </w:p>
    <w:p w14:paraId="2B4D5884">
      <w:pPr>
        <w:pStyle w:val="17"/>
        <w:tabs>
          <w:tab w:val="right" w:leader="dot" w:pos="9354"/>
          <w:tab w:val="clear" w:pos="9241"/>
        </w:tabs>
        <w:ind w:firstLine="210"/>
      </w:pPr>
      <w:r>
        <w:fldChar w:fldCharType="begin"/>
      </w:r>
      <w:r>
        <w:instrText xml:space="preserve"> HYPERLINK \l "_Toc17631" </w:instrText>
      </w:r>
      <w:r>
        <w:fldChar w:fldCharType="separate"/>
      </w:r>
      <w:r>
        <w:rPr>
          <w:rFonts w:hint="eastAsia"/>
        </w:rPr>
        <w:t>6.2.6  土地质量管护</w:t>
      </w:r>
      <w:r>
        <w:tab/>
      </w:r>
      <w:r>
        <w:fldChar w:fldCharType="begin"/>
      </w:r>
      <w:r>
        <w:instrText xml:space="preserve"> PAGEREF _Toc17631 \h </w:instrText>
      </w:r>
      <w:r>
        <w:fldChar w:fldCharType="separate"/>
      </w:r>
      <w:r>
        <w:t>6</w:t>
      </w:r>
      <w:r>
        <w:fldChar w:fldCharType="end"/>
      </w:r>
      <w:r>
        <w:fldChar w:fldCharType="end"/>
      </w:r>
    </w:p>
    <w:p w14:paraId="51497D2B">
      <w:pPr>
        <w:pStyle w:val="17"/>
        <w:tabs>
          <w:tab w:val="right" w:leader="dot" w:pos="9354"/>
          <w:tab w:val="clear" w:pos="9241"/>
        </w:tabs>
        <w:ind w:firstLine="210"/>
      </w:pPr>
      <w:r>
        <w:fldChar w:fldCharType="begin"/>
      </w:r>
      <w:r>
        <w:instrText xml:space="preserve"> HYPERLINK \l "_Toc24601" </w:instrText>
      </w:r>
      <w:r>
        <w:fldChar w:fldCharType="separate"/>
      </w:r>
      <w:r>
        <w:rPr>
          <w:rFonts w:hint="eastAsia"/>
        </w:rPr>
        <w:t>6.3  生态系统功能维护</w:t>
      </w:r>
      <w:r>
        <w:tab/>
      </w:r>
      <w:r>
        <w:fldChar w:fldCharType="begin"/>
      </w:r>
      <w:r>
        <w:instrText xml:space="preserve"> PAGEREF _Toc24601 \h </w:instrText>
      </w:r>
      <w:r>
        <w:fldChar w:fldCharType="separate"/>
      </w:r>
      <w:r>
        <w:t>6</w:t>
      </w:r>
      <w:r>
        <w:fldChar w:fldCharType="end"/>
      </w:r>
      <w:r>
        <w:fldChar w:fldCharType="end"/>
      </w:r>
    </w:p>
    <w:p w14:paraId="0B53C3D3">
      <w:pPr>
        <w:pStyle w:val="33"/>
        <w:tabs>
          <w:tab w:val="right" w:leader="dot" w:pos="9354"/>
          <w:tab w:val="clear" w:pos="9242"/>
        </w:tabs>
        <w:ind w:left="210"/>
      </w:pPr>
      <w:r>
        <w:fldChar w:fldCharType="begin"/>
      </w:r>
      <w:r>
        <w:instrText xml:space="preserve"> HYPERLINK \l "_Toc13657" </w:instrText>
      </w:r>
      <w:r>
        <w:fldChar w:fldCharType="separate"/>
      </w:r>
      <w:r>
        <w:rPr>
          <w:rFonts w:eastAsia="黑体"/>
          <w:szCs w:val="24"/>
        </w:rPr>
        <w:t xml:space="preserve">7 </w:t>
      </w:r>
      <w:r>
        <w:rPr>
          <w:rFonts w:hint="eastAsia"/>
        </w:rPr>
        <w:t>后期管护成效监测与评估</w:t>
      </w:r>
      <w:r>
        <w:tab/>
      </w:r>
      <w:r>
        <w:fldChar w:fldCharType="begin"/>
      </w:r>
      <w:r>
        <w:instrText xml:space="preserve"> PAGEREF _Toc13657 \h </w:instrText>
      </w:r>
      <w:r>
        <w:fldChar w:fldCharType="separate"/>
      </w:r>
      <w:r>
        <w:t>6</w:t>
      </w:r>
      <w:r>
        <w:fldChar w:fldCharType="end"/>
      </w:r>
      <w:r>
        <w:fldChar w:fldCharType="end"/>
      </w:r>
    </w:p>
    <w:p w14:paraId="278C2A07">
      <w:pPr>
        <w:pStyle w:val="33"/>
        <w:tabs>
          <w:tab w:val="right" w:leader="dot" w:pos="9354"/>
          <w:tab w:val="clear" w:pos="9242"/>
        </w:tabs>
        <w:ind w:left="210"/>
      </w:pPr>
      <w:r>
        <w:fldChar w:fldCharType="begin"/>
      </w:r>
      <w:r>
        <w:instrText xml:space="preserve"> HYPERLINK \l "_Toc8190" </w:instrText>
      </w:r>
      <w:r>
        <w:fldChar w:fldCharType="separate"/>
      </w:r>
      <w:r>
        <w:rPr>
          <w:rFonts w:hint="eastAsia"/>
        </w:rPr>
        <w:t>8  管护资料管理</w:t>
      </w:r>
      <w:r>
        <w:tab/>
      </w:r>
      <w:r>
        <w:fldChar w:fldCharType="begin"/>
      </w:r>
      <w:r>
        <w:instrText xml:space="preserve"> PAGEREF _Toc8190 \h </w:instrText>
      </w:r>
      <w:r>
        <w:fldChar w:fldCharType="separate"/>
      </w:r>
      <w:r>
        <w:t>7</w:t>
      </w:r>
      <w:r>
        <w:fldChar w:fldCharType="end"/>
      </w:r>
      <w:r>
        <w:fldChar w:fldCharType="end"/>
      </w:r>
    </w:p>
    <w:p w14:paraId="4735271C">
      <w:pPr>
        <w:pStyle w:val="24"/>
        <w:tabs>
          <w:tab w:val="right" w:leader="dot" w:pos="9354"/>
          <w:tab w:val="clear" w:pos="9242"/>
        </w:tabs>
        <w:spacing w:before="78" w:after="78"/>
      </w:pPr>
      <w:r>
        <w:fldChar w:fldCharType="begin"/>
      </w:r>
      <w:r>
        <w:instrText xml:space="preserve"> HYPERLINK \l "_Toc17230" </w:instrText>
      </w:r>
      <w:r>
        <w:fldChar w:fldCharType="separate"/>
      </w:r>
      <w:r>
        <w:t>附 录 A</w:t>
      </w:r>
      <w:r>
        <w:tab/>
      </w:r>
      <w:r>
        <w:rPr>
          <w:rFonts w:hint="eastAsia"/>
        </w:rPr>
        <w:t>8</w:t>
      </w:r>
      <w:r>
        <w:rPr>
          <w:rFonts w:hint="eastAsia"/>
        </w:rPr>
        <w:fldChar w:fldCharType="end"/>
      </w:r>
    </w:p>
    <w:p w14:paraId="5D2A2B78">
      <w:pPr>
        <w:pStyle w:val="24"/>
        <w:tabs>
          <w:tab w:val="right" w:leader="dot" w:pos="9354"/>
          <w:tab w:val="clear" w:pos="9242"/>
        </w:tabs>
        <w:spacing w:before="78" w:after="78"/>
      </w:pPr>
      <w:r>
        <w:fldChar w:fldCharType="begin"/>
      </w:r>
      <w:r>
        <w:instrText xml:space="preserve"> HYPERLINK \l "_Toc30547" </w:instrText>
      </w:r>
      <w:r>
        <w:fldChar w:fldCharType="separate"/>
      </w:r>
      <w:r>
        <w:rPr>
          <w:rFonts w:hint="eastAsia"/>
        </w:rPr>
        <w:t>附 录 B</w:t>
      </w:r>
      <w:r>
        <w:tab/>
      </w:r>
      <w:r>
        <w:rPr>
          <w:rFonts w:hint="eastAsia"/>
        </w:rPr>
        <w:t>9</w:t>
      </w:r>
      <w:r>
        <w:rPr>
          <w:rFonts w:hint="eastAsia"/>
        </w:rPr>
        <w:fldChar w:fldCharType="end"/>
      </w:r>
    </w:p>
    <w:p w14:paraId="35D293AE">
      <w:pPr>
        <w:pStyle w:val="24"/>
        <w:tabs>
          <w:tab w:val="right" w:leader="dot" w:pos="9354"/>
          <w:tab w:val="clear" w:pos="9242"/>
        </w:tabs>
        <w:spacing w:before="78" w:after="78"/>
      </w:pPr>
      <w:r>
        <w:fldChar w:fldCharType="begin"/>
      </w:r>
      <w:r>
        <w:instrText xml:space="preserve"> HYPERLINK \l "_Toc5768" </w:instrText>
      </w:r>
      <w:r>
        <w:fldChar w:fldCharType="separate"/>
      </w:r>
      <w:r>
        <w:rPr>
          <w:rFonts w:hint="eastAsia"/>
        </w:rPr>
        <w:t>附 录 C</w:t>
      </w:r>
      <w:r>
        <w:t xml:space="preserve"> </w:t>
      </w:r>
      <w:r>
        <w:tab/>
      </w:r>
      <w:r>
        <w:rPr>
          <w:rFonts w:hint="eastAsia"/>
        </w:rPr>
        <w:t>1</w:t>
      </w:r>
      <w:r>
        <w:rPr>
          <w:rFonts w:hint="eastAsia"/>
        </w:rPr>
        <w:fldChar w:fldCharType="end"/>
      </w:r>
      <w:r>
        <w:rPr>
          <w:rFonts w:hint="eastAsia" w:hAnsi="宋体"/>
          <w:color w:val="000000" w:themeColor="text1"/>
          <w:kern w:val="0"/>
          <w14:textFill>
            <w14:solidFill>
              <w14:schemeClr w14:val="tx1"/>
            </w14:solidFill>
          </w14:textFill>
        </w:rPr>
        <w:t>0</w:t>
      </w:r>
    </w:p>
    <w:p w14:paraId="6A784211">
      <w:pPr>
        <w:tabs>
          <w:tab w:val="left" w:pos="8647"/>
        </w:tabs>
        <w:jc w:val="center"/>
        <w:rPr>
          <w:rFonts w:hint="eastAsia" w:ascii="宋体" w:hAns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fldChar w:fldCharType="end"/>
      </w:r>
      <w:bookmarkStart w:id="5" w:name="_Toc475694823"/>
      <w:bookmarkStart w:id="6" w:name="_Toc15375"/>
    </w:p>
    <w:p w14:paraId="228B676F">
      <w:pPr>
        <w:tabs>
          <w:tab w:val="left" w:pos="8647"/>
        </w:tabs>
        <w:jc w:val="center"/>
        <w:rPr>
          <w:rFonts w:hint="eastAsia" w:ascii="宋体" w:hAnsi="宋体"/>
          <w:color w:val="000000" w:themeColor="text1"/>
          <w:kern w:val="0"/>
          <w:szCs w:val="21"/>
          <w14:textFill>
            <w14:solidFill>
              <w14:schemeClr w14:val="tx1"/>
            </w14:solidFill>
          </w14:textFill>
        </w:rPr>
      </w:pPr>
    </w:p>
    <w:p w14:paraId="590BDE52">
      <w:pPr>
        <w:tabs>
          <w:tab w:val="left" w:pos="8647"/>
        </w:tabs>
        <w:jc w:val="center"/>
        <w:rPr>
          <w:rFonts w:hint="eastAsia" w:ascii="宋体" w:hAnsi="宋体"/>
          <w:color w:val="000000" w:themeColor="text1"/>
          <w:kern w:val="0"/>
          <w:szCs w:val="21"/>
          <w14:textFill>
            <w14:solidFill>
              <w14:schemeClr w14:val="tx1"/>
            </w14:solidFill>
          </w14:textFill>
        </w:rPr>
      </w:pPr>
    </w:p>
    <w:p w14:paraId="375CD731">
      <w:pPr>
        <w:tabs>
          <w:tab w:val="left" w:pos="8647"/>
        </w:tabs>
        <w:jc w:val="center"/>
        <w:rPr>
          <w:rFonts w:hint="eastAsia" w:ascii="宋体" w:hAnsi="宋体"/>
          <w:color w:val="000000" w:themeColor="text1"/>
          <w:kern w:val="0"/>
          <w:szCs w:val="21"/>
          <w14:textFill>
            <w14:solidFill>
              <w14:schemeClr w14:val="tx1"/>
            </w14:solidFill>
          </w14:textFill>
        </w:rPr>
      </w:pPr>
    </w:p>
    <w:p w14:paraId="7FB83FC0">
      <w:pPr>
        <w:tabs>
          <w:tab w:val="left" w:pos="8647"/>
        </w:tabs>
        <w:jc w:val="center"/>
        <w:rPr>
          <w:rFonts w:hint="eastAsia" w:ascii="宋体" w:hAnsi="宋体"/>
          <w:color w:val="000000" w:themeColor="text1"/>
          <w:kern w:val="0"/>
          <w:szCs w:val="21"/>
          <w14:textFill>
            <w14:solidFill>
              <w14:schemeClr w14:val="tx1"/>
            </w14:solidFill>
          </w14:textFill>
        </w:rPr>
      </w:pPr>
    </w:p>
    <w:p w14:paraId="5A72977E">
      <w:pPr>
        <w:tabs>
          <w:tab w:val="left" w:pos="8647"/>
        </w:tabs>
        <w:jc w:val="center"/>
        <w:rPr>
          <w:rFonts w:hint="eastAsia" w:ascii="宋体" w:hAnsi="宋体"/>
          <w:color w:val="000000" w:themeColor="text1"/>
          <w:kern w:val="0"/>
          <w:szCs w:val="21"/>
          <w14:textFill>
            <w14:solidFill>
              <w14:schemeClr w14:val="tx1"/>
            </w14:solidFill>
          </w14:textFill>
        </w:rPr>
      </w:pPr>
    </w:p>
    <w:p w14:paraId="792AA898">
      <w:pPr>
        <w:tabs>
          <w:tab w:val="left" w:pos="8647"/>
        </w:tabs>
        <w:jc w:val="center"/>
        <w:rPr>
          <w:rFonts w:hint="eastAsia" w:ascii="宋体" w:hAnsi="宋体"/>
          <w:color w:val="000000" w:themeColor="text1"/>
          <w:kern w:val="0"/>
          <w:szCs w:val="21"/>
          <w14:textFill>
            <w14:solidFill>
              <w14:schemeClr w14:val="tx1"/>
            </w14:solidFill>
          </w14:textFill>
        </w:rPr>
      </w:pPr>
    </w:p>
    <w:p w14:paraId="7492B7AA">
      <w:pPr>
        <w:tabs>
          <w:tab w:val="left" w:pos="8647"/>
        </w:tabs>
        <w:jc w:val="center"/>
        <w:rPr>
          <w:rFonts w:hint="eastAsia" w:ascii="宋体" w:hAnsi="宋体"/>
          <w:color w:val="000000" w:themeColor="text1"/>
          <w:kern w:val="0"/>
          <w:szCs w:val="21"/>
          <w14:textFill>
            <w14:solidFill>
              <w14:schemeClr w14:val="tx1"/>
            </w14:solidFill>
          </w14:textFill>
        </w:rPr>
      </w:pPr>
    </w:p>
    <w:p w14:paraId="3B9CFD0E">
      <w:pPr>
        <w:tabs>
          <w:tab w:val="left" w:pos="8647"/>
        </w:tabs>
        <w:jc w:val="center"/>
        <w:rPr>
          <w:rFonts w:hint="eastAsia" w:ascii="宋体" w:hAnsi="宋体"/>
          <w:color w:val="000000" w:themeColor="text1"/>
          <w:kern w:val="0"/>
          <w:szCs w:val="21"/>
          <w14:textFill>
            <w14:solidFill>
              <w14:schemeClr w14:val="tx1"/>
            </w14:solidFill>
          </w14:textFill>
        </w:rPr>
      </w:pPr>
    </w:p>
    <w:p w14:paraId="10A4C526">
      <w:pPr>
        <w:tabs>
          <w:tab w:val="left" w:pos="8647"/>
        </w:tabs>
        <w:jc w:val="center"/>
        <w:rPr>
          <w:rFonts w:hint="eastAsia" w:ascii="宋体" w:hAnsi="宋体"/>
          <w:color w:val="000000" w:themeColor="text1"/>
          <w:kern w:val="0"/>
          <w:szCs w:val="21"/>
          <w14:textFill>
            <w14:solidFill>
              <w14:schemeClr w14:val="tx1"/>
            </w14:solidFill>
          </w14:textFill>
        </w:rPr>
      </w:pPr>
    </w:p>
    <w:p w14:paraId="1C2C0C16">
      <w:pPr>
        <w:tabs>
          <w:tab w:val="left" w:pos="8647"/>
        </w:tabs>
        <w:jc w:val="center"/>
        <w:rPr>
          <w:rFonts w:hint="eastAsia" w:ascii="宋体" w:hAnsi="宋体"/>
          <w:color w:val="000000" w:themeColor="text1"/>
          <w:kern w:val="0"/>
          <w:szCs w:val="21"/>
          <w14:textFill>
            <w14:solidFill>
              <w14:schemeClr w14:val="tx1"/>
            </w14:solidFill>
          </w14:textFill>
        </w:rPr>
      </w:pPr>
    </w:p>
    <w:p w14:paraId="60D87431">
      <w:pPr>
        <w:tabs>
          <w:tab w:val="left" w:pos="8647"/>
        </w:tabs>
        <w:jc w:val="center"/>
        <w:rPr>
          <w:rFonts w:hint="eastAsia" w:ascii="宋体" w:hAnsi="宋体"/>
          <w:color w:val="000000" w:themeColor="text1"/>
          <w:kern w:val="0"/>
          <w:szCs w:val="21"/>
          <w14:textFill>
            <w14:solidFill>
              <w14:schemeClr w14:val="tx1"/>
            </w14:solidFill>
          </w14:textFill>
        </w:rPr>
      </w:pPr>
    </w:p>
    <w:p w14:paraId="6AEE7196">
      <w:pPr>
        <w:tabs>
          <w:tab w:val="left" w:pos="8647"/>
        </w:tabs>
        <w:jc w:val="center"/>
        <w:rPr>
          <w:rFonts w:hint="eastAsia" w:ascii="宋体" w:hAnsi="宋体"/>
          <w:color w:val="000000" w:themeColor="text1"/>
          <w:kern w:val="0"/>
          <w:szCs w:val="21"/>
          <w14:textFill>
            <w14:solidFill>
              <w14:schemeClr w14:val="tx1"/>
            </w14:solidFill>
          </w14:textFill>
        </w:rPr>
      </w:pPr>
    </w:p>
    <w:p w14:paraId="58887603">
      <w:pPr>
        <w:tabs>
          <w:tab w:val="left" w:pos="8647"/>
        </w:tabs>
        <w:jc w:val="center"/>
        <w:rPr>
          <w:rFonts w:hint="eastAsia" w:ascii="宋体" w:hAnsi="宋体"/>
          <w:color w:val="000000" w:themeColor="text1"/>
          <w:kern w:val="0"/>
          <w:szCs w:val="21"/>
          <w14:textFill>
            <w14:solidFill>
              <w14:schemeClr w14:val="tx1"/>
            </w14:solidFill>
          </w14:textFill>
        </w:rPr>
      </w:pPr>
    </w:p>
    <w:p w14:paraId="062427F0">
      <w:pPr>
        <w:tabs>
          <w:tab w:val="left" w:pos="8647"/>
        </w:tabs>
        <w:jc w:val="center"/>
        <w:rPr>
          <w:rFonts w:hint="eastAsia" w:ascii="宋体" w:hAnsi="宋体"/>
          <w:color w:val="000000" w:themeColor="text1"/>
          <w:kern w:val="0"/>
          <w:szCs w:val="21"/>
          <w14:textFill>
            <w14:solidFill>
              <w14:schemeClr w14:val="tx1"/>
            </w14:solidFill>
          </w14:textFill>
        </w:rPr>
      </w:pPr>
    </w:p>
    <w:p w14:paraId="341CC34F">
      <w:pPr>
        <w:tabs>
          <w:tab w:val="left" w:pos="8647"/>
        </w:tabs>
        <w:jc w:val="center"/>
        <w:rPr>
          <w:b/>
          <w:bCs/>
          <w:color w:val="000000" w:themeColor="text1"/>
          <w:szCs w:val="21"/>
          <w14:textFill>
            <w14:solidFill>
              <w14:schemeClr w14:val="tx1"/>
            </w14:solidFill>
          </w14:textFill>
        </w:rPr>
      </w:pPr>
      <w:r>
        <w:rPr>
          <w:rFonts w:hint="eastAsia" w:hAnsi="黑体"/>
          <w:b/>
          <w:bCs/>
        </w:rPr>
        <w:t>前</w:t>
      </w:r>
      <w:bookmarkStart w:id="7" w:name="BKQY"/>
      <w:r>
        <w:rPr>
          <w:rFonts w:hAnsi="黑体"/>
          <w:b/>
          <w:bCs/>
        </w:rPr>
        <w:t>  </w:t>
      </w:r>
      <w:r>
        <w:rPr>
          <w:rFonts w:hint="eastAsia" w:hAnsi="黑体"/>
          <w:b/>
          <w:bCs/>
        </w:rPr>
        <w:t>言</w:t>
      </w:r>
      <w:bookmarkEnd w:id="5"/>
      <w:bookmarkEnd w:id="6"/>
      <w:bookmarkEnd w:id="7"/>
    </w:p>
    <w:p w14:paraId="4E7D6C1D">
      <w:pPr>
        <w:pStyle w:val="28"/>
      </w:pPr>
      <w:r>
        <w:rPr>
          <w:rFonts w:hint="eastAsia"/>
        </w:rPr>
        <w:t>本文件按照GB/T 1.1-2020《标准化工作导则 第1部分：标准化文件的结构和起草规则》的规定起草。</w:t>
      </w:r>
    </w:p>
    <w:p w14:paraId="3CA97A23">
      <w:pPr>
        <w:pStyle w:val="28"/>
      </w:pPr>
      <w:r>
        <w:rPr>
          <w:rFonts w:hint="eastAsia"/>
        </w:rPr>
        <w:t>本文件的某些内容可能涉及专利，本标准的发布机构不承担识别专利的法律责任。</w:t>
      </w:r>
    </w:p>
    <w:p w14:paraId="4CBF763E">
      <w:pPr>
        <w:pStyle w:val="28"/>
      </w:pPr>
      <w:r>
        <w:rPr>
          <w:rFonts w:hint="eastAsia"/>
        </w:rPr>
        <w:t>本文件由中国地质灾害防治与生态修复协会提出并归口。</w:t>
      </w:r>
    </w:p>
    <w:p w14:paraId="68280715">
      <w:pPr>
        <w:pStyle w:val="28"/>
      </w:pPr>
      <w:r>
        <w:rPr>
          <w:rFonts w:hint="eastAsia"/>
        </w:rPr>
        <w:t>本文件起草单位：河北省地质矿产勘查开发局第三地质大队、河北省地质矿产勘查开发局国土资源勘查中心、中国地质矿业有限公司、天津华北地质勘查总院、河北冀东建设工程有限公司、湖南省生态地质调查监测所、甘肃省地质矿产勘查开发局第四地质矿产勘查院、张家口地矿建设有限责任公司。</w:t>
      </w:r>
    </w:p>
    <w:p w14:paraId="62A4934F">
      <w:pPr>
        <w:pStyle w:val="28"/>
      </w:pPr>
      <w:r>
        <w:rPr>
          <w:rFonts w:hint="eastAsia"/>
        </w:rPr>
        <w:t>本文件主要起草人：南贵军 马大威 赵洪 李鹏 方新畲 张博 钱敏娟 魏威 王孝勇 张元东 曲为贵 王铎道 赵鹏 于建华 郝广州 代浩 石小波 王艳平 刘斌 郑亮英</w:t>
      </w:r>
    </w:p>
    <w:p w14:paraId="5EB42001">
      <w:pPr>
        <w:pStyle w:val="28"/>
      </w:pPr>
      <w:r>
        <w:rPr>
          <w:rFonts w:hint="eastAsia"/>
        </w:rPr>
        <w:t>本文件由中国地质灾害防治与生态修复协会负责解释。</w:t>
      </w:r>
    </w:p>
    <w:p w14:paraId="3F3CAC31">
      <w:pPr>
        <w:widowControl/>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14:paraId="15A6A7E0">
      <w:pPr>
        <w:pStyle w:val="28"/>
        <w:rPr>
          <w:color w:val="000000" w:themeColor="text1"/>
          <w:szCs w:val="21"/>
          <w14:textFill>
            <w14:solidFill>
              <w14:schemeClr w14:val="tx1"/>
            </w14:solidFill>
          </w14:textFill>
        </w:rPr>
        <w:sectPr>
          <w:headerReference r:id="rId3" w:type="default"/>
          <w:footerReference r:id="rId4" w:type="default"/>
          <w:pgSz w:w="11906" w:h="16838"/>
          <w:pgMar w:top="567" w:right="1134" w:bottom="1134" w:left="1418" w:header="1418" w:footer="1134" w:gutter="0"/>
          <w:pgNumType w:fmt="upperRoman" w:start="1"/>
          <w:cols w:space="425" w:num="1"/>
          <w:formProt w:val="0"/>
          <w:titlePg/>
          <w:docGrid w:type="lines" w:linePitch="312" w:charSpace="0"/>
        </w:sectPr>
      </w:pPr>
    </w:p>
    <w:p w14:paraId="3582E836">
      <w:pPr>
        <w:pStyle w:val="56"/>
      </w:pPr>
      <w:bookmarkStart w:id="8" w:name="_Toc20057"/>
      <w:bookmarkStart w:id="9" w:name="_Toc195800499"/>
      <w:bookmarkStart w:id="10" w:name="_Toc1024"/>
      <w:bookmarkStart w:id="11" w:name="_Toc11308"/>
      <w:r>
        <w:rPr>
          <w:rFonts w:hint="eastAsia"/>
        </w:rPr>
        <w:t>废弃矿山生态修复工程后期管护规范</w:t>
      </w:r>
      <w:bookmarkEnd w:id="8"/>
      <w:bookmarkEnd w:id="9"/>
      <w:bookmarkEnd w:id="10"/>
      <w:bookmarkEnd w:id="11"/>
    </w:p>
    <w:p w14:paraId="7A131D0E">
      <w:pPr>
        <w:pStyle w:val="51"/>
        <w:spacing w:before="312" w:after="312"/>
      </w:pPr>
      <w:bookmarkStart w:id="12" w:name="_Toc475694825"/>
      <w:bookmarkStart w:id="13" w:name="_Toc10333"/>
      <w:r>
        <w:rPr>
          <w:rFonts w:hint="eastAsia"/>
        </w:rPr>
        <w:t>范围</w:t>
      </w:r>
      <w:bookmarkEnd w:id="12"/>
      <w:bookmarkEnd w:id="13"/>
    </w:p>
    <w:p w14:paraId="4A4EA031">
      <w:pPr>
        <w:pStyle w:val="28"/>
        <w:tabs>
          <w:tab w:val="clear" w:pos="4201"/>
          <w:tab w:val="clear" w:pos="9298"/>
        </w:tabs>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本文件规定了废弃矿山生态修复工程后期管护的总体要求、管护方案编制、后期管护内容与要求、成效监测与评估、管护终止条件、管护资料管理等内容。</w:t>
      </w:r>
    </w:p>
    <w:p w14:paraId="45644640">
      <w:pPr>
        <w:pStyle w:val="28"/>
        <w:tabs>
          <w:tab w:val="clear" w:pos="4201"/>
          <w:tab w:val="clear" w:pos="9298"/>
        </w:tabs>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本文件适用于废弃矿山生态修复工程后期管护工作，生产矿山及其他矿山生态修复工程后期管护可参照执行。</w:t>
      </w:r>
    </w:p>
    <w:p w14:paraId="32E7E5E9">
      <w:pPr>
        <w:pStyle w:val="51"/>
        <w:spacing w:before="312" w:after="312"/>
        <w:rPr>
          <w:color w:val="000000" w:themeColor="text1"/>
          <w:szCs w:val="21"/>
          <w14:textFill>
            <w14:solidFill>
              <w14:schemeClr w14:val="tx1"/>
            </w14:solidFill>
          </w14:textFill>
        </w:rPr>
      </w:pPr>
      <w:bookmarkStart w:id="14" w:name="_Toc8808"/>
      <w:bookmarkStart w:id="15" w:name="_Toc475694826"/>
      <w:r>
        <w:rPr>
          <w:rFonts w:hint="eastAsia"/>
          <w:color w:val="000000" w:themeColor="text1"/>
          <w:szCs w:val="21"/>
          <w14:textFill>
            <w14:solidFill>
              <w14:schemeClr w14:val="tx1"/>
            </w14:solidFill>
          </w14:textFill>
        </w:rPr>
        <w:t>规范性引用文件</w:t>
      </w:r>
      <w:bookmarkEnd w:id="14"/>
      <w:bookmarkEnd w:id="15"/>
    </w:p>
    <w:p w14:paraId="056BDB43">
      <w:pPr>
        <w:pStyle w:val="28"/>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下列文件中的内容通过文中的规范性引用而构成本文件必不可少的条款。其中，标注日期的引用文件，仅该日期对应的版本适用于本文件；不注日期的引用文件，其最新版本（包括所有的修改版）适用于本文件。</w:t>
      </w:r>
    </w:p>
    <w:p w14:paraId="15C754FC">
      <w:pPr>
        <w:pStyle w:val="28"/>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GB/T 15776      </w:t>
      </w:r>
      <w:r>
        <w:rPr>
          <w:color w:val="000000" w:themeColor="text1"/>
          <w:szCs w:val="21"/>
          <w14:textFill>
            <w14:solidFill>
              <w14:schemeClr w14:val="tx1"/>
            </w14:solidFill>
          </w14:textFill>
        </w:rPr>
        <w:t>造林技术规程</w:t>
      </w:r>
    </w:p>
    <w:p w14:paraId="1B141181">
      <w:pPr>
        <w:pStyle w:val="28"/>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GB/T 15783      主要造林树种林地化学除草技术规程</w:t>
      </w:r>
    </w:p>
    <w:p w14:paraId="6BF0400D">
      <w:pPr>
        <w:pStyle w:val="28"/>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GB/T 16453.4    </w:t>
      </w:r>
      <w:r>
        <w:rPr>
          <w:color w:val="000000" w:themeColor="text1"/>
          <w:szCs w:val="21"/>
          <w14:textFill>
            <w14:solidFill>
              <w14:schemeClr w14:val="tx1"/>
            </w14:solidFill>
          </w14:textFill>
        </w:rPr>
        <w:t>水土保持综合治理技术规范小型蓄排引水工程</w:t>
      </w:r>
    </w:p>
    <w:p w14:paraId="7AD629C8">
      <w:pPr>
        <w:pStyle w:val="28"/>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GB/T 43935      矿山土地复垦与生态修复监测评价技术规范</w:t>
      </w:r>
    </w:p>
    <w:p w14:paraId="050DCFA0">
      <w:pPr>
        <w:pStyle w:val="28"/>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GB/T 50485      微灌工程技术标准</w:t>
      </w:r>
    </w:p>
    <w:p w14:paraId="7DE2EB3D">
      <w:pPr>
        <w:pStyle w:val="28"/>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GB 3838-2002    地表水环境质量标准</w:t>
      </w:r>
    </w:p>
    <w:p w14:paraId="05677342">
      <w:pPr>
        <w:pStyle w:val="28"/>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DT/T 1070.1     矿山生态修复技术规范 第1部分：通则</w:t>
      </w:r>
    </w:p>
    <w:p w14:paraId="6CBD5442">
      <w:pPr>
        <w:pStyle w:val="28"/>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TD/T 1036-2013  土地复垦质量控制标准</w:t>
      </w:r>
    </w:p>
    <w:p w14:paraId="36566B67">
      <w:pPr>
        <w:pStyle w:val="28"/>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SL 236          喷灌与微灌工程技术管理规程</w:t>
      </w:r>
    </w:p>
    <w:p w14:paraId="2C6318F9">
      <w:pPr>
        <w:pStyle w:val="51"/>
        <w:spacing w:before="312" w:after="312"/>
        <w:rPr>
          <w:color w:val="000000" w:themeColor="text1"/>
          <w:szCs w:val="21"/>
          <w14:textFill>
            <w14:solidFill>
              <w14:schemeClr w14:val="tx1"/>
            </w14:solidFill>
          </w14:textFill>
        </w:rPr>
      </w:pPr>
      <w:bookmarkStart w:id="16" w:name="_Toc475694827"/>
      <w:bookmarkStart w:id="17" w:name="_Toc17110"/>
      <w:r>
        <w:rPr>
          <w:rFonts w:hint="eastAsia"/>
          <w:color w:val="000000" w:themeColor="text1"/>
          <w:szCs w:val="21"/>
          <w14:textFill>
            <w14:solidFill>
              <w14:schemeClr w14:val="tx1"/>
            </w14:solidFill>
          </w14:textFill>
        </w:rPr>
        <w:t>术语和定义</w:t>
      </w:r>
      <w:bookmarkEnd w:id="16"/>
      <w:bookmarkEnd w:id="17"/>
    </w:p>
    <w:p w14:paraId="70C1D807">
      <w:pPr>
        <w:pStyle w:val="28"/>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下列术语和定义适用于本文件。</w:t>
      </w:r>
    </w:p>
    <w:p w14:paraId="578980FF">
      <w:bookmarkStart w:id="18" w:name="_Toc195800503"/>
      <w:bookmarkEnd w:id="18"/>
      <w:bookmarkStart w:id="19" w:name="_Toc195799666"/>
      <w:bookmarkEnd w:id="19"/>
      <w:r>
        <w:rPr>
          <w:rFonts w:hint="eastAsia"/>
        </w:rPr>
        <w:t>3.1</w:t>
      </w:r>
    </w:p>
    <w:p w14:paraId="5126AB99">
      <w:pPr>
        <w:ind w:firstLine="422" w:firstLineChars="200"/>
        <w:rPr>
          <w:b/>
          <w:bCs/>
        </w:rPr>
      </w:pPr>
      <w:r>
        <w:rPr>
          <w:rFonts w:hint="eastAsia"/>
          <w:b/>
          <w:bCs/>
        </w:rPr>
        <w:t>矿山地质环境  Mine Geological Environment Abandoned expressions</w:t>
      </w:r>
    </w:p>
    <w:p w14:paraId="5391FB2D">
      <w:pPr>
        <w:ind w:firstLine="420" w:firstLineChars="200"/>
      </w:pPr>
      <w:r>
        <w:rPr>
          <w:rFonts w:hint="eastAsia"/>
          <w:color w:val="000000" w:themeColor="text1"/>
          <w:szCs w:val="21"/>
          <w14:textFill>
            <w14:solidFill>
              <w14:schemeClr w14:val="tx1"/>
            </w14:solidFill>
          </w14:textFill>
        </w:rPr>
        <w:t>采矿活动所影响到的岩石圈、水圈、生物圈相互作用的客观地质体。</w:t>
      </w:r>
    </w:p>
    <w:p w14:paraId="225DCB16">
      <w:bookmarkStart w:id="20" w:name="_Toc195800504"/>
      <w:bookmarkEnd w:id="20"/>
      <w:bookmarkStart w:id="21" w:name="_Toc195799667"/>
      <w:bookmarkEnd w:id="21"/>
      <w:r>
        <w:rPr>
          <w:rFonts w:hint="eastAsia"/>
        </w:rPr>
        <w:t>3.2</w:t>
      </w:r>
    </w:p>
    <w:p w14:paraId="0344C763">
      <w:pPr>
        <w:ind w:firstLine="422" w:firstLineChars="200"/>
        <w:rPr>
          <w:b/>
          <w:bCs/>
        </w:rPr>
      </w:pPr>
      <w:r>
        <w:rPr>
          <w:rFonts w:hint="eastAsia"/>
          <w:b/>
          <w:bCs/>
        </w:rPr>
        <w:t>废弃矿山生态修复  Ecological Restoration of Abandoned Mines</w:t>
      </w:r>
    </w:p>
    <w:p w14:paraId="00A1E3E1">
      <w:pPr>
        <w:pStyle w:val="28"/>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指依靠自然力量或通过人工措施干预，对因矿产资源开采活动造成的地质安全隐患、土地损毁和植被破坏等废弃矿山生态问题进行修复，使矿山地质环境达到稳定、损毁土地得到复垦利用、生态系统功能得到恢复和改善。</w:t>
      </w:r>
    </w:p>
    <w:p w14:paraId="5DAFEA15">
      <w:bookmarkStart w:id="22" w:name="_Toc195800505"/>
      <w:bookmarkEnd w:id="22"/>
      <w:bookmarkStart w:id="23" w:name="_Toc195799668"/>
      <w:bookmarkEnd w:id="23"/>
      <w:r>
        <w:rPr>
          <w:rFonts w:hint="eastAsia"/>
        </w:rPr>
        <w:t>3.3</w:t>
      </w:r>
    </w:p>
    <w:p w14:paraId="40B41312">
      <w:pPr>
        <w:ind w:firstLine="422" w:firstLineChars="200"/>
        <w:rPr>
          <w:b/>
          <w:bCs/>
        </w:rPr>
      </w:pPr>
      <w:r>
        <w:rPr>
          <w:rFonts w:hint="eastAsia"/>
          <w:b/>
          <w:bCs/>
        </w:rPr>
        <w:t>后期管护  Post-restoration Monitoring and Maintenance</w:t>
      </w:r>
    </w:p>
    <w:p w14:paraId="574C7267">
      <w:pPr>
        <w:pStyle w:val="28"/>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在完成矿山生态修复项目后，通过人工主动干预+监测、记录、分析等方式，保障生态系统的健康发展，防止再次受到破坏和污染的工作。</w:t>
      </w:r>
    </w:p>
    <w:p w14:paraId="2ACDC398">
      <w:r>
        <w:rPr>
          <w:rFonts w:hint="eastAsia"/>
        </w:rPr>
        <w:t>3.4</w:t>
      </w:r>
    </w:p>
    <w:p w14:paraId="32D56075">
      <w:pPr>
        <w:ind w:firstLine="422" w:firstLineChars="200"/>
        <w:rPr>
          <w:b/>
          <w:bCs/>
        </w:rPr>
      </w:pPr>
      <w:r>
        <w:rPr>
          <w:rFonts w:hint="eastAsia"/>
          <w:b/>
          <w:bCs/>
        </w:rPr>
        <w:t>管护期  Maintenance Phase</w:t>
      </w:r>
    </w:p>
    <w:p w14:paraId="3EE231DC">
      <w:pPr>
        <w:pStyle w:val="28"/>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采取人工干预，保障生态系统的健康发展，防止再次受到破坏和污染工作的时限。</w:t>
      </w:r>
    </w:p>
    <w:p w14:paraId="069F9819">
      <w:r>
        <w:rPr>
          <w:rFonts w:hint="eastAsia"/>
        </w:rPr>
        <w:t>3.5</w:t>
      </w:r>
    </w:p>
    <w:p w14:paraId="339A9C06">
      <w:pPr>
        <w:ind w:firstLine="422" w:firstLineChars="200"/>
        <w:rPr>
          <w:b/>
          <w:bCs/>
        </w:rPr>
      </w:pPr>
      <w:r>
        <w:rPr>
          <w:rFonts w:hint="eastAsia"/>
          <w:b/>
          <w:bCs/>
        </w:rPr>
        <w:t>管护责任人  Person in Charge of Management and Maintenance</w:t>
      </w:r>
    </w:p>
    <w:p w14:paraId="4D605AB6">
      <w:pPr>
        <w:pStyle w:val="28"/>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指由建设单位指定，负责废弃矿山生态修复工程后期管护工作的组织实施、质量把控、过程记录的单位或个人。</w:t>
      </w:r>
    </w:p>
    <w:p w14:paraId="0484CB5E">
      <w:r>
        <w:rPr>
          <w:rFonts w:hint="eastAsia"/>
        </w:rPr>
        <w:t>3.6</w:t>
      </w:r>
    </w:p>
    <w:p w14:paraId="757A810E">
      <w:pPr>
        <w:ind w:firstLine="422" w:firstLineChars="200"/>
        <w:rPr>
          <w:b/>
          <w:bCs/>
        </w:rPr>
      </w:pPr>
      <w:r>
        <w:rPr>
          <w:rFonts w:hint="eastAsia"/>
          <w:b/>
          <w:bCs/>
        </w:rPr>
        <w:t>管护验收  Acceptance of Management and Maintenance</w:t>
      </w:r>
    </w:p>
    <w:p w14:paraId="77B5E0DB">
      <w:pPr>
        <w:pStyle w:val="28"/>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指管护期结束后，由相关单位对管护工作成效、工程设施状态、生态恢复效果等进行的综合核查与验收工作。</w:t>
      </w:r>
    </w:p>
    <w:p w14:paraId="17802B9F">
      <w:r>
        <w:rPr>
          <w:rFonts w:hint="eastAsia"/>
        </w:rPr>
        <w:t>3.7</w:t>
      </w:r>
    </w:p>
    <w:p w14:paraId="2B162231">
      <w:pPr>
        <w:ind w:firstLine="422" w:firstLineChars="200"/>
        <w:rPr>
          <w:b/>
          <w:bCs/>
        </w:rPr>
      </w:pPr>
      <w:r>
        <w:rPr>
          <w:rFonts w:hint="eastAsia"/>
          <w:b/>
          <w:bCs/>
        </w:rPr>
        <w:t>生态脆弱区  Ecologically Fragile Area</w:t>
      </w:r>
    </w:p>
    <w:p w14:paraId="0B2A8AD2">
      <w:pPr>
        <w:pStyle w:val="28"/>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指矿山范围内生态系统结构简单、稳定性差，受外界干扰后易发生退化且难以自然恢复的区域。</w:t>
      </w:r>
    </w:p>
    <w:p w14:paraId="7A1C45AB">
      <w:pPr>
        <w:pStyle w:val="51"/>
        <w:spacing w:before="312" w:after="312"/>
        <w:rPr>
          <w:color w:val="000000" w:themeColor="text1"/>
          <w:szCs w:val="21"/>
          <w14:textFill>
            <w14:solidFill>
              <w14:schemeClr w14:val="tx1"/>
            </w14:solidFill>
          </w14:textFill>
        </w:rPr>
      </w:pPr>
      <w:bookmarkStart w:id="24" w:name="_Toc10765"/>
      <w:r>
        <w:rPr>
          <w:rFonts w:hint="eastAsia"/>
          <w:color w:val="000000" w:themeColor="text1"/>
          <w:szCs w:val="21"/>
          <w14:textFill>
            <w14:solidFill>
              <w14:schemeClr w14:val="tx1"/>
            </w14:solidFill>
          </w14:textFill>
        </w:rPr>
        <w:t>管护总体要求</w:t>
      </w:r>
      <w:bookmarkEnd w:id="24"/>
    </w:p>
    <w:p w14:paraId="29A9B7D8">
      <w:pPr>
        <w:pStyle w:val="52"/>
        <w:numPr>
          <w:ilvl w:val="2"/>
          <w:numId w:val="0"/>
        </w:numPr>
        <w:spacing w:beforeLines="0" w:afterLines="0"/>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4.1  管护工作应遵循“因地制宜、持续稳定、分类施策、闭环管理”的原则，统筹衔接修复工程设计与施工要求，明确管护对象、管护责任、管护时限、管护标准，编制专项管护方案（管护方案编制要求详见第5章）。</w:t>
      </w:r>
    </w:p>
    <w:p w14:paraId="6EFEA3B8">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4.2  工程竣工验收后，应立即开展后期管护工作，后期管护的时间应明确为“工程竣工验收合格之日起，至管护期届满验收合格之日止”；明确与施工单位的交接方式：施工单位需向管护责任人移交完整的工程竣工资料、修复施工记录、隐蔽工程验收资料等，双方签订交接协议，明确交接节点、责任划分及遗留问题处理方案。</w:t>
      </w:r>
    </w:p>
    <w:p w14:paraId="39DBCA46">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4.3  后期管护时间应根据矿山自然生态条件和修复成效确定，一般管护时间不少于3年；生态脆弱区管护时间应根据专项评估结果延长，具体时长在管护方案中明确。</w:t>
      </w:r>
    </w:p>
    <w:p w14:paraId="3FEB9FCB">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4.4  管护工作应落实管护责任人，建立全过程管护台账，规范开展巡查、监测、维护、评估等工作。</w:t>
      </w:r>
    </w:p>
    <w:p w14:paraId="4D5E09B5">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4.5  管护期结束后应编制管护报告，及时整理全周期形成的文件资料，分类标注、统一编号、规范归档。</w:t>
      </w:r>
    </w:p>
    <w:p w14:paraId="2BA7523A">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4.6  后期管护工作流程参见附录A。</w:t>
      </w:r>
    </w:p>
    <w:p w14:paraId="4D0A3D02">
      <w:pPr>
        <w:pStyle w:val="51"/>
        <w:spacing w:before="312" w:after="312"/>
        <w:rPr>
          <w:color w:val="000000" w:themeColor="text1"/>
          <w:szCs w:val="21"/>
          <w14:textFill>
            <w14:solidFill>
              <w14:schemeClr w14:val="tx1"/>
            </w14:solidFill>
          </w14:textFill>
        </w:rPr>
      </w:pPr>
      <w:bookmarkStart w:id="25" w:name="heading_8"/>
      <w:bookmarkStart w:id="26" w:name="_Toc32340"/>
      <w:r>
        <w:rPr>
          <w:rFonts w:hint="eastAsia"/>
          <w:color w:val="000000" w:themeColor="text1"/>
          <w:szCs w:val="21"/>
          <w14:textFill>
            <w14:solidFill>
              <w14:schemeClr w14:val="tx1"/>
            </w14:solidFill>
          </w14:textFill>
        </w:rPr>
        <w:t>管护方案编制</w:t>
      </w:r>
      <w:bookmarkEnd w:id="25"/>
      <w:bookmarkEnd w:id="26"/>
    </w:p>
    <w:p w14:paraId="1CD34993">
      <w:pPr>
        <w:pStyle w:val="52"/>
        <w:numPr>
          <w:ilvl w:val="2"/>
          <w:numId w:val="0"/>
        </w:numPr>
        <w:spacing w:beforeLines="0" w:afterLines="0"/>
        <w:ind w:left="418" w:leftChars="-1" w:hanging="420" w:hangingChars="200"/>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5.1  方案编制依据</w:t>
      </w:r>
    </w:p>
    <w:p w14:paraId="70BA49B1">
      <w:pPr>
        <w:pStyle w:val="52"/>
        <w:numPr>
          <w:ilvl w:val="2"/>
          <w:numId w:val="0"/>
        </w:numPr>
        <w:spacing w:beforeLines="0" w:afterLines="0"/>
        <w:ind w:firstLine="420" w:firstLineChars="200"/>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管护方案应在矿山生态修复工程设计文件、竣工验收资料、施工与管护交接协议的基础上编制，符合国家相关法律法规、政策文件及本规范要求，与修复工程内容、实施成效充分衔接。</w:t>
      </w:r>
    </w:p>
    <w:p w14:paraId="35A9FB78">
      <w:pPr>
        <w:pStyle w:val="52"/>
        <w:numPr>
          <w:ilvl w:val="2"/>
          <w:numId w:val="0"/>
        </w:numPr>
        <w:spacing w:beforeLines="0" w:afterLines="0"/>
        <w:ind w:left="418" w:leftChars="-1" w:hanging="420" w:hangingChars="200"/>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5.2  方案核心内容</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围绕地质灾害防控、水土保持、生态环境维护、植被演替提升四大核心，明确以下关键内容：</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 xml:space="preserve">  a)基础信息：矿山自然生态、地质环境、修复工程概况，以及与施工单位的交接情况；</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 xml:space="preserve">  b)管护核心：目标、范围、对象，明确植被从人工建造到自然演替的管护阶段目标；</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 xml:space="preserve">  c)管护任务：分类型（地质灾害、水土保持、植被生态等）明确核心管护任务、技术方法；</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 xml:space="preserve">  d)实施保障：责任体系、经费预算、组织技术保障、应急处置措施；</w:t>
      </w:r>
      <w:r>
        <w:rPr>
          <w:rFonts w:hint="eastAsia" w:ascii="宋体" w:hAnsi="宋体" w:eastAsia="宋体" w:cs="宋体"/>
          <w:color w:val="000000" w:themeColor="text1"/>
          <w14:textFill>
            <w14:solidFill>
              <w14:schemeClr w14:val="tx1"/>
            </w14:solidFill>
          </w14:textFill>
        </w:rPr>
        <w:br w:type="textWrapping"/>
      </w:r>
      <w:r>
        <w:rPr>
          <w:rFonts w:hint="eastAsia" w:ascii="宋体" w:hAnsi="宋体" w:eastAsia="宋体" w:cs="宋体"/>
          <w:color w:val="000000" w:themeColor="text1"/>
          <w14:textFill>
            <w14:solidFill>
              <w14:schemeClr w14:val="tx1"/>
            </w14:solidFill>
          </w14:textFill>
        </w:rPr>
        <w:t xml:space="preserve">  e)调整机制：明确方案调整的触发条件与报备流程。</w:t>
      </w:r>
    </w:p>
    <w:p w14:paraId="55210149">
      <w:pPr>
        <w:pStyle w:val="52"/>
        <w:numPr>
          <w:ilvl w:val="2"/>
          <w:numId w:val="0"/>
        </w:numPr>
        <w:spacing w:beforeLines="0" w:afterLines="0"/>
        <w:ind w:left="418" w:leftChars="-1" w:hanging="420" w:hangingChars="200"/>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5.3  方案调整要求</w:t>
      </w:r>
    </w:p>
    <w:p w14:paraId="6E3B2D6D">
      <w:pPr>
        <w:pStyle w:val="52"/>
        <w:numPr>
          <w:ilvl w:val="2"/>
          <w:numId w:val="0"/>
        </w:numPr>
        <w:spacing w:beforeLines="0" w:afterLines="0"/>
        <w:ind w:firstLine="420" w:firstLineChars="200"/>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管护实施过程中，若出现修复工程损毁、生态系统退化、自然灾害等重大变化，应及时对管护方案进行评估与调整，调整后按原程序报备。</w:t>
      </w:r>
    </w:p>
    <w:p w14:paraId="6F4A9B9E">
      <w:pPr>
        <w:pStyle w:val="51"/>
        <w:spacing w:before="312" w:after="312"/>
        <w:rPr>
          <w:color w:val="000000" w:themeColor="text1"/>
          <w:szCs w:val="21"/>
          <w14:textFill>
            <w14:solidFill>
              <w14:schemeClr w14:val="tx1"/>
            </w14:solidFill>
          </w14:textFill>
        </w:rPr>
      </w:pPr>
      <w:bookmarkStart w:id="27" w:name="_Toc31089"/>
      <w:r>
        <w:rPr>
          <w:rFonts w:hint="eastAsia"/>
          <w:color w:val="000000" w:themeColor="text1"/>
          <w:szCs w:val="21"/>
          <w14:textFill>
            <w14:solidFill>
              <w14:schemeClr w14:val="tx1"/>
            </w14:solidFill>
          </w14:textFill>
        </w:rPr>
        <w:t>后期管护要求</w:t>
      </w:r>
      <w:bookmarkEnd w:id="27"/>
    </w:p>
    <w:p w14:paraId="1C40E154">
      <w:pPr>
        <w:pStyle w:val="48"/>
        <w:spacing w:before="156" w:after="156"/>
        <w:ind w:left="-2" w:leftChars="-1"/>
        <w:rPr>
          <w:color w:val="000000" w:themeColor="text1"/>
          <w14:textFill>
            <w14:solidFill>
              <w14:schemeClr w14:val="tx1"/>
            </w14:solidFill>
          </w14:textFill>
        </w:rPr>
      </w:pPr>
      <w:bookmarkStart w:id="28" w:name="_Toc7983"/>
      <w:r>
        <w:rPr>
          <w:rFonts w:hint="eastAsia"/>
          <w:color w:val="000000" w:themeColor="text1"/>
          <w14:textFill>
            <w14:solidFill>
              <w14:schemeClr w14:val="tx1"/>
            </w14:solidFill>
          </w14:textFill>
        </w:rPr>
        <w:t>工程设施维护</w:t>
      </w:r>
      <w:bookmarkEnd w:id="28"/>
    </w:p>
    <w:p w14:paraId="001120C5">
      <w:pPr>
        <w:pStyle w:val="48"/>
        <w:numPr>
          <w:ilvl w:val="1"/>
          <w:numId w:val="0"/>
        </w:numPr>
        <w:spacing w:before="156" w:after="156"/>
        <w:ind w:left="-2" w:leftChars="-1"/>
        <w:rPr>
          <w:rFonts w:hint="eastAsia" w:ascii="宋体" w:hAnsi="宋体" w:eastAsia="宋体" w:cs="宋体"/>
          <w:color w:val="000000" w:themeColor="text1"/>
          <w14:textFill>
            <w14:solidFill>
              <w14:schemeClr w14:val="tx1"/>
            </w14:solidFill>
          </w14:textFill>
        </w:rPr>
      </w:pPr>
      <w:bookmarkStart w:id="29" w:name="_Toc11233"/>
      <w:r>
        <w:rPr>
          <w:rFonts w:hint="eastAsia"/>
          <w:color w:val="000000" w:themeColor="text1"/>
          <w14:textFill>
            <w14:solidFill>
              <w14:schemeClr w14:val="tx1"/>
            </w14:solidFill>
          </w14:textFill>
        </w:rPr>
        <w:t>6.1.1  边坡工程管护</w:t>
      </w:r>
      <w:bookmarkEnd w:id="29"/>
    </w:p>
    <w:p w14:paraId="2C22E375">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6.1.1.1  应定期巡查和维护削坡卸荷区内修复工程，及时维修边坡表面缺陷，修复损坏的工程设施，保持边坡工程和设施的安全、完整、正常运用。</w:t>
      </w:r>
    </w:p>
    <w:p w14:paraId="517CDAB1">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6.2.1.2  如坡体出现变形，应实测变形量，分析变形原因，由原设计单位提出处理方案，经论证后实施。</w:t>
      </w:r>
    </w:p>
    <w:p w14:paraId="3DDEA1F3">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6.1.1.3  严禁在边坡上堆加重载，如搭设建（构）筑物、堆放材料、机械碾压或碰撞等。不得向削方区倾倒固体废弃物和排放废水。</w:t>
      </w:r>
    </w:p>
    <w:p w14:paraId="20F7C577">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6.1.1.4  严禁在边坡工程保护范围内进行其他开挖、爆破等危害边坡稳定的活动。</w:t>
      </w:r>
    </w:p>
    <w:p w14:paraId="5C5F2611">
      <w:pPr>
        <w:pStyle w:val="48"/>
        <w:numPr>
          <w:ilvl w:val="1"/>
          <w:numId w:val="0"/>
        </w:numPr>
        <w:spacing w:before="156" w:after="156"/>
        <w:rPr>
          <w:color w:val="000000" w:themeColor="text1"/>
          <w14:textFill>
            <w14:solidFill>
              <w14:schemeClr w14:val="tx1"/>
            </w14:solidFill>
          </w14:textFill>
        </w:rPr>
      </w:pPr>
      <w:bookmarkStart w:id="30" w:name="_Toc633"/>
      <w:r>
        <w:rPr>
          <w:rFonts w:hint="eastAsia"/>
          <w:color w:val="000000" w:themeColor="text1"/>
          <w14:textFill>
            <w14:solidFill>
              <w14:schemeClr w14:val="tx1"/>
            </w14:solidFill>
          </w14:textFill>
        </w:rPr>
        <w:t>6.1.2  截排水工程管护</w:t>
      </w:r>
      <w:bookmarkEnd w:id="30"/>
    </w:p>
    <w:p w14:paraId="49445116">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6.1.2.1  应定期巡查和维护截排水工程，建立常态化管护机制，重点保障构筑物完整性与排水畅通性。</w:t>
      </w:r>
    </w:p>
    <w:p w14:paraId="5CE79CF2">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6.1.2.2  截排水工程人工巡查内容主要包括构筑物的完整性和畅通性等。</w:t>
      </w:r>
    </w:p>
    <w:p w14:paraId="3C7CD598">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6.1.2.3  截排水工程效果应进行专业监测，监测周期不少于工程竣工后2个水文年；监测内容主要包括地表水分布、地表水流量和截排水构筑物的变形破坏等；监测频率至少每月1次，在汛期、雨季等情况下应加密监测。</w:t>
      </w:r>
    </w:p>
    <w:p w14:paraId="1C1AEE5B">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6.1.2.4  不得随意在截排水工程上搭设建构筑物，不得在工程区域内进行材料堆放、加工、机械碾压撞击等作业，不得人为损坏工程设施，不得在工程周边违规加载、开挖。</w:t>
      </w:r>
    </w:p>
    <w:p w14:paraId="5036CD22">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6.1.2.5  发现沟壁裂缝、排水孔堵塞、构筑物破损等问题，应及时分析原因并采取修复措施；对检查井、检查孔定期检查清理，保障排水通畅。</w:t>
      </w:r>
    </w:p>
    <w:p w14:paraId="61687468">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6.1.2.6  排水沟出口为天然沟道的，应定期对跌水和消能防冲设施进行检查维护，防止对天然沟道造成冲刷。</w:t>
      </w:r>
    </w:p>
    <w:p w14:paraId="7F469890">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6.1.2.7  如截排水工程损坏或失效，应分析原因，由原设计单位提出处理方案，经论证后实施。</w:t>
      </w:r>
    </w:p>
    <w:p w14:paraId="5257C3E6">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6.1.2.8  工程管护其他要求按照GB/T 16453.4执行，重点落实构筑物结构稳定、排水通畅的核心要求。</w:t>
      </w:r>
    </w:p>
    <w:p w14:paraId="0C032480">
      <w:pPr>
        <w:pStyle w:val="48"/>
        <w:numPr>
          <w:ilvl w:val="1"/>
          <w:numId w:val="0"/>
        </w:numPr>
        <w:spacing w:before="156" w:after="156"/>
        <w:rPr>
          <w:color w:val="000000" w:themeColor="text1"/>
          <w14:textFill>
            <w14:solidFill>
              <w14:schemeClr w14:val="tx1"/>
            </w14:solidFill>
          </w14:textFill>
        </w:rPr>
      </w:pPr>
      <w:bookmarkStart w:id="31" w:name="_Toc25940"/>
      <w:r>
        <w:rPr>
          <w:rFonts w:hint="eastAsia"/>
          <w:color w:val="000000" w:themeColor="text1"/>
          <w14:textFill>
            <w14:solidFill>
              <w14:schemeClr w14:val="tx1"/>
            </w14:solidFill>
          </w14:textFill>
        </w:rPr>
        <w:t>6.1.3  砌体工程管护</w:t>
      </w:r>
      <w:bookmarkEnd w:id="31"/>
    </w:p>
    <w:p w14:paraId="6F9C0316">
      <w:pPr>
        <w:pStyle w:val="28"/>
        <w:ind w:firstLine="0" w:firstLineChars="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6.1.3.1  砌体工程指使用混凝土、浆砌石、干砌石等工艺砌筑的挡墙、挡坝、护坡墙、挡土埂等工程，完工后应及时开展养护，定期巡查维护，建立常态化管护机制。</w:t>
      </w:r>
    </w:p>
    <w:p w14:paraId="4F2F52DC">
      <w:pPr>
        <w:pStyle w:val="28"/>
        <w:ind w:firstLine="0" w:firstLineChars="0"/>
        <w:rPr>
          <w:rFonts w:hint="eastAsia" w:hAnsi="宋体" w:cs="宋体"/>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6.1.3.2  </w:t>
      </w:r>
      <w:r>
        <w:rPr>
          <w:rFonts w:hint="eastAsia" w:hAnsi="宋体" w:cs="宋体"/>
          <w:color w:val="000000" w:themeColor="text1"/>
          <w:szCs w:val="21"/>
          <w14:textFill>
            <w14:solidFill>
              <w14:schemeClr w14:val="tx1"/>
            </w14:solidFill>
          </w14:textFill>
        </w:rPr>
        <w:t>人工巡查核心内容为构筑物的完整性、结构稳定性，巡查频率每月不少于1次。</w:t>
      </w:r>
    </w:p>
    <w:p w14:paraId="658AA31A">
      <w:pPr>
        <w:pStyle w:val="28"/>
        <w:ind w:firstLine="0" w:firstLineChars="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6.1.3.3  不得随意在砌体工程上搭设建构筑物，不得在工程区域内进行材料堆放、加工、机械碾压撞击等作业，不得人为损坏工程设施，不得在紧邻工程周边违规加载、开挖。</w:t>
      </w:r>
    </w:p>
    <w:p w14:paraId="12A00CD7">
      <w:pPr>
        <w:pStyle w:val="52"/>
        <w:numPr>
          <w:ilvl w:val="2"/>
          <w:numId w:val="0"/>
        </w:numPr>
        <w:spacing w:beforeLines="0" w:afterLines="0"/>
        <w:ind w:left="-2" w:leftChars="-1"/>
        <w:outlineLvl w:val="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6.1.3.4  如砌体工程损坏或失效，应分析原因，由原设计单位提出处理方案，经论证后实施。</w:t>
      </w:r>
    </w:p>
    <w:p w14:paraId="21195944">
      <w:pPr>
        <w:pStyle w:val="48"/>
        <w:numPr>
          <w:ilvl w:val="1"/>
          <w:numId w:val="0"/>
        </w:numPr>
        <w:spacing w:before="156" w:after="156"/>
        <w:rPr>
          <w:color w:val="000000" w:themeColor="text1"/>
          <w14:textFill>
            <w14:solidFill>
              <w14:schemeClr w14:val="tx1"/>
            </w14:solidFill>
          </w14:textFill>
        </w:rPr>
      </w:pPr>
      <w:bookmarkStart w:id="32" w:name="_Toc13005"/>
      <w:r>
        <w:rPr>
          <w:rFonts w:hint="eastAsia"/>
          <w:color w:val="000000" w:themeColor="text1"/>
          <w14:textFill>
            <w14:solidFill>
              <w14:schemeClr w14:val="tx1"/>
            </w14:solidFill>
          </w14:textFill>
        </w:rPr>
        <w:t>6.1.4  灌溉工程管护</w:t>
      </w:r>
      <w:bookmarkEnd w:id="32"/>
    </w:p>
    <w:p w14:paraId="64825247">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6.1.4.1  </w:t>
      </w:r>
      <w:r>
        <w:rPr>
          <w:rFonts w:hint="eastAsia" w:cs="宋体" w:asciiTheme="minorEastAsia" w:hAnsiTheme="minorEastAsia" w:eastAsiaTheme="minorEastAsia"/>
          <w:color w:val="000000" w:themeColor="text1"/>
          <w14:textFill>
            <w14:solidFill>
              <w14:schemeClr w14:val="tx1"/>
            </w14:solidFill>
          </w14:textFill>
        </w:rPr>
        <w:t>灌溉工程应定期巡查和维护，建立常态化管护机制，保障灌溉系统正常运行。</w:t>
      </w:r>
    </w:p>
    <w:p w14:paraId="769B600E">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6.1.4.2  集蓄水工程、灌溉渠道工程管护按照GB/T 16453.4执行。</w:t>
      </w:r>
    </w:p>
    <w:p w14:paraId="41C0F95D">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6.1.4.3  喷灌与微灌工程管护按照GB/T 50485、SL 236执行。</w:t>
      </w:r>
    </w:p>
    <w:p w14:paraId="232B3D6D">
      <w:pPr>
        <w:pStyle w:val="48"/>
        <w:numPr>
          <w:ilvl w:val="1"/>
          <w:numId w:val="0"/>
        </w:numPr>
        <w:spacing w:before="156" w:after="156"/>
        <w:rPr>
          <w:color w:val="000000" w:themeColor="text1"/>
          <w14:textFill>
            <w14:solidFill>
              <w14:schemeClr w14:val="tx1"/>
            </w14:solidFill>
          </w14:textFill>
        </w:rPr>
      </w:pPr>
      <w:bookmarkStart w:id="33" w:name="_Toc10868"/>
      <w:r>
        <w:rPr>
          <w:rFonts w:hint="eastAsia"/>
          <w:color w:val="000000" w:themeColor="text1"/>
          <w14:textFill>
            <w14:solidFill>
              <w14:schemeClr w14:val="tx1"/>
            </w14:solidFill>
          </w14:textFill>
        </w:rPr>
        <w:t>6.1.5  水域工程设施管护</w:t>
      </w:r>
      <w:bookmarkEnd w:id="33"/>
    </w:p>
    <w:p w14:paraId="4CE053DE">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6.1.5.1  应定期对水域防护堤、护岸、消能防冲、水位调控等工程设施开展巡查维护，保障设施结构稳定、功能正常。</w:t>
      </w:r>
    </w:p>
    <w:p w14:paraId="54FE3A3F">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6.1.5.2  重点排查水域边坡稳定性、防护设施完整性，发现变形、破损、渗漏等问题，及时分析原因并采取修复措施。</w:t>
      </w:r>
    </w:p>
    <w:p w14:paraId="380D717B">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6.1.5.3  严禁在水域工程设施保护范围内进行开挖、爆破、堆载等危害设施稳定的活动。</w:t>
      </w:r>
    </w:p>
    <w:p w14:paraId="76C7596A">
      <w:pPr>
        <w:pStyle w:val="48"/>
        <w:numPr>
          <w:ilvl w:val="1"/>
          <w:numId w:val="0"/>
        </w:numPr>
        <w:spacing w:before="156" w:after="156"/>
        <w:rPr>
          <w:color w:val="000000" w:themeColor="text1"/>
          <w14:textFill>
            <w14:solidFill>
              <w14:schemeClr w14:val="tx1"/>
            </w14:solidFill>
          </w14:textFill>
        </w:rPr>
      </w:pPr>
      <w:bookmarkStart w:id="34" w:name="_Toc7359"/>
      <w:r>
        <w:rPr>
          <w:rFonts w:hint="eastAsia"/>
          <w:color w:val="000000" w:themeColor="text1"/>
          <w14:textFill>
            <w14:solidFill>
              <w14:schemeClr w14:val="tx1"/>
            </w14:solidFill>
          </w14:textFill>
        </w:rPr>
        <w:t>6.1.6  地下水修复工程管护</w:t>
      </w:r>
      <w:bookmarkEnd w:id="34"/>
    </w:p>
    <w:p w14:paraId="58BE40A0">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6.1.6.1  地下水修复工程管护应包括抽注井、监测井、防渗帷幕、水处理设施等工程设施的巡查、维护与校准。</w:t>
      </w:r>
    </w:p>
    <w:p w14:paraId="15C2238D">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6.1.6.2  定期检查抽注井、监测井的井管完整性、滤网通畅性，及时清理淤积，保障井体正常运行；定期校准监测设备，保障监测数据准确。</w:t>
      </w:r>
    </w:p>
    <w:p w14:paraId="53DAA180">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6.1.6.3  定期检查防渗帷幕完整性，发现渗漏问题及时采取处置措施；定期维护水处理设施，保障水处理效果稳定达标。</w:t>
      </w:r>
    </w:p>
    <w:p w14:paraId="05729E12">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6.1.6.4  严禁在地下水工程保护范围内进行钻探、开挖、堆载等可能破坏工程设施的活动。</w:t>
      </w:r>
    </w:p>
    <w:p w14:paraId="1926C19A">
      <w:pPr>
        <w:pStyle w:val="48"/>
        <w:numPr>
          <w:ilvl w:val="1"/>
          <w:numId w:val="0"/>
        </w:numPr>
        <w:spacing w:before="156" w:after="156"/>
        <w:rPr>
          <w:color w:val="000000" w:themeColor="text1"/>
          <w14:textFill>
            <w14:solidFill>
              <w14:schemeClr w14:val="tx1"/>
            </w14:solidFill>
          </w14:textFill>
        </w:rPr>
      </w:pPr>
      <w:bookmarkStart w:id="35" w:name="_Toc3529"/>
      <w:r>
        <w:rPr>
          <w:rFonts w:hint="eastAsia"/>
          <w:color w:val="000000" w:themeColor="text1"/>
          <w14:textFill>
            <w14:solidFill>
              <w14:schemeClr w14:val="tx1"/>
            </w14:solidFill>
          </w14:textFill>
        </w:rPr>
        <w:t>6.1.7  道路工程管护</w:t>
      </w:r>
      <w:bookmarkEnd w:id="35"/>
    </w:p>
    <w:p w14:paraId="7EDDF919">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6.1.7.1  留用的矿山道路，应定期维护路面坡度、平整度，及时修复破损路面、边坡，保障通行安全，满足设计通行要求。</w:t>
      </w:r>
    </w:p>
    <w:p w14:paraId="24AA3137">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6.1.7.2  严禁在道路保护范围内进行开挖、堆载等影响道路通行安全的活动。</w:t>
      </w:r>
    </w:p>
    <w:p w14:paraId="302ECBA5">
      <w:pPr>
        <w:pStyle w:val="48"/>
        <w:numPr>
          <w:ilvl w:val="1"/>
          <w:numId w:val="0"/>
        </w:numPr>
        <w:spacing w:before="156" w:after="156"/>
        <w:rPr>
          <w:color w:val="000000" w:themeColor="text1"/>
          <w14:textFill>
            <w14:solidFill>
              <w14:schemeClr w14:val="tx1"/>
            </w14:solidFill>
          </w14:textFill>
        </w:rPr>
      </w:pPr>
      <w:bookmarkStart w:id="36" w:name="_Toc10199"/>
      <w:r>
        <w:rPr>
          <w:rFonts w:hint="eastAsia"/>
          <w:color w:val="000000" w:themeColor="text1"/>
          <w14:textFill>
            <w14:solidFill>
              <w14:schemeClr w14:val="tx1"/>
            </w14:solidFill>
          </w14:textFill>
        </w:rPr>
        <w:t>6.2  植被与土地管护</w:t>
      </w:r>
      <w:bookmarkEnd w:id="36"/>
    </w:p>
    <w:p w14:paraId="0E47496B">
      <w:pPr>
        <w:pStyle w:val="48"/>
        <w:numPr>
          <w:ilvl w:val="1"/>
          <w:numId w:val="0"/>
        </w:numPr>
        <w:spacing w:before="156" w:after="156"/>
        <w:rPr>
          <w:color w:val="000000" w:themeColor="text1"/>
          <w14:textFill>
            <w14:solidFill>
              <w14:schemeClr w14:val="tx1"/>
            </w14:solidFill>
          </w14:textFill>
        </w:rPr>
      </w:pPr>
      <w:bookmarkStart w:id="37" w:name="_Toc860"/>
      <w:r>
        <w:rPr>
          <w:rFonts w:hint="eastAsia"/>
          <w:color w:val="000000" w:themeColor="text1"/>
          <w14:textFill>
            <w14:solidFill>
              <w14:schemeClr w14:val="tx1"/>
            </w14:solidFill>
          </w14:textFill>
        </w:rPr>
        <w:t>6.2.1  未成林管护</w:t>
      </w:r>
      <w:bookmarkEnd w:id="37"/>
    </w:p>
    <w:p w14:paraId="5FD8447E">
      <w:pPr>
        <w:pStyle w:val="52"/>
        <w:numPr>
          <w:ilvl w:val="2"/>
          <w:numId w:val="0"/>
        </w:numPr>
        <w:spacing w:beforeLines="0" w:afterLines="0"/>
        <w:ind w:left="1" w:firstLine="420" w:firstLineChars="200"/>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未成林管护措施主要包括施肥、灌溉、松土、清除杂草、防治病虫害、补植补种等，管护按照GB/T 15776执行，重点保障苗木成活率、保存率达到设计要求。</w:t>
      </w:r>
    </w:p>
    <w:p w14:paraId="06C87F93">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6.2.1.1  新造林地的综合管护措施应符合下列规定：</w:t>
      </w:r>
    </w:p>
    <w:p w14:paraId="54D2F029">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1.应采用专人专职、兼职或集中管护等方式。</w:t>
      </w:r>
    </w:p>
    <w:p w14:paraId="3B5432DB">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2.人畜干扰风险较高的地段,宜在造林地周边设置网围栏篱墙和防护沟等。</w:t>
      </w:r>
    </w:p>
    <w:p w14:paraId="282FCCDC">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3.应设置明示造林地管护范围、面积、目标、责任人等信息的管护碑等标识。</w:t>
      </w:r>
    </w:p>
    <w:p w14:paraId="4CD2CA78">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4.应保护森林防火通道,应按森林防火通道规划、建设要求维护和建设生物防火林带,林地清理的灌草、抚育采伐剩余物等宜清理。</w:t>
      </w:r>
    </w:p>
    <w:p w14:paraId="4DAE406C">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6.2.1.2  </w:t>
      </w:r>
      <w:r>
        <w:rPr>
          <w:rFonts w:cs="宋体" w:asciiTheme="minorEastAsia" w:hAnsiTheme="minorEastAsia" w:eastAsiaTheme="minorEastAsia"/>
          <w:color w:val="000000" w:themeColor="text1"/>
          <w:szCs w:val="21"/>
          <w14:textFill>
            <w14:solidFill>
              <w14:schemeClr w14:val="tx1"/>
            </w14:solidFill>
          </w14:textFill>
        </w:rPr>
        <w:t>未成林病虫害的防控措施应符合下列规定:</w:t>
      </w:r>
    </w:p>
    <w:p w14:paraId="30EA5F7A">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w:t>
      </w:r>
      <w:r>
        <w:rPr>
          <w:rFonts w:cs="宋体" w:asciiTheme="minorEastAsia" w:hAnsiTheme="minorEastAsia" w:eastAsiaTheme="minorEastAsia"/>
          <w:color w:val="000000" w:themeColor="text1"/>
          <w:szCs w:val="21"/>
          <w14:textFill>
            <w14:solidFill>
              <w14:schemeClr w14:val="tx1"/>
            </w14:solidFill>
          </w14:textFill>
        </w:rPr>
        <w:t>应进行造林地及周边林地有害生物预测预报，可设置定期监测病虫害的预测预报样地和测报点</w:t>
      </w:r>
      <w:r>
        <w:rPr>
          <w:rFonts w:hint="eastAsia" w:cs="宋体" w:asciiTheme="minorEastAsia" w:hAnsiTheme="minorEastAsia" w:eastAsiaTheme="minorEastAsia"/>
          <w:color w:val="000000" w:themeColor="text1"/>
          <w:szCs w:val="21"/>
          <w14:textFill>
            <w14:solidFill>
              <w14:schemeClr w14:val="tx1"/>
            </w14:solidFill>
          </w14:textFill>
        </w:rPr>
        <w:t>。</w:t>
      </w:r>
    </w:p>
    <w:p w14:paraId="2A5DA8E8">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w:t>
      </w:r>
      <w:r>
        <w:rPr>
          <w:rFonts w:cs="宋体" w:asciiTheme="minorEastAsia" w:hAnsiTheme="minorEastAsia" w:eastAsiaTheme="minorEastAsia"/>
          <w:color w:val="000000" w:themeColor="text1"/>
          <w:szCs w:val="21"/>
          <w14:textFill>
            <w14:solidFill>
              <w14:schemeClr w14:val="tx1"/>
            </w14:solidFill>
          </w14:textFill>
        </w:rPr>
        <w:t>应隔离和处理病虫危害木,发现检疫性病虫害，应伐除并销毁受害木</w:t>
      </w:r>
      <w:r>
        <w:rPr>
          <w:rFonts w:hint="eastAsia" w:cs="宋体" w:asciiTheme="minorEastAsia" w:hAnsiTheme="minorEastAsia" w:eastAsiaTheme="minorEastAsia"/>
          <w:color w:val="000000" w:themeColor="text1"/>
          <w:szCs w:val="21"/>
          <w14:textFill>
            <w14:solidFill>
              <w14:schemeClr w14:val="tx1"/>
            </w14:solidFill>
          </w14:textFill>
        </w:rPr>
        <w:t>。</w:t>
      </w:r>
    </w:p>
    <w:p w14:paraId="6625A119">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w:t>
      </w:r>
      <w:r>
        <w:rPr>
          <w:rFonts w:cs="宋体" w:asciiTheme="minorEastAsia" w:hAnsiTheme="minorEastAsia" w:eastAsiaTheme="minorEastAsia"/>
          <w:color w:val="000000" w:themeColor="text1"/>
          <w:szCs w:val="21"/>
          <w14:textFill>
            <w14:solidFill>
              <w14:schemeClr w14:val="tx1"/>
            </w14:solidFill>
          </w14:textFill>
        </w:rPr>
        <w:t>病虫害发生后,宜采用物理、生物防治或综合防治方法不宜采用单一的化学防治方法，大规模造林地宜配备诱虫灯、喷雾器及病防车等防治设备</w:t>
      </w:r>
      <w:r>
        <w:rPr>
          <w:rFonts w:hint="eastAsia" w:cs="宋体" w:asciiTheme="minorEastAsia" w:hAnsiTheme="minorEastAsia" w:eastAsiaTheme="minorEastAsia"/>
          <w:color w:val="000000" w:themeColor="text1"/>
          <w:szCs w:val="21"/>
          <w14:textFill>
            <w14:solidFill>
              <w14:schemeClr w14:val="tx1"/>
            </w14:solidFill>
          </w14:textFill>
        </w:rPr>
        <w:t>。</w:t>
      </w:r>
    </w:p>
    <w:p w14:paraId="4CA22D99">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6.2.1.3  </w:t>
      </w:r>
      <w:r>
        <w:rPr>
          <w:rFonts w:cs="宋体" w:asciiTheme="minorEastAsia" w:hAnsiTheme="minorEastAsia" w:eastAsiaTheme="minorEastAsia"/>
          <w:color w:val="000000" w:themeColor="text1"/>
          <w:szCs w:val="21"/>
          <w14:textFill>
            <w14:solidFill>
              <w14:schemeClr w14:val="tx1"/>
            </w14:solidFill>
          </w14:textFill>
        </w:rPr>
        <w:t>兽害防控措施可符合下列规定:</w:t>
      </w:r>
    </w:p>
    <w:p w14:paraId="04BC278B">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w:t>
      </w:r>
      <w:r>
        <w:rPr>
          <w:rFonts w:cs="宋体" w:asciiTheme="minorEastAsia" w:hAnsiTheme="minorEastAsia" w:eastAsiaTheme="minorEastAsia"/>
          <w:color w:val="000000" w:themeColor="text1"/>
          <w:szCs w:val="21"/>
          <w14:textFill>
            <w14:solidFill>
              <w14:schemeClr w14:val="tx1"/>
            </w14:solidFill>
          </w14:textFill>
        </w:rPr>
        <w:t>苗木基干部可采用涂(刷)白、涂抹泥沙等防护措施</w:t>
      </w:r>
      <w:r>
        <w:rPr>
          <w:rFonts w:hint="eastAsia" w:cs="宋体" w:asciiTheme="minorEastAsia" w:hAnsiTheme="minorEastAsia" w:eastAsiaTheme="minorEastAsia"/>
          <w:color w:val="000000" w:themeColor="text1"/>
          <w:szCs w:val="21"/>
          <w14:textFill>
            <w14:solidFill>
              <w14:schemeClr w14:val="tx1"/>
            </w14:solidFill>
          </w14:textFill>
        </w:rPr>
        <w:t>。</w:t>
      </w:r>
    </w:p>
    <w:p w14:paraId="4145B49F">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w:t>
      </w:r>
      <w:r>
        <w:rPr>
          <w:rFonts w:cs="宋体" w:asciiTheme="minorEastAsia" w:hAnsiTheme="minorEastAsia" w:eastAsiaTheme="minorEastAsia"/>
          <w:color w:val="000000" w:themeColor="text1"/>
          <w:szCs w:val="21"/>
          <w14:textFill>
            <w14:solidFill>
              <w14:schemeClr w14:val="tx1"/>
            </w14:solidFill>
          </w14:textFill>
        </w:rPr>
        <w:t>可在苗木基干部捆扎塑料布、干草把、芦苇等材料,或套置硬质塑料管、金属管等管状物,或设置金属围网等防护物</w:t>
      </w:r>
      <w:r>
        <w:rPr>
          <w:rFonts w:hint="eastAsia" w:cs="宋体" w:asciiTheme="minorEastAsia" w:hAnsiTheme="minorEastAsia" w:eastAsiaTheme="minorEastAsia"/>
          <w:color w:val="000000" w:themeColor="text1"/>
          <w:szCs w:val="21"/>
          <w14:textFill>
            <w14:solidFill>
              <w14:schemeClr w14:val="tx1"/>
            </w14:solidFill>
          </w14:textFill>
        </w:rPr>
        <w:t>。</w:t>
      </w:r>
    </w:p>
    <w:p w14:paraId="2A2F0949">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w:t>
      </w:r>
      <w:r>
        <w:rPr>
          <w:rFonts w:cs="宋体" w:asciiTheme="minorEastAsia" w:hAnsiTheme="minorEastAsia" w:eastAsiaTheme="minorEastAsia"/>
          <w:color w:val="000000" w:themeColor="text1"/>
          <w:szCs w:val="21"/>
          <w14:textFill>
            <w14:solidFill>
              <w14:schemeClr w14:val="tx1"/>
            </w14:solidFill>
          </w14:textFill>
        </w:rPr>
        <w:t>苗木可采用施用防啃剂、驱避剂浸蘸根、茎等预防性处理措施。</w:t>
      </w:r>
    </w:p>
    <w:p w14:paraId="698400F8">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6.2.1.4  </w:t>
      </w:r>
      <w:r>
        <w:rPr>
          <w:rFonts w:cs="宋体" w:asciiTheme="minorEastAsia" w:hAnsiTheme="minorEastAsia" w:eastAsiaTheme="minorEastAsia"/>
          <w:color w:val="000000" w:themeColor="text1"/>
          <w:szCs w:val="21"/>
          <w14:textFill>
            <w14:solidFill>
              <w14:schemeClr w14:val="tx1"/>
            </w14:solidFill>
          </w14:textFill>
        </w:rPr>
        <w:t>自然灾害防控措施可符合下列规定:</w:t>
      </w:r>
    </w:p>
    <w:p w14:paraId="082626EE">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1.</w:t>
      </w:r>
      <w:r>
        <w:rPr>
          <w:rFonts w:cs="宋体" w:asciiTheme="minorEastAsia" w:hAnsiTheme="minorEastAsia" w:eastAsiaTheme="minorEastAsia"/>
          <w:color w:val="000000" w:themeColor="text1"/>
          <w:szCs w:val="21"/>
          <w14:textFill>
            <w14:solidFill>
              <w14:schemeClr w14:val="tx1"/>
            </w14:solidFill>
          </w14:textFill>
        </w:rPr>
        <w:t>宜采用地膜覆盖,栽后树盘盖石板或盖草保,喷酒塑料、树脂泡沫剂或成膜物质水乳液,铺撒地表后形成薄膜层等措施</w:t>
      </w:r>
      <w:r>
        <w:rPr>
          <w:rFonts w:hint="eastAsia" w:cs="宋体" w:asciiTheme="minorEastAsia" w:hAnsiTheme="minorEastAsia" w:eastAsiaTheme="minorEastAsia"/>
          <w:color w:val="000000" w:themeColor="text1"/>
          <w:szCs w:val="21"/>
          <w14:textFill>
            <w14:solidFill>
              <w14:schemeClr w14:val="tx1"/>
            </w14:solidFill>
          </w14:textFill>
        </w:rPr>
        <w:t>。</w:t>
      </w:r>
    </w:p>
    <w:p w14:paraId="3AB01D1A">
      <w:pPr>
        <w:pStyle w:val="28"/>
        <w:rPr>
          <w:rFonts w:hint="eastAsia" w:cs="宋体" w:asciiTheme="minorEastAsia" w:hAnsiTheme="minorEastAsia" w:eastAsiaTheme="minorEastAsia"/>
          <w:b/>
          <w:bCs/>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2.</w:t>
      </w:r>
      <w:r>
        <w:rPr>
          <w:rFonts w:cs="宋体" w:asciiTheme="minorEastAsia" w:hAnsiTheme="minorEastAsia" w:eastAsiaTheme="minorEastAsia"/>
          <w:color w:val="000000" w:themeColor="text1"/>
          <w:szCs w:val="21"/>
          <w14:textFill>
            <w14:solidFill>
              <w14:schemeClr w14:val="tx1"/>
            </w14:solidFill>
          </w14:textFill>
        </w:rPr>
        <w:t>洪涝灾害易发地段可设置排水沟</w:t>
      </w:r>
      <w:r>
        <w:rPr>
          <w:rFonts w:hint="eastAsia" w:cs="宋体" w:asciiTheme="minorEastAsia" w:hAnsiTheme="minorEastAsia" w:eastAsiaTheme="minorEastAsia"/>
          <w:color w:val="000000" w:themeColor="text1"/>
          <w:szCs w:val="21"/>
          <w14:textFill>
            <w14:solidFill>
              <w14:schemeClr w14:val="tx1"/>
            </w14:solidFill>
          </w14:textFill>
        </w:rPr>
        <w:t>。</w:t>
      </w:r>
    </w:p>
    <w:p w14:paraId="11594178">
      <w:pPr>
        <w:pStyle w:val="28"/>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3.</w:t>
      </w:r>
      <w:r>
        <w:rPr>
          <w:rFonts w:cs="宋体" w:asciiTheme="minorEastAsia" w:hAnsiTheme="minorEastAsia" w:eastAsiaTheme="minorEastAsia"/>
          <w:color w:val="000000" w:themeColor="text1"/>
          <w:szCs w:val="21"/>
          <w14:textFill>
            <w14:solidFill>
              <w14:schemeClr w14:val="tx1"/>
            </w14:solidFill>
          </w14:textFill>
        </w:rPr>
        <w:t>大风、干热风、严寒或冻拔害严重地区,冬季可采取覆土、盖草(秸秆)和包裹等防风防寒措施。</w:t>
      </w:r>
    </w:p>
    <w:p w14:paraId="283155F6">
      <w:pPr>
        <w:pStyle w:val="48"/>
        <w:numPr>
          <w:ilvl w:val="1"/>
          <w:numId w:val="0"/>
        </w:numPr>
        <w:spacing w:before="156" w:after="156"/>
        <w:rPr>
          <w:color w:val="000000" w:themeColor="text1"/>
          <w14:textFill>
            <w14:solidFill>
              <w14:schemeClr w14:val="tx1"/>
            </w14:solidFill>
          </w14:textFill>
        </w:rPr>
      </w:pPr>
      <w:bookmarkStart w:id="38" w:name="_Toc24621"/>
      <w:r>
        <w:rPr>
          <w:rFonts w:hint="eastAsia"/>
          <w:color w:val="000000" w:themeColor="text1"/>
          <w14:textFill>
            <w14:solidFill>
              <w14:schemeClr w14:val="tx1"/>
            </w14:solidFill>
          </w14:textFill>
        </w:rPr>
        <w:t>6.2.2  坡面植被管护</w:t>
      </w:r>
      <w:bookmarkEnd w:id="38"/>
    </w:p>
    <w:p w14:paraId="07BB8F25">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6.2.2.1  应加强坡面建植植物初期管护，保证植物正常生长。</w:t>
      </w:r>
    </w:p>
    <w:p w14:paraId="416F2A93">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6.2.2.2  播种后应及时进行坡面遮盖，以保湿为主的遮盖材料宜选用草帘、无纺布等，以遮阳、防冲刷为主的遮盖材料宜选用无纺布、遮阳网等。应定期观测植物发芽和生长情况，视情况及时揭除遮盖物。</w:t>
      </w:r>
    </w:p>
    <w:p w14:paraId="60C122B7">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6.2.2.3  应在施工后1年～2年内根据植物生长情况和土壤肥力进行施肥，做到适时、适度、适量。宜在植物生长旺季前、降雨前或灌溉前施肥。</w:t>
      </w:r>
    </w:p>
    <w:p w14:paraId="6C5DB419">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6.2.2.4  应根据当地气候情况，根据土壤墒情及时补水，保证植被正常生长。灌溉时应避开日光暴晒及高温时段。</w:t>
      </w:r>
    </w:p>
    <w:p w14:paraId="61D31951">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6.2.2.5  建植植物受杂草抑制时,应及时清除杂草及缠绕建植植物的攀援植物。</w:t>
      </w:r>
    </w:p>
    <w:p w14:paraId="7A7F2A8A">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6.2.2.6  应及时排查和处理影响坡面稳定性的植株,疏剪乔灌木弱枝和病枯枝,短截徒长枝。宜在植物休眠期通过修剪或平茬调控植株的地下与地上生物量。</w:t>
      </w:r>
    </w:p>
    <w:p w14:paraId="7B8FE278">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6.2.2.7  对生长不良、病枯死植物应及时更换或补植原规格树种。</w:t>
      </w:r>
    </w:p>
    <w:p w14:paraId="59F01CFD">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6.2.2.8  应进行有害生物防控，配置有害生物防治设施和设备，有害生物防治措施按照GB/T 15776的规定执行。</w:t>
      </w:r>
    </w:p>
    <w:p w14:paraId="6B94F870">
      <w:pPr>
        <w:pStyle w:val="48"/>
        <w:numPr>
          <w:ilvl w:val="1"/>
          <w:numId w:val="0"/>
        </w:numPr>
        <w:spacing w:before="156" w:after="156"/>
        <w:rPr>
          <w:color w:val="000000" w:themeColor="text1"/>
          <w14:textFill>
            <w14:solidFill>
              <w14:schemeClr w14:val="tx1"/>
            </w14:solidFill>
          </w14:textFill>
        </w:rPr>
      </w:pPr>
      <w:bookmarkStart w:id="39" w:name="_Toc30285"/>
      <w:r>
        <w:rPr>
          <w:rFonts w:hint="eastAsia"/>
          <w:color w:val="000000" w:themeColor="text1"/>
          <w14:textFill>
            <w14:solidFill>
              <w14:schemeClr w14:val="tx1"/>
            </w14:solidFill>
          </w14:textFill>
        </w:rPr>
        <w:t>6.2.3  平台植被管护</w:t>
      </w:r>
      <w:bookmarkEnd w:id="39"/>
    </w:p>
    <w:p w14:paraId="4D0BDB6B">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6.2.3.1  </w:t>
      </w:r>
      <w:r>
        <w:rPr>
          <w:rFonts w:cs="宋体" w:asciiTheme="minorEastAsia" w:hAnsiTheme="minorEastAsia" w:eastAsiaTheme="minorEastAsia"/>
          <w:color w:val="000000" w:themeColor="text1"/>
          <w:szCs w:val="21"/>
          <w14:textFill>
            <w14:solidFill>
              <w14:schemeClr w14:val="tx1"/>
            </w14:solidFill>
          </w14:textFill>
        </w:rPr>
        <w:t>平台植物养护关键在于“先保活，再促长，后维持”。前期通过灌溉和土壤管理，确保成活；中期通过水肥调控和病虫害防治促进健康生长；</w:t>
      </w:r>
      <w:r>
        <w:rPr>
          <w:rFonts w:hint="eastAsia" w:cs="宋体" w:asciiTheme="minorEastAsia" w:hAnsiTheme="minorEastAsia" w:eastAsiaTheme="minorEastAsia"/>
          <w:color w:val="000000" w:themeColor="text1"/>
          <w:szCs w:val="21"/>
          <w14:textFill>
            <w14:solidFill>
              <w14:schemeClr w14:val="tx1"/>
            </w14:solidFill>
          </w14:textFill>
        </w:rPr>
        <w:t>远</w:t>
      </w:r>
      <w:r>
        <w:rPr>
          <w:rFonts w:cs="宋体" w:asciiTheme="minorEastAsia" w:hAnsiTheme="minorEastAsia" w:eastAsiaTheme="minorEastAsia"/>
          <w:color w:val="000000" w:themeColor="text1"/>
          <w:szCs w:val="21"/>
          <w14:textFill>
            <w14:solidFill>
              <w14:schemeClr w14:val="tx1"/>
            </w14:solidFill>
          </w14:textFill>
        </w:rPr>
        <w:t>期通过适应性管理，引导植物群落向稳定、自维持的生态系统演替。</w:t>
      </w:r>
    </w:p>
    <w:p w14:paraId="5AED8617">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6.2.3.2  </w:t>
      </w:r>
      <w:r>
        <w:rPr>
          <w:rFonts w:cs="宋体" w:asciiTheme="minorEastAsia" w:hAnsiTheme="minorEastAsia" w:eastAsiaTheme="minorEastAsia"/>
          <w:color w:val="000000" w:themeColor="text1"/>
          <w:szCs w:val="21"/>
          <w14:textFill>
            <w14:solidFill>
              <w14:schemeClr w14:val="tx1"/>
            </w14:solidFill>
          </w14:textFill>
        </w:rPr>
        <w:t>种植后1个月根据天气情况，每2-3天浇透水一次，确保根系土壤始终湿润。种植后1-3个月可调整为每周1-2次，促进根系向下深扎，增强抗旱性。后续逐渐延长间隔，过渡到依赖自然降水。但在持续干旱高温天气，必须及时人工补水。</w:t>
      </w:r>
      <w:r>
        <w:rPr>
          <w:rFonts w:hint="eastAsia" w:cs="宋体" w:asciiTheme="minorEastAsia" w:hAnsiTheme="minorEastAsia" w:eastAsiaTheme="minorEastAsia"/>
          <w:color w:val="000000" w:themeColor="text1"/>
          <w:szCs w:val="21"/>
          <w14:textFill>
            <w14:solidFill>
              <w14:schemeClr w14:val="tx1"/>
            </w14:solidFill>
          </w14:textFill>
        </w:rPr>
        <w:t>推荐采用</w:t>
      </w:r>
      <w:r>
        <w:rPr>
          <w:rFonts w:cs="宋体" w:asciiTheme="minorEastAsia" w:hAnsiTheme="minorEastAsia" w:eastAsiaTheme="minorEastAsia"/>
          <w:color w:val="000000" w:themeColor="text1"/>
          <w:szCs w:val="21"/>
          <w14:textFill>
            <w14:solidFill>
              <w14:schemeClr w14:val="tx1"/>
            </w14:solidFill>
          </w14:textFill>
        </w:rPr>
        <w:t>滴灌或微喷</w:t>
      </w:r>
      <w:r>
        <w:rPr>
          <w:rFonts w:hint="eastAsia" w:cs="宋体" w:asciiTheme="minorEastAsia" w:hAnsiTheme="minorEastAsia" w:eastAsiaTheme="minorEastAsia"/>
          <w:color w:val="000000" w:themeColor="text1"/>
          <w:szCs w:val="21"/>
          <w14:textFill>
            <w14:solidFill>
              <w14:schemeClr w14:val="tx1"/>
            </w14:solidFill>
          </w14:textFill>
        </w:rPr>
        <w:t>的节水设备</w:t>
      </w:r>
      <w:r>
        <w:rPr>
          <w:rFonts w:cs="宋体" w:asciiTheme="minorEastAsia" w:hAnsiTheme="minorEastAsia" w:eastAsiaTheme="minorEastAsia"/>
          <w:color w:val="000000" w:themeColor="text1"/>
          <w:szCs w:val="21"/>
          <w14:textFill>
            <w14:solidFill>
              <w14:schemeClr w14:val="tx1"/>
            </w14:solidFill>
          </w14:textFill>
        </w:rPr>
        <w:t>。</w:t>
      </w:r>
    </w:p>
    <w:p w14:paraId="653E019C">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6.2.3.3  </w:t>
      </w:r>
      <w:r>
        <w:rPr>
          <w:rFonts w:cs="宋体" w:asciiTheme="minorEastAsia" w:hAnsiTheme="minorEastAsia" w:eastAsiaTheme="minorEastAsia"/>
          <w:color w:val="000000" w:themeColor="text1"/>
          <w:szCs w:val="21"/>
          <w14:textFill>
            <w14:solidFill>
              <w14:schemeClr w14:val="tx1"/>
            </w14:solidFill>
          </w14:textFill>
        </w:rPr>
        <w:t>定期进行中耕松土，破除土壤板结，增加透气性，减少水分蒸发。种植时应已施入足量有机肥或缓释肥。种植后2-3个月，可结合灌溉施用稀薄的液态肥</w:t>
      </w:r>
      <w:r>
        <w:rPr>
          <w:rFonts w:hint="eastAsia" w:cs="宋体" w:asciiTheme="minorEastAsia" w:hAnsiTheme="minorEastAsia" w:eastAsiaTheme="minorEastAsia"/>
          <w:color w:val="000000" w:themeColor="text1"/>
          <w:szCs w:val="21"/>
          <w14:textFill>
            <w14:solidFill>
              <w14:schemeClr w14:val="tx1"/>
            </w14:solidFill>
          </w14:textFill>
        </w:rPr>
        <w:t>。</w:t>
      </w:r>
      <w:r>
        <w:rPr>
          <w:rFonts w:cs="宋体" w:asciiTheme="minorEastAsia" w:hAnsiTheme="minorEastAsia" w:eastAsiaTheme="minorEastAsia"/>
          <w:color w:val="000000" w:themeColor="text1"/>
          <w:szCs w:val="21"/>
          <w14:textFill>
            <w14:solidFill>
              <w14:schemeClr w14:val="tx1"/>
            </w14:solidFill>
          </w14:textFill>
        </w:rPr>
        <w:t>每年春季（萌芽期）和秋季（生长后期）各追肥一次。以有机肥、复合肥为主，促进生长和越冬。</w:t>
      </w:r>
    </w:p>
    <w:p w14:paraId="16D0B509">
      <w:pPr>
        <w:pStyle w:val="28"/>
        <w:ind w:firstLine="0" w:firstLineChars="0"/>
        <w:rPr>
          <w:rFonts w:hint="eastAsia"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6.2.3.4  </w:t>
      </w:r>
      <w:r>
        <w:rPr>
          <w:rFonts w:cs="宋体" w:asciiTheme="minorEastAsia" w:hAnsiTheme="minorEastAsia" w:eastAsiaTheme="minorEastAsia"/>
          <w:color w:val="000000" w:themeColor="text1"/>
          <w:szCs w:val="21"/>
          <w14:textFill>
            <w14:solidFill>
              <w14:schemeClr w14:val="tx1"/>
            </w14:solidFill>
          </w14:textFill>
        </w:rPr>
        <w:t>对于新栽植的抗寒性稍差的植物，在入冬前采取根颈培土、涂白、包裹树干或搭建防风障等措施。在土壤封冻前，浇灌一次封冻水</w:t>
      </w:r>
      <w:r>
        <w:rPr>
          <w:rFonts w:hint="eastAsia" w:cs="宋体" w:asciiTheme="minorEastAsia" w:hAnsiTheme="minorEastAsia" w:eastAsiaTheme="minorEastAsia"/>
          <w:color w:val="000000" w:themeColor="text1"/>
          <w:szCs w:val="21"/>
          <w14:textFill>
            <w14:solidFill>
              <w14:schemeClr w14:val="tx1"/>
            </w14:solidFill>
          </w14:textFill>
        </w:rPr>
        <w:t>。</w:t>
      </w:r>
    </w:p>
    <w:p w14:paraId="5FBDDB4E">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6.2.3.5  </w:t>
      </w:r>
      <w:r>
        <w:rPr>
          <w:rFonts w:cs="宋体" w:asciiTheme="minorEastAsia" w:hAnsiTheme="minorEastAsia" w:eastAsiaTheme="minorEastAsia"/>
          <w:color w:val="000000" w:themeColor="text1"/>
          <w:szCs w:val="21"/>
          <w14:textFill>
            <w14:solidFill>
              <w14:schemeClr w14:val="tx1"/>
            </w14:solidFill>
          </w14:textFill>
        </w:rPr>
        <w:t>整个</w:t>
      </w:r>
      <w:r>
        <w:rPr>
          <w:rFonts w:hint="eastAsia" w:cs="宋体" w:asciiTheme="minorEastAsia" w:hAnsiTheme="minorEastAsia" w:eastAsiaTheme="minorEastAsia"/>
          <w:color w:val="000000" w:themeColor="text1"/>
          <w:szCs w:val="21"/>
          <w14:textFill>
            <w14:solidFill>
              <w14:schemeClr w14:val="tx1"/>
            </w14:solidFill>
          </w14:textFill>
        </w:rPr>
        <w:t>管护</w:t>
      </w:r>
      <w:r>
        <w:rPr>
          <w:rFonts w:cs="宋体" w:asciiTheme="minorEastAsia" w:hAnsiTheme="minorEastAsia" w:eastAsiaTheme="minorEastAsia"/>
          <w:color w:val="000000" w:themeColor="text1"/>
          <w:szCs w:val="21"/>
          <w14:textFill>
            <w14:solidFill>
              <w14:schemeClr w14:val="tx1"/>
            </w14:solidFill>
          </w14:textFill>
        </w:rPr>
        <w:t>过程都</w:t>
      </w:r>
      <w:r>
        <w:rPr>
          <w:rFonts w:hint="eastAsia" w:cs="宋体" w:asciiTheme="minorEastAsia" w:hAnsiTheme="minorEastAsia" w:eastAsiaTheme="minorEastAsia"/>
          <w:color w:val="000000" w:themeColor="text1"/>
          <w:szCs w:val="21"/>
          <w14:textFill>
            <w14:solidFill>
              <w14:schemeClr w14:val="tx1"/>
            </w14:solidFill>
          </w14:textFill>
        </w:rPr>
        <w:t>应</w:t>
      </w:r>
      <w:r>
        <w:rPr>
          <w:rFonts w:cs="宋体" w:asciiTheme="minorEastAsia" w:hAnsiTheme="minorEastAsia" w:eastAsiaTheme="minorEastAsia"/>
          <w:color w:val="000000" w:themeColor="text1"/>
          <w:szCs w:val="21"/>
          <w14:textFill>
            <w14:solidFill>
              <w14:schemeClr w14:val="tx1"/>
            </w14:solidFill>
          </w14:textFill>
        </w:rPr>
        <w:t>持续的监测与记录。</w:t>
      </w:r>
    </w:p>
    <w:p w14:paraId="119332A7">
      <w:pPr>
        <w:pStyle w:val="48"/>
        <w:numPr>
          <w:ilvl w:val="1"/>
          <w:numId w:val="0"/>
        </w:numPr>
        <w:spacing w:before="156" w:after="156"/>
        <w:rPr>
          <w:color w:val="000000" w:themeColor="text1"/>
          <w14:textFill>
            <w14:solidFill>
              <w14:schemeClr w14:val="tx1"/>
            </w14:solidFill>
          </w14:textFill>
        </w:rPr>
      </w:pPr>
      <w:bookmarkStart w:id="40" w:name="_Toc32292"/>
      <w:r>
        <w:rPr>
          <w:rFonts w:hint="eastAsia"/>
          <w:color w:val="000000" w:themeColor="text1"/>
          <w14:textFill>
            <w14:solidFill>
              <w14:schemeClr w14:val="tx1"/>
            </w14:solidFill>
          </w14:textFill>
        </w:rPr>
        <w:t>6.2.4  水生植被管护</w:t>
      </w:r>
      <w:bookmarkEnd w:id="40"/>
    </w:p>
    <w:p w14:paraId="570AF90C">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6.2.4.1  </w:t>
      </w:r>
      <w:r>
        <w:rPr>
          <w:rFonts w:cs="宋体" w:asciiTheme="minorEastAsia" w:hAnsiTheme="minorEastAsia" w:eastAsiaTheme="minorEastAsia"/>
          <w:color w:val="000000" w:themeColor="text1"/>
          <w:szCs w:val="21"/>
          <w14:textFill>
            <w14:solidFill>
              <w14:schemeClr w14:val="tx1"/>
            </w14:solidFill>
          </w14:textFill>
        </w:rPr>
        <w:t>水生植物养护</w:t>
      </w:r>
      <w:r>
        <w:rPr>
          <w:rFonts w:hint="eastAsia" w:cs="宋体" w:asciiTheme="minorEastAsia" w:hAnsiTheme="minorEastAsia" w:eastAsiaTheme="minorEastAsia"/>
          <w:color w:val="000000" w:themeColor="text1"/>
          <w:szCs w:val="21"/>
          <w14:textFill>
            <w14:solidFill>
              <w14:schemeClr w14:val="tx1"/>
            </w14:solidFill>
          </w14:textFill>
        </w:rPr>
        <w:t>的</w:t>
      </w:r>
      <w:r>
        <w:rPr>
          <w:rFonts w:cs="宋体" w:asciiTheme="minorEastAsia" w:hAnsiTheme="minorEastAsia" w:eastAsiaTheme="minorEastAsia"/>
          <w:color w:val="000000" w:themeColor="text1"/>
          <w:szCs w:val="21"/>
          <w14:textFill>
            <w14:solidFill>
              <w14:schemeClr w14:val="tx1"/>
            </w14:solidFill>
          </w14:textFill>
        </w:rPr>
        <w:t>核心目标是确保植物存活、促进群落稳定、实现生态系统自我维持，并持续发挥净化水质、巩固修复成果的作用。</w:t>
      </w:r>
    </w:p>
    <w:p w14:paraId="5B012D08">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6.2.4.2  </w:t>
      </w:r>
      <w:r>
        <w:rPr>
          <w:rFonts w:cs="宋体" w:asciiTheme="minorEastAsia" w:hAnsiTheme="minorEastAsia" w:eastAsiaTheme="minorEastAsia"/>
          <w:color w:val="000000" w:themeColor="text1"/>
          <w:szCs w:val="21"/>
          <w14:textFill>
            <w14:solidFill>
              <w14:schemeClr w14:val="tx1"/>
            </w14:solidFill>
          </w14:textFill>
        </w:rPr>
        <w:t>水位管理</w:t>
      </w:r>
      <w:r>
        <w:rPr>
          <w:rFonts w:hint="eastAsia" w:cs="宋体" w:asciiTheme="minorEastAsia" w:hAnsiTheme="minorEastAsia" w:eastAsiaTheme="minorEastAsia"/>
          <w:color w:val="000000" w:themeColor="text1"/>
          <w:szCs w:val="21"/>
          <w14:textFill>
            <w14:solidFill>
              <w14:schemeClr w14:val="tx1"/>
            </w14:solidFill>
          </w14:textFill>
        </w:rPr>
        <w:t>。</w:t>
      </w:r>
      <w:r>
        <w:rPr>
          <w:rFonts w:cs="宋体" w:asciiTheme="minorEastAsia" w:hAnsiTheme="minorEastAsia" w:eastAsiaTheme="minorEastAsia"/>
          <w:color w:val="000000" w:themeColor="text1"/>
          <w:szCs w:val="21"/>
          <w14:textFill>
            <w14:solidFill>
              <w14:schemeClr w14:val="tx1"/>
            </w14:solidFill>
          </w14:textFill>
        </w:rPr>
        <w:t>保持水位稳定，避免剧烈波动淹没植株或使根系暴露。挺水植物（如芦苇、香蒲）</w:t>
      </w:r>
      <w:r>
        <w:rPr>
          <w:rFonts w:hint="eastAsia" w:cs="宋体" w:asciiTheme="minorEastAsia" w:hAnsiTheme="minorEastAsia" w:eastAsiaTheme="minorEastAsia"/>
          <w:color w:val="000000" w:themeColor="text1"/>
          <w:szCs w:val="21"/>
          <w14:textFill>
            <w14:solidFill>
              <w14:schemeClr w14:val="tx1"/>
            </w14:solidFill>
          </w14:textFill>
        </w:rPr>
        <w:t>要</w:t>
      </w:r>
      <w:r>
        <w:rPr>
          <w:rFonts w:cs="宋体" w:asciiTheme="minorEastAsia" w:hAnsiTheme="minorEastAsia" w:eastAsiaTheme="minorEastAsia"/>
          <w:color w:val="000000" w:themeColor="text1"/>
          <w:szCs w:val="21"/>
          <w14:textFill>
            <w14:solidFill>
              <w14:schemeClr w14:val="tx1"/>
            </w14:solidFill>
          </w14:textFill>
        </w:rPr>
        <w:t>保持浅水，确保根系淹没且部分茎叶露出水面。沉水植物（如苦草、眼子菜）确保水深适宜，水质清澈有足够光照。雨季前预降水位，防止新苗被淹；旱季及时补水，防止干涸。</w:t>
      </w:r>
    </w:p>
    <w:p w14:paraId="5729666B">
      <w:pPr>
        <w:pStyle w:val="35"/>
        <w:spacing w:before="0" w:beforeAutospacing="0" w:after="0" w:afterAutospacing="0"/>
        <w:rPr>
          <w:rFonts w:hint="eastAsia"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 xml:space="preserve">6.2.4.3  </w:t>
      </w:r>
      <w:r>
        <w:rPr>
          <w:rFonts w:asciiTheme="minorEastAsia" w:hAnsiTheme="minorEastAsia" w:eastAsiaTheme="minorEastAsia"/>
          <w:color w:val="000000" w:themeColor="text1"/>
          <w:sz w:val="21"/>
          <w:szCs w:val="21"/>
          <w14:textFill>
            <w14:solidFill>
              <w14:schemeClr w14:val="tx1"/>
            </w14:solidFill>
          </w14:textFill>
        </w:rPr>
        <w:t>水质调控</w:t>
      </w:r>
      <w:r>
        <w:rPr>
          <w:rFonts w:hint="eastAsia" w:asciiTheme="minorEastAsia" w:hAnsiTheme="minorEastAsia" w:eastAsiaTheme="minorEastAsia"/>
          <w:color w:val="000000" w:themeColor="text1"/>
          <w:sz w:val="21"/>
          <w:szCs w:val="21"/>
          <w14:textFill>
            <w14:solidFill>
              <w14:schemeClr w14:val="tx1"/>
            </w14:solidFill>
          </w14:textFill>
        </w:rPr>
        <w:t>。</w:t>
      </w:r>
      <w:r>
        <w:rPr>
          <w:rFonts w:asciiTheme="minorEastAsia" w:hAnsiTheme="minorEastAsia" w:eastAsiaTheme="minorEastAsia"/>
          <w:color w:val="000000" w:themeColor="text1"/>
          <w:sz w:val="21"/>
          <w:szCs w:val="21"/>
          <w14:textFill>
            <w14:solidFill>
              <w14:schemeClr w14:val="tx1"/>
            </w14:solidFill>
          </w14:textFill>
        </w:rPr>
        <w:t>矿山水体可能偏酸或偏碱</w:t>
      </w:r>
      <w:r>
        <w:rPr>
          <w:rFonts w:hint="eastAsia" w:asciiTheme="minorEastAsia" w:hAnsiTheme="minorEastAsia" w:eastAsiaTheme="minorEastAsia"/>
          <w:color w:val="000000" w:themeColor="text1"/>
          <w:sz w:val="21"/>
          <w:szCs w:val="21"/>
          <w14:textFill>
            <w14:solidFill>
              <w14:schemeClr w14:val="tx1"/>
            </w14:solidFill>
          </w14:textFill>
        </w:rPr>
        <w:t>，</w:t>
      </w:r>
      <w:r>
        <w:rPr>
          <w:rFonts w:asciiTheme="minorEastAsia" w:hAnsiTheme="minorEastAsia" w:eastAsiaTheme="minorEastAsia"/>
          <w:color w:val="000000" w:themeColor="text1"/>
          <w:sz w:val="21"/>
          <w:szCs w:val="21"/>
          <w14:textFill>
            <w14:solidFill>
              <w14:schemeClr w14:val="tx1"/>
            </w14:solidFill>
          </w14:textFill>
        </w:rPr>
        <w:t>需定期检测，通过投加环境友好药剂（如碳酸钙用于调酸）将pH值稳定在6.5-8.5的适宜范围。保持水体透明度，尤其是对沉水植物。可通过投放滤食性贝类、浮游动物或使用少量絮凝剂（需谨慎）来降低悬浮物，确保光照。种植后1-2个月全面检查，对死亡、缺失区域及时进行补种。对过密或过疏区域进行人工间苗或补栽，促进群落均匀分布。</w:t>
      </w:r>
    </w:p>
    <w:p w14:paraId="6A4B00E4">
      <w:pPr>
        <w:pStyle w:val="35"/>
        <w:spacing w:before="0" w:beforeAutospacing="0" w:after="80" w:afterAutospacing="0"/>
        <w:rPr>
          <w:rFonts w:hint="eastAsia"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 xml:space="preserve">6.2.4.4  </w:t>
      </w:r>
      <w:r>
        <w:rPr>
          <w:rFonts w:asciiTheme="minorEastAsia" w:hAnsiTheme="minorEastAsia" w:eastAsiaTheme="minorEastAsia"/>
          <w:color w:val="000000" w:themeColor="text1"/>
          <w:sz w:val="21"/>
          <w:szCs w:val="21"/>
          <w14:textFill>
            <w14:solidFill>
              <w14:schemeClr w14:val="tx1"/>
            </w14:solidFill>
          </w14:textFill>
        </w:rPr>
        <w:t>群落结构优化</w:t>
      </w:r>
      <w:r>
        <w:rPr>
          <w:rFonts w:hint="eastAsia" w:asciiTheme="minorEastAsia" w:hAnsiTheme="minorEastAsia" w:eastAsiaTheme="minorEastAsia"/>
          <w:color w:val="000000" w:themeColor="text1"/>
          <w:sz w:val="21"/>
          <w:szCs w:val="21"/>
          <w14:textFill>
            <w14:solidFill>
              <w14:schemeClr w14:val="tx1"/>
            </w14:solidFill>
          </w14:textFill>
        </w:rPr>
        <w:t>。</w:t>
      </w:r>
      <w:r>
        <w:rPr>
          <w:rFonts w:asciiTheme="minorEastAsia" w:hAnsiTheme="minorEastAsia" w:eastAsiaTheme="minorEastAsia"/>
          <w:color w:val="000000" w:themeColor="text1"/>
          <w:sz w:val="21"/>
          <w:szCs w:val="21"/>
          <w14:textFill>
            <w14:solidFill>
              <w14:schemeClr w14:val="tx1"/>
            </w14:solidFill>
          </w14:textFill>
        </w:rPr>
        <w:t>允许植物自然扩散，观察物种竞争关系，防止单一物种过度扩张。必要时人工干预，增加生物多样性。</w:t>
      </w:r>
    </w:p>
    <w:p w14:paraId="5A6E2BDA">
      <w:pPr>
        <w:pStyle w:val="35"/>
        <w:spacing w:before="0" w:beforeAutospacing="0" w:after="80" w:afterAutospacing="0"/>
        <w:rPr>
          <w:rFonts w:hint="eastAsia"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color w:val="000000" w:themeColor="text1"/>
          <w:sz w:val="21"/>
          <w:szCs w:val="21"/>
          <w14:textFill>
            <w14:solidFill>
              <w14:schemeClr w14:val="tx1"/>
            </w14:solidFill>
          </w14:textFill>
        </w:rPr>
        <w:t xml:space="preserve">6.2.4.5  </w:t>
      </w:r>
      <w:r>
        <w:rPr>
          <w:rFonts w:asciiTheme="minorEastAsia" w:hAnsiTheme="minorEastAsia" w:eastAsiaTheme="minorEastAsia"/>
          <w:color w:val="000000" w:themeColor="text1"/>
          <w:sz w:val="21"/>
          <w:szCs w:val="21"/>
          <w14:textFill>
            <w14:solidFill>
              <w14:schemeClr w14:val="tx1"/>
            </w14:solidFill>
          </w14:textFill>
        </w:rPr>
        <w:t>病虫害与藻类防控</w:t>
      </w:r>
      <w:r>
        <w:rPr>
          <w:rFonts w:hint="eastAsia" w:asciiTheme="minorEastAsia" w:hAnsiTheme="minorEastAsia" w:eastAsiaTheme="minorEastAsia"/>
          <w:color w:val="000000" w:themeColor="text1"/>
          <w:sz w:val="21"/>
          <w:szCs w:val="21"/>
          <w14:textFill>
            <w14:solidFill>
              <w14:schemeClr w14:val="tx1"/>
            </w14:solidFill>
          </w14:textFill>
        </w:rPr>
        <w:t>以</w:t>
      </w:r>
      <w:r>
        <w:rPr>
          <w:rFonts w:asciiTheme="minorEastAsia" w:hAnsiTheme="minorEastAsia" w:eastAsiaTheme="minorEastAsia"/>
          <w:color w:val="000000" w:themeColor="text1"/>
          <w:sz w:val="21"/>
          <w:szCs w:val="21"/>
          <w14:textFill>
            <w14:solidFill>
              <w14:schemeClr w14:val="tx1"/>
            </w14:solidFill>
          </w14:textFill>
        </w:rPr>
        <w:t>生态防治为主</w:t>
      </w:r>
      <w:r>
        <w:rPr>
          <w:rFonts w:hint="eastAsia" w:asciiTheme="minorEastAsia" w:hAnsiTheme="minorEastAsia" w:eastAsiaTheme="minorEastAsia"/>
          <w:color w:val="000000" w:themeColor="text1"/>
          <w:sz w:val="21"/>
          <w:szCs w:val="21"/>
          <w14:textFill>
            <w14:solidFill>
              <w14:schemeClr w14:val="tx1"/>
            </w14:solidFill>
          </w14:textFill>
        </w:rPr>
        <w:t>，</w:t>
      </w:r>
      <w:r>
        <w:rPr>
          <w:rFonts w:asciiTheme="minorEastAsia" w:hAnsiTheme="minorEastAsia" w:eastAsiaTheme="minorEastAsia"/>
          <w:color w:val="000000" w:themeColor="text1"/>
          <w:sz w:val="21"/>
          <w:szCs w:val="21"/>
          <w14:textFill>
            <w14:solidFill>
              <w14:schemeClr w14:val="tx1"/>
            </w14:solidFill>
          </w14:textFill>
        </w:rPr>
        <w:t>保护或引入天敌（如蜻蜓、青蛙），及时人工清除病叶病株。严禁</w:t>
      </w:r>
      <w:r>
        <w:rPr>
          <w:rFonts w:hint="eastAsia" w:asciiTheme="minorEastAsia" w:hAnsiTheme="minorEastAsia" w:eastAsiaTheme="minorEastAsia"/>
          <w:color w:val="000000" w:themeColor="text1"/>
          <w:sz w:val="21"/>
          <w:szCs w:val="21"/>
          <w14:textFill>
            <w14:solidFill>
              <w14:schemeClr w14:val="tx1"/>
            </w14:solidFill>
          </w14:textFill>
        </w:rPr>
        <w:t>使用</w:t>
      </w:r>
      <w:r>
        <w:rPr>
          <w:rFonts w:asciiTheme="minorEastAsia" w:hAnsiTheme="minorEastAsia" w:eastAsiaTheme="minorEastAsia"/>
          <w:color w:val="000000" w:themeColor="text1"/>
          <w:sz w:val="21"/>
          <w:szCs w:val="21"/>
          <w14:textFill>
            <w14:solidFill>
              <w14:schemeClr w14:val="tx1"/>
            </w14:solidFill>
          </w14:textFill>
        </w:rPr>
        <w:t>化学药剂</w:t>
      </w:r>
      <w:r>
        <w:rPr>
          <w:rFonts w:hint="eastAsia" w:asciiTheme="minorEastAsia" w:hAnsiTheme="minorEastAsia" w:eastAsiaTheme="minorEastAsia"/>
          <w:color w:val="000000" w:themeColor="text1"/>
          <w:sz w:val="21"/>
          <w:szCs w:val="21"/>
          <w14:textFill>
            <w14:solidFill>
              <w14:schemeClr w14:val="tx1"/>
            </w14:solidFill>
          </w14:textFill>
        </w:rPr>
        <w:t>，</w:t>
      </w:r>
      <w:r>
        <w:rPr>
          <w:rFonts w:asciiTheme="minorEastAsia" w:hAnsiTheme="minorEastAsia" w:eastAsiaTheme="minorEastAsia"/>
          <w:color w:val="000000" w:themeColor="text1"/>
          <w:sz w:val="21"/>
          <w:szCs w:val="21"/>
          <w14:textFill>
            <w14:solidFill>
              <w14:schemeClr w14:val="tx1"/>
            </w14:solidFill>
          </w14:textFill>
        </w:rPr>
        <w:t>以防二次污染</w:t>
      </w:r>
      <w:r>
        <w:rPr>
          <w:rFonts w:hint="eastAsia" w:asciiTheme="minorEastAsia" w:hAnsiTheme="minorEastAsia" w:eastAsiaTheme="minorEastAsia"/>
          <w:color w:val="000000" w:themeColor="text1"/>
          <w:sz w:val="21"/>
          <w:szCs w:val="21"/>
          <w14:textFill>
            <w14:solidFill>
              <w14:schemeClr w14:val="tx1"/>
            </w14:solidFill>
          </w14:textFill>
        </w:rPr>
        <w:t>，</w:t>
      </w:r>
      <w:r>
        <w:rPr>
          <w:rFonts w:asciiTheme="minorEastAsia" w:hAnsiTheme="minorEastAsia" w:eastAsiaTheme="minorEastAsia"/>
          <w:color w:val="000000" w:themeColor="text1"/>
          <w:sz w:val="21"/>
          <w:szCs w:val="21"/>
          <w14:textFill>
            <w14:solidFill>
              <w14:schemeClr w14:val="tx1"/>
            </w14:solidFill>
          </w14:textFill>
        </w:rPr>
        <w:t>可选用生物农药或植物源农药。</w:t>
      </w:r>
    </w:p>
    <w:p w14:paraId="4F954228">
      <w:pPr>
        <w:pStyle w:val="48"/>
        <w:numPr>
          <w:ilvl w:val="1"/>
          <w:numId w:val="0"/>
        </w:numPr>
        <w:spacing w:before="156" w:after="156"/>
        <w:rPr>
          <w:color w:val="000000" w:themeColor="text1"/>
          <w14:textFill>
            <w14:solidFill>
              <w14:schemeClr w14:val="tx1"/>
            </w14:solidFill>
          </w14:textFill>
        </w:rPr>
      </w:pPr>
      <w:bookmarkStart w:id="41" w:name="_Toc22571"/>
      <w:r>
        <w:rPr>
          <w:rFonts w:hint="eastAsia"/>
          <w:color w:val="000000" w:themeColor="text1"/>
          <w14:textFill>
            <w14:solidFill>
              <w14:schemeClr w14:val="tx1"/>
            </w14:solidFill>
          </w14:textFill>
        </w:rPr>
        <w:t>6.2.5  草地管护</w:t>
      </w:r>
      <w:bookmarkEnd w:id="41"/>
    </w:p>
    <w:p w14:paraId="2C17CAF4">
      <w:pP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6.2.4.1 </w:t>
      </w:r>
      <w:r>
        <w:rPr>
          <w:rFonts w:hint="eastAsia" w:cs="宋体" w:asciiTheme="minorEastAsia" w:hAnsiTheme="minorEastAsia" w:eastAsiaTheme="minorEastAsia"/>
          <w:color w:val="000000" w:themeColor="text1"/>
          <w:kern w:val="0"/>
          <w:szCs w:val="21"/>
          <w14:textFill>
            <w14:solidFill>
              <w14:schemeClr w14:val="tx1"/>
            </w14:solidFill>
          </w14:textFill>
        </w:rPr>
        <w:t xml:space="preserve"> </w:t>
      </w:r>
      <w:r>
        <w:rPr>
          <w:rFonts w:cs="宋体" w:asciiTheme="minorEastAsia" w:hAnsiTheme="minorEastAsia" w:eastAsiaTheme="minorEastAsia"/>
          <w:color w:val="000000" w:themeColor="text1"/>
          <w:kern w:val="0"/>
          <w:szCs w:val="21"/>
          <w14:textFill>
            <w14:solidFill>
              <w14:schemeClr w14:val="tx1"/>
            </w14:solidFill>
          </w14:textFill>
        </w:rPr>
        <w:t>草地养护核心在于“促根、保墒、控杂草”</w:t>
      </w:r>
      <w:r>
        <w:rPr>
          <w:rFonts w:hint="eastAsia" w:cs="宋体" w:asciiTheme="minorEastAsia" w:hAnsiTheme="minorEastAsia" w:eastAsiaTheme="minorEastAsia"/>
          <w:color w:val="000000" w:themeColor="text1"/>
          <w:kern w:val="0"/>
          <w:szCs w:val="21"/>
          <w14:textFill>
            <w14:solidFill>
              <w14:schemeClr w14:val="tx1"/>
            </w14:solidFill>
          </w14:textFill>
        </w:rPr>
        <w:t>，</w:t>
      </w:r>
      <w:r>
        <w:rPr>
          <w:rFonts w:cs="宋体" w:asciiTheme="minorEastAsia" w:hAnsiTheme="minorEastAsia" w:eastAsiaTheme="minorEastAsia"/>
          <w:color w:val="000000" w:themeColor="text1"/>
          <w:kern w:val="0"/>
          <w:szCs w:val="21"/>
          <w14:textFill>
            <w14:solidFill>
              <w14:schemeClr w14:val="tx1"/>
            </w14:solidFill>
          </w14:textFill>
        </w:rPr>
        <w:t>最终形成稳定且自我维持的生态系统。</w:t>
      </w:r>
    </w:p>
    <w:p w14:paraId="27D1C4FD">
      <w:pPr>
        <w:pStyle w:val="35"/>
        <w:spacing w:before="0" w:beforeAutospacing="0" w:after="0" w:afterAutospacing="0"/>
        <w:rPr>
          <w:rFonts w:hint="eastAsia"/>
          <w:sz w:val="28"/>
          <w:szCs w:val="28"/>
        </w:rPr>
      </w:pPr>
      <w:r>
        <w:rPr>
          <w:rFonts w:hint="eastAsia" w:asciiTheme="minorEastAsia" w:hAnsiTheme="minorEastAsia" w:eastAsiaTheme="minorEastAsia"/>
          <w:color w:val="000000" w:themeColor="text1"/>
          <w:sz w:val="21"/>
          <w:szCs w:val="21"/>
          <w14:textFill>
            <w14:solidFill>
              <w14:schemeClr w14:val="tx1"/>
            </w14:solidFill>
          </w14:textFill>
        </w:rPr>
        <w:t xml:space="preserve">6.2.4.2  </w:t>
      </w:r>
      <w:r>
        <w:rPr>
          <w:rFonts w:asciiTheme="minorEastAsia" w:hAnsiTheme="minorEastAsia" w:eastAsiaTheme="minorEastAsia"/>
          <w:color w:val="000000" w:themeColor="text1"/>
          <w:sz w:val="21"/>
          <w:szCs w:val="21"/>
          <w14:textFill>
            <w14:solidFill>
              <w14:schemeClr w14:val="tx1"/>
            </w14:solidFill>
          </w14:textFill>
        </w:rPr>
        <w:t>灌溉管理</w:t>
      </w:r>
      <w:r>
        <w:rPr>
          <w:rFonts w:hint="eastAsia" w:asciiTheme="minorEastAsia" w:hAnsiTheme="minorEastAsia" w:eastAsiaTheme="minorEastAsia"/>
          <w:color w:val="000000" w:themeColor="text1"/>
          <w:sz w:val="21"/>
          <w:szCs w:val="21"/>
          <w14:textFill>
            <w14:solidFill>
              <w14:schemeClr w14:val="tx1"/>
            </w14:solidFill>
          </w14:textFill>
        </w:rPr>
        <w:t>。</w:t>
      </w:r>
      <w:r>
        <w:rPr>
          <w:rFonts w:asciiTheme="minorEastAsia" w:hAnsiTheme="minorEastAsia" w:eastAsiaTheme="minorEastAsia"/>
          <w:color w:val="000000" w:themeColor="text1"/>
          <w:sz w:val="21"/>
          <w:szCs w:val="21"/>
          <w14:textFill>
            <w14:solidFill>
              <w14:schemeClr w14:val="tx1"/>
            </w14:solidFill>
          </w14:textFill>
        </w:rPr>
        <w:t>播种后至出苗前每天喷灌1-2次，保持表层土壤（2-3厘米）持续湿润，直至齐苗。幼苗期（齐苗后30天内）根据天气，每2-3天浇一次透水，促进根系下扎。成坪期逐渐减少灌溉频率，增加单次灌溉量，诱导根系向深处生长，增强抗旱性。</w:t>
      </w:r>
    </w:p>
    <w:p w14:paraId="357EE94A">
      <w:pPr>
        <w:pStyle w:val="35"/>
        <w:spacing w:before="0" w:beforeAutospacing="0" w:after="0" w:afterAutospacing="0"/>
        <w:rPr>
          <w:rFonts w:hint="eastAsia"/>
          <w:sz w:val="28"/>
          <w:szCs w:val="28"/>
        </w:rPr>
      </w:pPr>
      <w:r>
        <w:rPr>
          <w:rFonts w:hint="eastAsia" w:asciiTheme="minorEastAsia" w:hAnsiTheme="minorEastAsia" w:eastAsiaTheme="minorEastAsia"/>
          <w:color w:val="000000" w:themeColor="text1"/>
          <w:sz w:val="21"/>
          <w:szCs w:val="21"/>
          <w14:textFill>
            <w14:solidFill>
              <w14:schemeClr w14:val="tx1"/>
            </w14:solidFill>
          </w14:textFill>
        </w:rPr>
        <w:t xml:space="preserve">6.2.4.3  </w:t>
      </w:r>
      <w:r>
        <w:rPr>
          <w:rFonts w:asciiTheme="minorEastAsia" w:hAnsiTheme="minorEastAsia" w:eastAsiaTheme="minorEastAsia"/>
          <w:color w:val="000000" w:themeColor="text1"/>
          <w:sz w:val="21"/>
          <w:szCs w:val="21"/>
          <w14:textFill>
            <w14:solidFill>
              <w14:schemeClr w14:val="tx1"/>
            </w14:solidFill>
          </w14:textFill>
        </w:rPr>
        <w:t>追肥管理</w:t>
      </w:r>
      <w:r>
        <w:rPr>
          <w:rFonts w:hint="eastAsia" w:asciiTheme="minorEastAsia" w:hAnsiTheme="minorEastAsia" w:eastAsiaTheme="minorEastAsia"/>
          <w:color w:val="000000" w:themeColor="text1"/>
          <w:sz w:val="21"/>
          <w:szCs w:val="21"/>
          <w14:textFill>
            <w14:solidFill>
              <w14:schemeClr w14:val="tx1"/>
            </w14:solidFill>
          </w14:textFill>
        </w:rPr>
        <w:t>。</w:t>
      </w:r>
      <w:r>
        <w:rPr>
          <w:rFonts w:asciiTheme="minorEastAsia" w:hAnsiTheme="minorEastAsia" w:eastAsiaTheme="minorEastAsia"/>
          <w:color w:val="000000" w:themeColor="text1"/>
          <w:sz w:val="21"/>
          <w:szCs w:val="21"/>
          <w14:textFill>
            <w14:solidFill>
              <w14:schemeClr w14:val="tx1"/>
            </w14:solidFill>
          </w14:textFill>
        </w:rPr>
        <w:t>首次追肥</w:t>
      </w:r>
      <w:r>
        <w:rPr>
          <w:rFonts w:hint="eastAsia" w:asciiTheme="minorEastAsia" w:hAnsiTheme="minorEastAsia" w:eastAsiaTheme="minorEastAsia"/>
          <w:color w:val="000000" w:themeColor="text1"/>
          <w:sz w:val="21"/>
          <w:szCs w:val="21"/>
          <w14:textFill>
            <w14:solidFill>
              <w14:schemeClr w14:val="tx1"/>
            </w14:solidFill>
          </w14:textFill>
        </w:rPr>
        <w:t>在</w:t>
      </w:r>
      <w:r>
        <w:rPr>
          <w:rFonts w:asciiTheme="minorEastAsia" w:hAnsiTheme="minorEastAsia" w:eastAsiaTheme="minorEastAsia"/>
          <w:color w:val="000000" w:themeColor="text1"/>
          <w:sz w:val="21"/>
          <w:szCs w:val="21"/>
          <w14:textFill>
            <w14:solidFill>
              <w14:schemeClr w14:val="tx1"/>
            </w14:solidFill>
          </w14:textFill>
        </w:rPr>
        <w:t>幼苗长出3-4片真叶时，施用一次稀薄的液态氮肥（如尿素溶液）或缓释复合肥，促进幼苗生长。后续追肥</w:t>
      </w:r>
      <w:r>
        <w:rPr>
          <w:rFonts w:hint="eastAsia" w:asciiTheme="minorEastAsia" w:hAnsiTheme="minorEastAsia" w:eastAsiaTheme="minorEastAsia"/>
          <w:color w:val="000000" w:themeColor="text1"/>
          <w:sz w:val="21"/>
          <w:szCs w:val="21"/>
          <w14:textFill>
            <w14:solidFill>
              <w14:schemeClr w14:val="tx1"/>
            </w14:solidFill>
          </w14:textFill>
        </w:rPr>
        <w:t>应</w:t>
      </w:r>
      <w:r>
        <w:rPr>
          <w:rFonts w:asciiTheme="minorEastAsia" w:hAnsiTheme="minorEastAsia" w:eastAsiaTheme="minorEastAsia"/>
          <w:color w:val="000000" w:themeColor="text1"/>
          <w:sz w:val="21"/>
          <w:szCs w:val="21"/>
          <w14:textFill>
            <w14:solidFill>
              <w14:schemeClr w14:val="tx1"/>
            </w14:solidFill>
          </w14:textFill>
        </w:rPr>
        <w:t>根据草种长势，每月或每季度追施一次复合肥，以氮肥为主，辅以磷钾肥。</w:t>
      </w:r>
    </w:p>
    <w:p w14:paraId="60C88B61">
      <w:pPr>
        <w:pStyle w:val="28"/>
        <w:ind w:firstLine="0" w:firstLineChars="0"/>
        <w:rPr>
          <w:rFonts w:hint="eastAsia" w:cs="宋体" w:asciiTheme="minorEastAsia" w:hAnsiTheme="minorEastAsia" w:eastAsiaTheme="minorEastAsia"/>
          <w:color w:val="000000" w:themeColor="text1"/>
          <w:szCs w:val="21"/>
          <w14:textFill>
            <w14:solidFill>
              <w14:schemeClr w14:val="tx1"/>
            </w14:solidFill>
          </w14:textFill>
        </w:rPr>
      </w:pPr>
      <w:r>
        <w:rPr>
          <w:rFonts w:hint="eastAsia" w:cs="宋体" w:asciiTheme="minorEastAsia" w:hAnsiTheme="minorEastAsia" w:eastAsiaTheme="minorEastAsia"/>
          <w:color w:val="000000" w:themeColor="text1"/>
          <w:szCs w:val="21"/>
          <w14:textFill>
            <w14:solidFill>
              <w14:schemeClr w14:val="tx1"/>
            </w14:solidFill>
          </w14:textFill>
        </w:rPr>
        <w:t xml:space="preserve">6.2.4.4  </w:t>
      </w:r>
      <w:r>
        <w:rPr>
          <w:rFonts w:cs="宋体" w:asciiTheme="minorEastAsia" w:hAnsiTheme="minorEastAsia" w:eastAsiaTheme="minorEastAsia"/>
          <w:color w:val="000000" w:themeColor="text1"/>
          <w:szCs w:val="21"/>
          <w14:textFill>
            <w14:solidFill>
              <w14:schemeClr w14:val="tx1"/>
            </w14:solidFill>
          </w14:textFill>
        </w:rPr>
        <w:t>病虫害防治优先采用物理和生物防治。病害以防为主，避免过度灌溉造成湿度过大；虫害可人工捕捉或使用生物农药。</w:t>
      </w:r>
      <w:r>
        <w:rPr>
          <w:rFonts w:hint="eastAsia" w:cs="宋体" w:asciiTheme="minorEastAsia" w:hAnsiTheme="minorEastAsia" w:eastAsiaTheme="minorEastAsia"/>
          <w:color w:val="000000" w:themeColor="text1"/>
          <w:szCs w:val="21"/>
          <w14:textFill>
            <w14:solidFill>
              <w14:schemeClr w14:val="tx1"/>
            </w14:solidFill>
          </w14:textFill>
        </w:rPr>
        <w:t>农药应</w:t>
      </w:r>
      <w:r>
        <w:rPr>
          <w:rFonts w:cs="宋体" w:asciiTheme="minorEastAsia" w:hAnsiTheme="minorEastAsia" w:eastAsiaTheme="minorEastAsia"/>
          <w:color w:val="000000" w:themeColor="text1"/>
          <w:szCs w:val="21"/>
          <w14:textFill>
            <w14:solidFill>
              <w14:schemeClr w14:val="tx1"/>
            </w14:solidFill>
          </w14:textFill>
        </w:rPr>
        <w:t>选择低毒、低残留农药，并严格按说明施用，避免对幼苗造成药害。</w:t>
      </w:r>
    </w:p>
    <w:p w14:paraId="0897FDBB">
      <w:pPr>
        <w:pStyle w:val="48"/>
        <w:numPr>
          <w:ilvl w:val="1"/>
          <w:numId w:val="0"/>
        </w:numPr>
        <w:spacing w:before="156" w:after="156"/>
        <w:rPr>
          <w:color w:val="000000" w:themeColor="text1"/>
          <w14:textFill>
            <w14:solidFill>
              <w14:schemeClr w14:val="tx1"/>
            </w14:solidFill>
          </w14:textFill>
        </w:rPr>
      </w:pPr>
      <w:bookmarkStart w:id="42" w:name="_Toc17631"/>
      <w:r>
        <w:rPr>
          <w:rFonts w:hint="eastAsia"/>
          <w:color w:val="000000" w:themeColor="text1"/>
          <w14:textFill>
            <w14:solidFill>
              <w14:schemeClr w14:val="tx1"/>
            </w14:solidFill>
          </w14:textFill>
        </w:rPr>
        <w:t>6.2.6  土地质量管护</w:t>
      </w:r>
      <w:bookmarkEnd w:id="42"/>
    </w:p>
    <w:p w14:paraId="49ED9B37">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6.2.6.1  土地质量管护应根据矿山自然条件、场地潜在污染风险、土壤重构等持续进行管护。</w:t>
      </w:r>
    </w:p>
    <w:p w14:paraId="3B68743B">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6.2.6.2  根据场地复垦修复方向，适时采取松土、翻耕、施肥、生物化学改良等措施，维持和改善重构土壤的环境质量，实现土地可持续性利用。</w:t>
      </w:r>
    </w:p>
    <w:p w14:paraId="313FE0D0">
      <w:pPr>
        <w:pStyle w:val="52"/>
        <w:numPr>
          <w:ilvl w:val="2"/>
          <w:numId w:val="0"/>
        </w:numPr>
        <w:spacing w:beforeLines="0" w:afterLines="0"/>
        <w:ind w:left="1"/>
        <w:outlineLvl w:val="9"/>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6.2.6.3  复垦质量符合TD/T 1036-2013中相关地类的质量标准，重点管控土壤肥力、污染物含量、土壤结构等核心指标。</w:t>
      </w:r>
    </w:p>
    <w:p w14:paraId="7AA05C2F">
      <w:pPr>
        <w:pStyle w:val="48"/>
        <w:numPr>
          <w:ilvl w:val="1"/>
          <w:numId w:val="0"/>
        </w:numPr>
        <w:spacing w:before="156" w:after="156"/>
        <w:rPr>
          <w:color w:val="000000" w:themeColor="text1"/>
          <w14:textFill>
            <w14:solidFill>
              <w14:schemeClr w14:val="tx1"/>
            </w14:solidFill>
          </w14:textFill>
        </w:rPr>
      </w:pPr>
      <w:bookmarkStart w:id="43" w:name="_Toc24601"/>
      <w:r>
        <w:rPr>
          <w:rFonts w:hint="eastAsia"/>
          <w:color w:val="000000" w:themeColor="text1"/>
          <w14:textFill>
            <w14:solidFill>
              <w14:schemeClr w14:val="tx1"/>
            </w14:solidFill>
          </w14:textFill>
        </w:rPr>
        <w:t>6.3  生态系统功能维护</w:t>
      </w:r>
      <w:bookmarkEnd w:id="43"/>
    </w:p>
    <w:p w14:paraId="74FD61FE">
      <w:pPr>
        <w:pStyle w:val="28"/>
        <w:ind w:firstLine="0" w:firstLineChars="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6.3.1 应</w:t>
      </w:r>
      <w:r>
        <w:rPr>
          <w:rFonts w:hAnsi="宋体" w:cs="宋体"/>
          <w:color w:val="000000" w:themeColor="text1"/>
          <w:szCs w:val="21"/>
          <w14:textFill>
            <w14:solidFill>
              <w14:schemeClr w14:val="tx1"/>
            </w14:solidFill>
          </w14:textFill>
        </w:rPr>
        <w:t>对</w:t>
      </w:r>
      <w:r>
        <w:rPr>
          <w:rFonts w:hint="eastAsia" w:hAnsi="宋体" w:cs="宋体"/>
          <w:color w:val="000000" w:themeColor="text1"/>
          <w:szCs w:val="21"/>
          <w14:textFill>
            <w14:solidFill>
              <w14:schemeClr w14:val="tx1"/>
            </w14:solidFill>
          </w14:textFill>
        </w:rPr>
        <w:t>修复区</w:t>
      </w:r>
      <w:r>
        <w:rPr>
          <w:rFonts w:hAnsi="宋体" w:cs="宋体"/>
          <w:color w:val="000000" w:themeColor="text1"/>
          <w:szCs w:val="21"/>
          <w14:textFill>
            <w14:solidFill>
              <w14:schemeClr w14:val="tx1"/>
            </w14:solidFill>
          </w14:textFill>
        </w:rPr>
        <w:t>关键物种和生物多样性进行持续观测，</w:t>
      </w:r>
      <w:r>
        <w:rPr>
          <w:rFonts w:hint="eastAsia" w:hAnsi="宋体" w:cs="宋体"/>
          <w:color w:val="000000" w:themeColor="text1"/>
          <w:szCs w:val="21"/>
          <w14:textFill>
            <w14:solidFill>
              <w14:schemeClr w14:val="tx1"/>
            </w14:solidFill>
          </w14:textFill>
        </w:rPr>
        <w:t>植被成活率不应低于85%，</w:t>
      </w:r>
      <w:r>
        <w:rPr>
          <w:rFonts w:hAnsi="宋体" w:cs="宋体"/>
          <w:color w:val="000000" w:themeColor="text1"/>
          <w:szCs w:val="21"/>
          <w14:textFill>
            <w14:solidFill>
              <w14:schemeClr w14:val="tx1"/>
            </w14:solidFill>
          </w14:textFill>
        </w:rPr>
        <w:t>使修复后的生态系统由形态恢复逐步过渡到功能恢复。</w:t>
      </w:r>
      <w:r>
        <w:rPr>
          <w:rFonts w:hint="eastAsia" w:hAnsi="宋体" w:cs="宋体"/>
          <w:color w:val="000000" w:themeColor="text1"/>
          <w:szCs w:val="21"/>
          <w14:textFill>
            <w14:solidFill>
              <w14:schemeClr w14:val="tx1"/>
            </w14:solidFill>
          </w14:textFill>
        </w:rPr>
        <w:br w:type="textWrapping"/>
      </w:r>
      <w:r>
        <w:rPr>
          <w:rFonts w:hint="eastAsia" w:hAnsi="宋体" w:cs="宋体"/>
          <w:color w:val="000000" w:themeColor="text1"/>
          <w:szCs w:val="21"/>
          <w14:textFill>
            <w14:solidFill>
              <w14:schemeClr w14:val="tx1"/>
            </w14:solidFill>
          </w14:textFill>
        </w:rPr>
        <w:t>6.3.2 应</w:t>
      </w:r>
      <w:r>
        <w:rPr>
          <w:rFonts w:hAnsi="宋体" w:cs="宋体"/>
          <w:color w:val="000000" w:themeColor="text1"/>
          <w:szCs w:val="21"/>
          <w14:textFill>
            <w14:solidFill>
              <w14:schemeClr w14:val="tx1"/>
            </w14:solidFill>
          </w14:textFill>
        </w:rPr>
        <w:t>维持</w:t>
      </w:r>
      <w:r>
        <w:rPr>
          <w:rFonts w:hint="eastAsia" w:hAnsi="宋体" w:cs="宋体"/>
          <w:color w:val="000000" w:themeColor="text1"/>
          <w:szCs w:val="21"/>
          <w14:textFill>
            <w14:solidFill>
              <w14:schemeClr w14:val="tx1"/>
            </w14:solidFill>
          </w14:textFill>
        </w:rPr>
        <w:t>对矿山所在地理单元和生态空间</w:t>
      </w:r>
      <w:r>
        <w:rPr>
          <w:rFonts w:hAnsi="宋体" w:cs="宋体"/>
          <w:color w:val="000000" w:themeColor="text1"/>
          <w:szCs w:val="21"/>
          <w14:textFill>
            <w14:solidFill>
              <w14:schemeClr w14:val="tx1"/>
            </w14:solidFill>
          </w14:textFill>
        </w:rPr>
        <w:t>物种种类和组成，保护生物多样性，实现植物生物群落的恢复，提高生态系统的生产力和自我维持力。</w:t>
      </w:r>
      <w:r>
        <w:rPr>
          <w:rFonts w:hint="eastAsia" w:hAnsi="宋体" w:cs="宋体"/>
          <w:color w:val="000000" w:themeColor="text1"/>
          <w:szCs w:val="21"/>
          <w14:textFill>
            <w14:solidFill>
              <w14:schemeClr w14:val="tx1"/>
            </w14:solidFill>
          </w14:textFill>
        </w:rPr>
        <w:br w:type="textWrapping"/>
      </w:r>
      <w:r>
        <w:rPr>
          <w:rFonts w:hint="eastAsia" w:hAnsi="宋体" w:cs="宋体"/>
          <w:color w:val="000000" w:themeColor="text1"/>
          <w:szCs w:val="21"/>
          <w14:textFill>
            <w14:solidFill>
              <w14:schemeClr w14:val="tx1"/>
            </w14:solidFill>
          </w14:textFill>
        </w:rPr>
        <w:t xml:space="preserve">6.3.3 </w:t>
      </w:r>
      <w:r>
        <w:rPr>
          <w:rFonts w:hAnsi="宋体" w:cs="宋体"/>
          <w:color w:val="000000" w:themeColor="text1"/>
          <w:szCs w:val="21"/>
          <w14:textFill>
            <w14:solidFill>
              <w14:schemeClr w14:val="tx1"/>
            </w14:solidFill>
          </w14:textFill>
        </w:rPr>
        <w:t>消除动物生长的限制性因子，营造良好的动物栖息地，恢复生境连通，引导动物回归。</w:t>
      </w:r>
      <w:r>
        <w:rPr>
          <w:rFonts w:hint="eastAsia" w:hAnsi="宋体" w:cs="宋体"/>
          <w:color w:val="000000" w:themeColor="text1"/>
          <w:szCs w:val="21"/>
          <w14:textFill>
            <w14:solidFill>
              <w14:schemeClr w14:val="tx1"/>
            </w14:solidFill>
          </w14:textFill>
        </w:rPr>
        <w:br w:type="textWrapping"/>
      </w:r>
      <w:r>
        <w:rPr>
          <w:rFonts w:hint="eastAsia" w:hAnsi="宋体" w:cs="宋体"/>
          <w:color w:val="000000" w:themeColor="text1"/>
          <w:szCs w:val="21"/>
          <w14:textFill>
            <w14:solidFill>
              <w14:schemeClr w14:val="tx1"/>
            </w14:solidFill>
          </w14:textFill>
        </w:rPr>
        <w:t>6.3.</w:t>
      </w:r>
      <w:r>
        <w:rPr>
          <w:rFonts w:hAnsi="宋体" w:cs="宋体"/>
          <w:color w:val="000000" w:themeColor="text1"/>
          <w:szCs w:val="21"/>
          <w14:textFill>
            <w14:solidFill>
              <w14:schemeClr w14:val="tx1"/>
            </w14:solidFill>
          </w14:textFill>
        </w:rPr>
        <w:t>4 降低重建生态系统水灾、旱灾、虫灾、火灾等风险，维持生态系统的相对稳定性，保障土地资源、水资源、生物资源、景观资源和人居环境的可持续利用。</w:t>
      </w:r>
    </w:p>
    <w:p w14:paraId="37A55545">
      <w:pPr>
        <w:pStyle w:val="51"/>
        <w:spacing w:before="312" w:after="312"/>
        <w:rPr>
          <w:color w:val="000000" w:themeColor="text1"/>
          <w:szCs w:val="21"/>
          <w14:textFill>
            <w14:solidFill>
              <w14:schemeClr w14:val="tx1"/>
            </w14:solidFill>
          </w14:textFill>
        </w:rPr>
      </w:pPr>
      <w:bookmarkStart w:id="44" w:name="_Toc13657"/>
      <w:r>
        <w:rPr>
          <w:rFonts w:hint="eastAsia"/>
          <w:color w:val="000000" w:themeColor="text1"/>
          <w:szCs w:val="21"/>
          <w14:textFill>
            <w14:solidFill>
              <w14:schemeClr w14:val="tx1"/>
            </w14:solidFill>
          </w14:textFill>
        </w:rPr>
        <w:t>后期管护成效监测与评估</w:t>
      </w:r>
      <w:bookmarkEnd w:id="44"/>
    </w:p>
    <w:p w14:paraId="5CC5059E">
      <w:pPr>
        <w:pStyle w:val="28"/>
        <w:ind w:firstLine="0" w:firstLineChars="0"/>
        <w:rPr>
          <w:rFonts w:hint="eastAsia" w:hAnsi="宋体" w:cs="宋体"/>
          <w:color w:val="000000" w:themeColor="text1"/>
          <w:szCs w:val="21"/>
          <w14:textFill>
            <w14:solidFill>
              <w14:schemeClr w14:val="tx1"/>
            </w14:solidFill>
          </w14:textFill>
        </w:rPr>
      </w:pPr>
      <w:r>
        <w:rPr>
          <w:rFonts w:hint="eastAsia" w:ascii="黑体" w:eastAsia="黑体"/>
          <w:color w:val="000000" w:themeColor="text1"/>
          <w:szCs w:val="21"/>
          <w14:textFill>
            <w14:solidFill>
              <w14:schemeClr w14:val="tx1"/>
            </w14:solidFill>
          </w14:textFill>
        </w:rPr>
        <w:t>7.1  一般规定</w:t>
      </w:r>
      <w:r>
        <w:rPr>
          <w:rFonts w:hAnsi="宋体" w:cs="宋体"/>
          <w:color w:val="000000" w:themeColor="text1"/>
          <w:szCs w:val="21"/>
          <w14:textFill>
            <w14:solidFill>
              <w14:schemeClr w14:val="tx1"/>
            </w14:solidFill>
          </w14:textFill>
        </w:rPr>
        <w:br w:type="textWrapping"/>
      </w:r>
      <w:r>
        <w:rPr>
          <w:rFonts w:hAnsi="宋体" w:cs="宋体"/>
          <w:color w:val="000000" w:themeColor="text1"/>
          <w:szCs w:val="21"/>
          <w14:textFill>
            <w14:solidFill>
              <w14:schemeClr w14:val="tx1"/>
            </w14:solidFill>
          </w14:textFill>
        </w:rPr>
        <w:t>监测与评估工作应贯穿管护工作全过程，遵循“全面覆盖、动态跟踪、客观准确”的原则，全面反映管护工作成效、生态系统稳定性及植被演替进度。</w:t>
      </w:r>
    </w:p>
    <w:p w14:paraId="0D75582A">
      <w:pPr>
        <w:pStyle w:val="28"/>
        <w:ind w:firstLine="0" w:firstLineChars="0"/>
        <w:rPr>
          <w:rFonts w:hint="eastAsia" w:hAnsi="宋体" w:cs="宋体"/>
          <w:color w:val="000000" w:themeColor="text1"/>
          <w:szCs w:val="21"/>
          <w14:textFill>
            <w14:solidFill>
              <w14:schemeClr w14:val="tx1"/>
            </w14:solidFill>
          </w14:textFill>
        </w:rPr>
      </w:pPr>
      <w:r>
        <w:rPr>
          <w:rFonts w:hint="eastAsia" w:ascii="黑体" w:eastAsia="黑体"/>
          <w:color w:val="000000" w:themeColor="text1"/>
          <w:szCs w:val="21"/>
          <w14:textFill>
            <w14:solidFill>
              <w14:schemeClr w14:val="tx1"/>
            </w14:solidFill>
          </w14:textFill>
        </w:rPr>
        <w:t>7.2  监测内容与要求</w:t>
      </w:r>
      <w:r>
        <w:rPr>
          <w:rFonts w:hAnsi="宋体" w:cs="宋体"/>
          <w:color w:val="000000" w:themeColor="text1"/>
          <w:szCs w:val="21"/>
          <w14:textFill>
            <w14:solidFill>
              <w14:schemeClr w14:val="tx1"/>
            </w14:solidFill>
          </w14:textFill>
        </w:rPr>
        <w:br w:type="textWrapping"/>
      </w:r>
      <w:r>
        <w:rPr>
          <w:rFonts w:hAnsi="宋体" w:cs="宋体"/>
          <w:color w:val="000000" w:themeColor="text1"/>
          <w:szCs w:val="21"/>
          <w14:textFill>
            <w14:solidFill>
              <w14:schemeClr w14:val="tx1"/>
            </w14:solidFill>
          </w14:textFill>
        </w:rPr>
        <w:t>围绕地质灾害、水土保持、植被生态、环境质量四大类型开展监测，建立完整监测台账；常规监测每季度不少于1次，特殊时段加密频次，监测工作符合GB/T 43935要求。</w:t>
      </w:r>
    </w:p>
    <w:p w14:paraId="69C40DF6">
      <w:pPr>
        <w:pStyle w:val="28"/>
        <w:ind w:firstLine="0" w:firstLineChars="0"/>
        <w:rPr>
          <w:rFonts w:hint="eastAsia" w:hAnsi="宋体" w:cs="宋体"/>
          <w:color w:val="000000" w:themeColor="text1"/>
          <w:szCs w:val="21"/>
          <w14:textFill>
            <w14:solidFill>
              <w14:schemeClr w14:val="tx1"/>
            </w14:solidFill>
          </w14:textFill>
        </w:rPr>
      </w:pPr>
      <w:r>
        <w:rPr>
          <w:rFonts w:hint="eastAsia" w:ascii="黑体" w:eastAsia="黑体"/>
          <w:color w:val="000000" w:themeColor="text1"/>
          <w:szCs w:val="21"/>
          <w14:textFill>
            <w14:solidFill>
              <w14:schemeClr w14:val="tx1"/>
            </w14:solidFill>
          </w14:textFill>
        </w:rPr>
        <w:t>7.3  成效评估</w:t>
      </w:r>
      <w:r>
        <w:rPr>
          <w:rFonts w:hAnsi="宋体" w:cs="宋体"/>
          <w:color w:val="000000" w:themeColor="text1"/>
          <w:szCs w:val="21"/>
          <w14:textFill>
            <w14:solidFill>
              <w14:schemeClr w14:val="tx1"/>
            </w14:solidFill>
          </w14:textFill>
        </w:rPr>
        <w:br w:type="textWrapping"/>
      </w:r>
      <w:r>
        <w:rPr>
          <w:rFonts w:hAnsi="宋体" w:cs="宋体"/>
          <w:color w:val="000000" w:themeColor="text1"/>
          <w:szCs w:val="21"/>
          <w14:textFill>
            <w14:solidFill>
              <w14:schemeClr w14:val="tx1"/>
            </w14:solidFill>
          </w14:textFill>
        </w:rPr>
        <w:t>7.3.1  评估主体：明确项目验收与成效评估均由具备生态环境或工程咨询评估相应资质的第三方机构开展，确保客观、公正、科学。</w:t>
      </w:r>
      <w:r>
        <w:rPr>
          <w:rFonts w:hAnsi="宋体" w:cs="宋体"/>
          <w:color w:val="000000" w:themeColor="text1"/>
          <w:szCs w:val="21"/>
          <w14:textFill>
            <w14:solidFill>
              <w14:schemeClr w14:val="tx1"/>
            </w14:solidFill>
          </w14:textFill>
        </w:rPr>
        <w:br w:type="textWrapping"/>
      </w:r>
      <w:r>
        <w:rPr>
          <w:rFonts w:hAnsi="宋体" w:cs="宋体"/>
          <w:color w:val="000000" w:themeColor="text1"/>
          <w:szCs w:val="21"/>
          <w14:textFill>
            <w14:solidFill>
              <w14:schemeClr w14:val="tx1"/>
            </w14:solidFill>
          </w14:textFill>
        </w:rPr>
        <w:t>7.3.2  评估类型：分为年度评估和管护期届满评估，年度评估用于方案调整与工作考核，届满评估作为管护验收、终止的核心依据。</w:t>
      </w:r>
      <w:r>
        <w:rPr>
          <w:rFonts w:hAnsi="宋体" w:cs="宋体"/>
          <w:color w:val="000000" w:themeColor="text1"/>
          <w:szCs w:val="21"/>
          <w14:textFill>
            <w14:solidFill>
              <w14:schemeClr w14:val="tx1"/>
            </w14:solidFill>
          </w14:textFill>
        </w:rPr>
        <w:br w:type="textWrapping"/>
      </w:r>
      <w:r>
        <w:rPr>
          <w:rFonts w:hAnsi="宋体" w:cs="宋体"/>
          <w:color w:val="000000" w:themeColor="text1"/>
          <w:szCs w:val="21"/>
          <w14:textFill>
            <w14:solidFill>
              <w14:schemeClr w14:val="tx1"/>
            </w14:solidFill>
          </w14:textFill>
        </w:rPr>
        <w:t>7.3.3  现场验收要求：第三方机构开展现场验收时，需核查工程设施完好情况、植被演替进度、监测数据真实性，实地排查地质灾害与生态隐患，形成详细的现场验收报告，明确验收结论。</w:t>
      </w:r>
    </w:p>
    <w:p w14:paraId="215873E1">
      <w:pPr>
        <w:pStyle w:val="51"/>
        <w:numPr>
          <w:ilvl w:val="0"/>
          <w:numId w:val="0"/>
        </w:numPr>
        <w:spacing w:before="312" w:after="312"/>
        <w:rPr>
          <w:color w:val="000000" w:themeColor="text1"/>
          <w:szCs w:val="21"/>
          <w14:textFill>
            <w14:solidFill>
              <w14:schemeClr w14:val="tx1"/>
            </w14:solidFill>
          </w14:textFill>
        </w:rPr>
      </w:pPr>
      <w:bookmarkStart w:id="45" w:name="_Toc8190"/>
      <w:r>
        <w:rPr>
          <w:rFonts w:hint="eastAsia"/>
          <w:color w:val="000000" w:themeColor="text1"/>
          <w:szCs w:val="21"/>
          <w14:textFill>
            <w14:solidFill>
              <w14:schemeClr w14:val="tx1"/>
            </w14:solidFill>
          </w14:textFill>
        </w:rPr>
        <w:t>8  管护资料管理</w:t>
      </w:r>
      <w:bookmarkEnd w:id="45"/>
    </w:p>
    <w:p w14:paraId="59624C96">
      <w:pPr>
        <w:pStyle w:val="28"/>
        <w:ind w:firstLine="0" w:firstLineChars="0"/>
        <w:rPr>
          <w:rFonts w:hint="eastAsia"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8.1  管护资料应实行全过程管理，确保资料真实、完整、规范、可追溯，及时整理归档。</w:t>
      </w:r>
    </w:p>
    <w:p w14:paraId="2B210C22">
      <w:pPr>
        <w:pStyle w:val="28"/>
        <w:ind w:firstLine="0" w:firstLineChars="0"/>
        <w:rPr>
          <w:rFonts w:hint="eastAsia"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8.2  管护资料应包括但不限于：管护方案及调整文件、施工与管护交接协议、管护工作台账、巡查与监测数据、工程维护记录、影像资料、年度评估报告、第三方届满评估报告、现场验收文件、管护报告等。</w:t>
      </w:r>
    </w:p>
    <w:p w14:paraId="2DDB2E93">
      <w:pPr>
        <w:pStyle w:val="28"/>
        <w:ind w:firstLine="0" w:firstLineChars="0"/>
        <w:rPr>
          <w:rFonts w:hint="eastAsia"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8.3  管护期结束后，应将全部管护资料分类标注、统一编号、规范存档，存档期限应符合相关档案管理规定。</w:t>
      </w:r>
    </w:p>
    <w:p w14:paraId="4C96760C">
      <w:pPr>
        <w:pStyle w:val="28"/>
      </w:pPr>
    </w:p>
    <w:p w14:paraId="433B907D">
      <w:pPr>
        <w:pStyle w:val="28"/>
        <w:rPr>
          <w:color w:val="000000" w:themeColor="text1"/>
          <w:szCs w:val="21"/>
          <w14:textFill>
            <w14:solidFill>
              <w14:schemeClr w14:val="tx1"/>
            </w14:solidFill>
          </w14:textFill>
        </w:rPr>
        <w:sectPr>
          <w:footerReference r:id="rId5" w:type="default"/>
          <w:pgSz w:w="11906" w:h="16838"/>
          <w:pgMar w:top="567" w:right="1134" w:bottom="1134" w:left="1418" w:header="1418" w:footer="1134" w:gutter="0"/>
          <w:pgNumType w:start="1"/>
          <w:cols w:space="425" w:num="1"/>
          <w:formProt w:val="0"/>
          <w:docGrid w:type="lines" w:linePitch="312" w:charSpace="0"/>
        </w:sectPr>
      </w:pPr>
    </w:p>
    <w:p w14:paraId="5F22D4FD">
      <w:pPr>
        <w:pStyle w:val="90"/>
        <w:spacing w:before="0" w:after="0"/>
        <w:rPr>
          <w:color w:val="000000" w:themeColor="text1"/>
          <w:szCs w:val="21"/>
          <w14:textFill>
            <w14:solidFill>
              <w14:schemeClr w14:val="tx1"/>
            </w14:solidFill>
          </w14:textFill>
        </w:rPr>
      </w:pPr>
      <w:bookmarkStart w:id="46" w:name="_Toc17230"/>
      <w:r>
        <w:rPr>
          <w:color w:val="000000" w:themeColor="text1"/>
          <w:szCs w:val="21"/>
          <w14:textFill>
            <w14:solidFill>
              <w14:schemeClr w14:val="tx1"/>
            </w14:solidFill>
          </w14:textFill>
        </w:rPr>
        <w:t>附 录 A</w:t>
      </w:r>
      <w:bookmarkEnd w:id="46"/>
    </w:p>
    <w:p w14:paraId="5651D5FC">
      <w:pPr>
        <w:pStyle w:val="90"/>
        <w:spacing w:before="0" w:after="0"/>
        <w:rPr>
          <w:color w:val="000000" w:themeColor="text1"/>
          <w:szCs w:val="21"/>
          <w14:textFill>
            <w14:solidFill>
              <w14:schemeClr w14:val="tx1"/>
            </w14:solidFill>
          </w14:textFill>
        </w:rPr>
      </w:pPr>
      <w:bookmarkStart w:id="47" w:name="_Toc2132"/>
      <w:bookmarkStart w:id="48" w:name="_Toc5991"/>
      <w:r>
        <w:rPr>
          <w:rFonts w:hint="eastAsia"/>
          <w:color w:val="000000" w:themeColor="text1"/>
          <w:szCs w:val="21"/>
          <w14:textFill>
            <w14:solidFill>
              <w14:schemeClr w14:val="tx1"/>
            </w14:solidFill>
          </w14:textFill>
        </w:rPr>
        <w:t>（资料性）</w:t>
      </w:r>
      <w:bookmarkEnd w:id="47"/>
      <w:bookmarkEnd w:id="48"/>
    </w:p>
    <w:p w14:paraId="1C8B09DA">
      <w:pPr>
        <w:pStyle w:val="90"/>
        <w:spacing w:before="0" w:after="0"/>
        <w:rPr>
          <w:color w:val="000000" w:themeColor="text1"/>
          <w:szCs w:val="21"/>
          <w14:textFill>
            <w14:solidFill>
              <w14:schemeClr w14:val="tx1"/>
            </w14:solidFill>
          </w14:textFill>
        </w:rPr>
      </w:pPr>
      <w:bookmarkStart w:id="49" w:name="_Toc25170"/>
      <w:bookmarkStart w:id="50" w:name="_Toc6457"/>
      <w:r>
        <w:rPr>
          <w:rFonts w:hint="eastAsia"/>
          <w:color w:val="000000" w:themeColor="text1"/>
          <w:szCs w:val="21"/>
          <w14:textFill>
            <w14:solidFill>
              <w14:schemeClr w14:val="tx1"/>
            </w14:solidFill>
          </w14:textFill>
        </w:rPr>
        <w:t>后期管护工作流程图</w:t>
      </w:r>
      <w:bookmarkEnd w:id="49"/>
      <w:bookmarkEnd w:id="50"/>
    </w:p>
    <w:p w14:paraId="1D05B9DA">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后期管护工作流程图参见附录A。</w:t>
      </w:r>
    </w:p>
    <w:p w14:paraId="7FB7A8DF">
      <w:r>
        <mc:AlternateContent>
          <mc:Choice Requires="wps">
            <w:drawing>
              <wp:anchor distT="0" distB="0" distL="114300" distR="114300" simplePos="0" relativeHeight="251687936" behindDoc="0" locked="0" layoutInCell="1" allowOverlap="1">
                <wp:simplePos x="0" y="0"/>
                <wp:positionH relativeFrom="column">
                  <wp:posOffset>4768215</wp:posOffset>
                </wp:positionH>
                <wp:positionV relativeFrom="paragraph">
                  <wp:posOffset>2284095</wp:posOffset>
                </wp:positionV>
                <wp:extent cx="103505" cy="2540"/>
                <wp:effectExtent l="0" t="0" r="0" b="0"/>
                <wp:wrapNone/>
                <wp:docPr id="30" name="直接连接符 30"/>
                <wp:cNvGraphicFramePr/>
                <a:graphic xmlns:a="http://schemas.openxmlformats.org/drawingml/2006/main">
                  <a:graphicData uri="http://schemas.microsoft.com/office/word/2010/wordprocessingShape">
                    <wps:wsp>
                      <wps:cNvCnPr/>
                      <wps:spPr>
                        <a:xfrm flipV="1">
                          <a:off x="5637530" y="3075940"/>
                          <a:ext cx="103505" cy="254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75.45pt;margin-top:179.85pt;height:0.2pt;width:8.15pt;z-index:251687936;mso-width-relative:page;mso-height-relative:page;" filled="f" stroked="t" coordsize="21600,21600" o:gfxdata="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mIKHLbAAAACwEAAA8AAAAAAAAAAQAgAAAAIgAAAGRycy9kb3ducmV2&#10;LnhtbFBLAQIUABQAAAAIAIdO4kALhxds+QEAAMsDAAAOAAAAAAAAAAEAIAAAACoBAABkcnMvZTJv&#10;RG9jLnhtbFBLBQYAAAAABgAGAFkBAACVBQAAAAA=&#10;">
                <v:fill on="f" focussize="0,0"/>
                <v:stroke color="#000000 [3200]" miterlimit="8" joinstyle="miter"/>
                <v:imagedata o:title=""/>
                <o:lock v:ext="edit" aspectratio="f"/>
              </v:line>
            </w:pict>
          </mc:Fallback>
        </mc:AlternateContent>
      </w:r>
    </w:p>
    <w:p w14:paraId="43D67A8F">
      <w:pPr>
        <w:pStyle w:val="28"/>
      </w:pPr>
    </w:p>
    <w:p w14:paraId="16288A0E">
      <w:pPr>
        <w:pStyle w:val="28"/>
        <w:tabs>
          <w:tab w:val="left" w:pos="546"/>
          <w:tab w:val="clear" w:pos="4201"/>
        </w:tabs>
        <w:rPr>
          <w:color w:val="000000" w:themeColor="text1"/>
          <w:szCs w:val="21"/>
          <w14:textFill>
            <w14:solidFill>
              <w14:schemeClr w14:val="tx1"/>
            </w14:solidFill>
          </w14:textFill>
        </w:rPr>
        <w:sectPr>
          <w:footerReference r:id="rId6" w:type="default"/>
          <w:pgSz w:w="11906" w:h="16838"/>
          <w:pgMar w:top="567" w:right="1134" w:bottom="1134" w:left="1418" w:header="1418" w:footer="1134" w:gutter="0"/>
          <w:pgNumType w:start="1"/>
          <w:cols w:space="425" w:num="1"/>
          <w:formProt w:val="0"/>
          <w:docGrid w:type="lines" w:linePitch="312" w:charSpace="0"/>
        </w:sectPr>
      </w:pPr>
      <w:r>
        <mc:AlternateContent>
          <mc:Choice Requires="wps">
            <w:drawing>
              <wp:anchor distT="0" distB="0" distL="114300" distR="114300" simplePos="0" relativeHeight="251662336" behindDoc="0" locked="0" layoutInCell="1" allowOverlap="1">
                <wp:simplePos x="0" y="0"/>
                <wp:positionH relativeFrom="column">
                  <wp:posOffset>4829175</wp:posOffset>
                </wp:positionH>
                <wp:positionV relativeFrom="paragraph">
                  <wp:posOffset>4368165</wp:posOffset>
                </wp:positionV>
                <wp:extent cx="36195" cy="81280"/>
                <wp:effectExtent l="4445" t="1905" r="16510" b="12065"/>
                <wp:wrapNone/>
                <wp:docPr id="76" name="直接连接符 76"/>
                <wp:cNvGraphicFramePr/>
                <a:graphic xmlns:a="http://schemas.openxmlformats.org/drawingml/2006/main">
                  <a:graphicData uri="http://schemas.microsoft.com/office/word/2010/wordprocessingShape">
                    <wps:wsp>
                      <wps:cNvCnPr/>
                      <wps:spPr>
                        <a:xfrm flipH="1">
                          <a:off x="0" y="0"/>
                          <a:ext cx="36195" cy="8128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80.25pt;margin-top:343.95pt;height:6.4pt;width:2.85pt;z-index:251662336;mso-width-relative:page;mso-height-relative:page;" filled="f" stroked="t" coordsize="21600,21600" o:gfxdata="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s1TgdsAAAALAQAADwAAAAAAAAABACAAAAAiAAAAZHJzL2Rvd25yZXYueG1sUEsBAhQA&#10;FAAAAAgAh07iQBMF6eTvAQAAvwMAAA4AAAAAAAAAAQAgAAAAKgEAAGRycy9lMm9Eb2MueG1sUEsF&#10;BgAAAAAGAAYAWQEAAIs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4867910</wp:posOffset>
                </wp:positionH>
                <wp:positionV relativeFrom="paragraph">
                  <wp:posOffset>4364990</wp:posOffset>
                </wp:positionV>
                <wp:extent cx="37465" cy="82550"/>
                <wp:effectExtent l="4445" t="1905" r="15240" b="10795"/>
                <wp:wrapNone/>
                <wp:docPr id="75" name="直接连接符 75"/>
                <wp:cNvGraphicFramePr/>
                <a:graphic xmlns:a="http://schemas.openxmlformats.org/drawingml/2006/main">
                  <a:graphicData uri="http://schemas.microsoft.com/office/word/2010/wordprocessingShape">
                    <wps:wsp>
                      <wps:cNvCnPr/>
                      <wps:spPr>
                        <a:xfrm>
                          <a:off x="0" y="0"/>
                          <a:ext cx="37465" cy="825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83.3pt;margin-top:343.7pt;height:6.5pt;width:2.95pt;z-index:251663360;mso-width-relative:page;mso-height-relative:page;" filled="f" stroked="t" coordsize="21600,21600" o:gfxdata="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Sm&#10;utsAAAALAQAADwAAAAAAAAABACAAAAAiAAAAZHJzL2Rvd25yZXYueG1sUEsBAhQAFAAAAAgAh07i&#10;QLVDvqDmAQAAtQMAAA4AAAAAAAAAAQAgAAAAKgEAAGRycy9lMm9Eb2MueG1sUEsFBgAAAAAGAAYA&#10;WQEAAII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4830445</wp:posOffset>
                </wp:positionH>
                <wp:positionV relativeFrom="paragraph">
                  <wp:posOffset>2586355</wp:posOffset>
                </wp:positionV>
                <wp:extent cx="36195" cy="81280"/>
                <wp:effectExtent l="4445" t="1905" r="16510" b="12065"/>
                <wp:wrapNone/>
                <wp:docPr id="33" name="直接连接符 33"/>
                <wp:cNvGraphicFramePr/>
                <a:graphic xmlns:a="http://schemas.openxmlformats.org/drawingml/2006/main">
                  <a:graphicData uri="http://schemas.microsoft.com/office/word/2010/wordprocessingShape">
                    <wps:wsp>
                      <wps:cNvCnPr/>
                      <wps:spPr>
                        <a:xfrm flipH="1">
                          <a:off x="5717540" y="3615055"/>
                          <a:ext cx="36195" cy="8128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80.35pt;margin-top:203.65pt;height:6.4pt;width:2.85pt;z-index:251689984;mso-width-relative:page;mso-height-relative:page;" filled="f" stroked="t" coordsize="21600,21600" o:gfxdata="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GjCKHbAAAACwEAAA8AAAAAAAAAAQAgAAAAIgAAAGRycy9kb3du&#10;cmV2LnhtbFBLAQIUABQAAAAIAIdO4kA6ppYg/AEAAMsDAAAOAAAAAAAAAAEAIAAAACoBAABkcnMv&#10;ZTJvRG9jLnhtbFBLBQYAAAAABgAGAFkBAACY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4869180</wp:posOffset>
                </wp:positionH>
                <wp:positionV relativeFrom="paragraph">
                  <wp:posOffset>2583180</wp:posOffset>
                </wp:positionV>
                <wp:extent cx="37465" cy="82550"/>
                <wp:effectExtent l="4445" t="1905" r="15240" b="10795"/>
                <wp:wrapNone/>
                <wp:docPr id="34" name="直接连接符 34"/>
                <wp:cNvGraphicFramePr/>
                <a:graphic xmlns:a="http://schemas.openxmlformats.org/drawingml/2006/main">
                  <a:graphicData uri="http://schemas.microsoft.com/office/word/2010/wordprocessingShape">
                    <wps:wsp>
                      <wps:cNvCnPr/>
                      <wps:spPr>
                        <a:xfrm>
                          <a:off x="5737860" y="3582035"/>
                          <a:ext cx="37465" cy="825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83.4pt;margin-top:203.4pt;height:6.5pt;width:2.95pt;z-index:251691008;mso-width-relative:page;mso-height-relative:page;" filled="f" stroked="t" coordsize="21600,21600" o:gfxdata="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qIS432gAAAAsBAAAPAAAAAAAAAAEAIAAAACIAAABkcnMvZG93bnJldi54bWxQ&#10;SwECFAAUAAAACACHTuJAk/hLpPUBAADBAwAADgAAAAAAAAABACAAAAApAQAAZHJzL2Uyb0RvYy54&#10;bWxQSwUGAAAAAAYABgBZAQAAkAU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4020820</wp:posOffset>
                </wp:positionH>
                <wp:positionV relativeFrom="paragraph">
                  <wp:posOffset>2141855</wp:posOffset>
                </wp:positionV>
                <wp:extent cx="1270" cy="224155"/>
                <wp:effectExtent l="4445" t="0" r="13335" b="4445"/>
                <wp:wrapNone/>
                <wp:docPr id="70" name="直接连接符 70"/>
                <wp:cNvGraphicFramePr/>
                <a:graphic xmlns:a="http://schemas.openxmlformats.org/drawingml/2006/main">
                  <a:graphicData uri="http://schemas.microsoft.com/office/word/2010/wordprocessingShape">
                    <wps:wsp>
                      <wps:cNvCnPr/>
                      <wps:spPr>
                        <a:xfrm flipH="1">
                          <a:off x="0" y="0"/>
                          <a:ext cx="1270" cy="22415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16.6pt;margin-top:168.65pt;height:17.65pt;width:0.1pt;z-index:251714560;mso-width-relative:page;mso-height-relative:page;" filled="f" stroked="t" coordsize="21600,21600" o:gfxdata="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arys9oAAAALAQAADwAAAAAAAAABACAAAAAiAAAAZHJzL2Rvd25yZXYueG1sUEsBAhQAFAAA&#10;AAgAh07iQFJChuntAQAAvwMAAA4AAAAAAAAAAQAgAAAAKQEAAGRycy9lMm9Eb2MueG1sUEsFBgAA&#10;AAAGAAYAWQEAAIg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4864735</wp:posOffset>
                </wp:positionH>
                <wp:positionV relativeFrom="paragraph">
                  <wp:posOffset>1888490</wp:posOffset>
                </wp:positionV>
                <wp:extent cx="6350" cy="3586480"/>
                <wp:effectExtent l="4445" t="0" r="8255" b="13970"/>
                <wp:wrapNone/>
                <wp:docPr id="74" name="直接连接符 74"/>
                <wp:cNvGraphicFramePr/>
                <a:graphic xmlns:a="http://schemas.openxmlformats.org/drawingml/2006/main">
                  <a:graphicData uri="http://schemas.microsoft.com/office/word/2010/wordprocessingShape">
                    <wps:wsp>
                      <wps:cNvCnPr/>
                      <wps:spPr>
                        <a:xfrm flipV="1">
                          <a:off x="5723255" y="3595370"/>
                          <a:ext cx="6350" cy="358648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83.05pt;margin-top:148.7pt;height:282.4pt;width:0.5pt;z-index:251661312;mso-width-relative:page;mso-height-relative:page;" filled="f" stroked="t" coordsize="21600,21600" o:gfxdata="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sEVBraAAAACwEAAA8AAAAAAAAAAQAgAAAAIgAAAGRycy9kb3du&#10;cmV2LnhtbFBLAQIUABQAAAAIAIdO4kAkT6x8/QEAAMwDAAAOAAAAAAAAAAEAIAAAACkBAABkcnMv&#10;ZTJvRG9jLnhtbFBLBQYAAAAABgAGAFkBAACY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3237230</wp:posOffset>
                </wp:positionH>
                <wp:positionV relativeFrom="paragraph">
                  <wp:posOffset>3312160</wp:posOffset>
                </wp:positionV>
                <wp:extent cx="1536065" cy="285750"/>
                <wp:effectExtent l="4445" t="4445" r="21590" b="14605"/>
                <wp:wrapNone/>
                <wp:docPr id="23" name="文本框 23"/>
                <wp:cNvGraphicFramePr/>
                <a:graphic xmlns:a="http://schemas.openxmlformats.org/drawingml/2006/main">
                  <a:graphicData uri="http://schemas.microsoft.com/office/word/2010/wordprocessingShape">
                    <wps:wsp>
                      <wps:cNvSpPr txBox="1"/>
                      <wps:spPr>
                        <a:xfrm>
                          <a:off x="0" y="0"/>
                          <a:ext cx="1536065"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9CC31EF">
                            <w:pPr>
                              <w:jc w:val="center"/>
                              <w:rPr>
                                <w:rFonts w:eastAsiaTheme="minorEastAsia"/>
                                <w:szCs w:val="21"/>
                              </w:rPr>
                            </w:pPr>
                            <w:r>
                              <w:rPr>
                                <w:rFonts w:hint="eastAsia" w:ascii="Arial" w:hAnsi="Arial" w:eastAsia="等线" w:cs="Arial"/>
                                <w:szCs w:val="21"/>
                              </w:rPr>
                              <w:t>不合格，</w:t>
                            </w:r>
                            <w:r>
                              <w:rPr>
                                <w:rFonts w:ascii="Arial" w:hAnsi="Arial" w:eastAsia="等线" w:cs="Arial"/>
                                <w:szCs w:val="21"/>
                              </w:rPr>
                              <w:t>调整管护方案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4.9pt;margin-top:260.8pt;height:22.5pt;width:120.95pt;z-index:251683840;mso-width-relative:page;mso-height-relative:page;" fillcolor="#FFFFFF [3201]" filled="t" stroked="t" coordsize="21600,21600" o:gfxdata="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tJ&#10;///aAAAACwEAAA8AAAAAAAAAAQAgAAAAIgAAAGRycy9kb3ducmV2LnhtbFBLAQIUABQAAAAIAIdO&#10;4kDshwtsWgIAALoEAAAOAAAAAAAAAAEAIAAAACkBAABkcnMvZTJvRG9jLnhtbFBLBQYAAAAABgAG&#10;AFkBAAD1BQAAAAA=&#10;">
                <v:fill on="t" focussize="0,0"/>
                <v:stroke color="#000000 [3213]" joinstyle="round"/>
                <v:imagedata o:title=""/>
                <o:lock v:ext="edit" aspectratio="f"/>
                <v:textbox>
                  <w:txbxContent>
                    <w:p w14:paraId="49CC31EF">
                      <w:pPr>
                        <w:jc w:val="center"/>
                        <w:rPr>
                          <w:rFonts w:eastAsiaTheme="minorEastAsia"/>
                          <w:szCs w:val="21"/>
                        </w:rPr>
                      </w:pPr>
                      <w:r>
                        <w:rPr>
                          <w:rFonts w:hint="eastAsia" w:ascii="Arial" w:hAnsi="Arial" w:eastAsia="等线" w:cs="Arial"/>
                          <w:szCs w:val="21"/>
                        </w:rPr>
                        <w:t>不合格，</w:t>
                      </w:r>
                      <w:r>
                        <w:rPr>
                          <w:rFonts w:ascii="Arial" w:hAnsi="Arial" w:eastAsia="等线" w:cs="Arial"/>
                          <w:szCs w:val="21"/>
                        </w:rPr>
                        <w:t>调整管护方案</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2012950</wp:posOffset>
                </wp:positionH>
                <wp:positionV relativeFrom="paragraph">
                  <wp:posOffset>-150495</wp:posOffset>
                </wp:positionV>
                <wp:extent cx="1885950" cy="285750"/>
                <wp:effectExtent l="4445" t="5080" r="14605" b="13970"/>
                <wp:wrapNone/>
                <wp:docPr id="36" name="文本框 36"/>
                <wp:cNvGraphicFramePr/>
                <a:graphic xmlns:a="http://schemas.openxmlformats.org/drawingml/2006/main">
                  <a:graphicData uri="http://schemas.microsoft.com/office/word/2010/wordprocessingShape">
                    <wps:wsp>
                      <wps:cNvSpPr txBox="1"/>
                      <wps:spPr>
                        <a:xfrm>
                          <a:off x="1791970" y="1315720"/>
                          <a:ext cx="1885950"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7E56B87">
                            <w:pPr>
                              <w:jc w:val="center"/>
                            </w:pPr>
                            <w:r>
                              <w:rPr>
                                <w:rFonts w:ascii="Arial" w:hAnsi="Arial" w:eastAsia="等线" w:cs="Arial"/>
                                <w:sz w:val="22"/>
                              </w:rPr>
                              <w:t>矿山生态修复工程竣工验收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5pt;margin-top:-11.85pt;height:22.5pt;width:148.5pt;z-index:251667456;mso-width-relative:page;mso-height-relative:page;" fillcolor="#FFFFFF [3201]" filled="t" stroked="t" coordsize="21600,21600" o:gfxdata="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ASqcQ2gAAAAoBAAAPAAAAAAAAAAEAIAAAACIAAABkcnMvZG93bnJldi54bWxQSwECFAAU&#10;AAAACACHTuJAjmo+oGECAADGBAAADgAAAAAAAAABACAAAAApAQAAZHJzL2Uyb0RvYy54bWxQSwUG&#10;AAAAAAYABgBZAQAA/AUAAAAA&#10;">
                <v:fill on="t" focussize="0,0"/>
                <v:stroke color="#000000 [3213]" joinstyle="round"/>
                <v:imagedata o:title=""/>
                <o:lock v:ext="edit" aspectratio="f"/>
                <v:textbox>
                  <w:txbxContent>
                    <w:p w14:paraId="77E56B87">
                      <w:pPr>
                        <w:jc w:val="center"/>
                      </w:pPr>
                      <w:r>
                        <w:rPr>
                          <w:rFonts w:ascii="Arial" w:hAnsi="Arial" w:eastAsia="等线" w:cs="Arial"/>
                          <w:sz w:val="22"/>
                        </w:rPr>
                        <w:t>矿山生态修复工程竣工验收</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1686560</wp:posOffset>
                </wp:positionH>
                <wp:positionV relativeFrom="paragraph">
                  <wp:posOffset>394335</wp:posOffset>
                </wp:positionV>
                <wp:extent cx="2542540" cy="285750"/>
                <wp:effectExtent l="4445" t="4445" r="5715" b="14605"/>
                <wp:wrapNone/>
                <wp:docPr id="37" name="文本框 37"/>
                <wp:cNvGraphicFramePr/>
                <a:graphic xmlns:a="http://schemas.openxmlformats.org/drawingml/2006/main">
                  <a:graphicData uri="http://schemas.microsoft.com/office/word/2010/wordprocessingShape">
                    <wps:wsp>
                      <wps:cNvSpPr txBox="1"/>
                      <wps:spPr>
                        <a:xfrm>
                          <a:off x="0" y="0"/>
                          <a:ext cx="2542540"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AFF8C2C">
                            <w:pPr>
                              <w:jc w:val="center"/>
                            </w:pPr>
                            <w:r>
                              <w:rPr>
                                <w:rFonts w:ascii="Arial" w:hAnsi="Arial" w:eastAsia="等线" w:cs="Arial"/>
                                <w:sz w:val="22"/>
                              </w:rPr>
                              <w:t>与施工单位交接（签订协议、移交资料）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8pt;margin-top:31.05pt;height:22.5pt;width:200.2pt;z-index:251668480;mso-width-relative:page;mso-height-relative:page;" fillcolor="#FFFFFF [3201]" filled="t" stroked="t" coordsize="21600,21600" o:gfxdata="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aMzF9gA&#10;AAAKAQAADwAAAAAAAAABACAAAAAiAAAAZHJzL2Rvd25yZXYueG1sUEsBAhQAFAAAAAgAh07iQLYX&#10;zjNYAgAAugQAAA4AAAAAAAAAAQAgAAAAJwEAAGRycy9lMm9Eb2MueG1sUEsFBgAAAAAGAAYAWQEA&#10;APEFAAAAAA==&#10;">
                <v:fill on="t" focussize="0,0"/>
                <v:stroke color="#000000 [3213]" joinstyle="round"/>
                <v:imagedata o:title=""/>
                <o:lock v:ext="edit" aspectratio="f"/>
                <v:textbox>
                  <w:txbxContent>
                    <w:p w14:paraId="3AFF8C2C">
                      <w:pPr>
                        <w:jc w:val="center"/>
                      </w:pPr>
                      <w:r>
                        <w:rPr>
                          <w:rFonts w:ascii="Arial" w:hAnsi="Arial" w:eastAsia="等线" w:cs="Arial"/>
                          <w:sz w:val="22"/>
                        </w:rPr>
                        <w:t>与施工单位交接（签订协议、移交资料）</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2215515</wp:posOffset>
                </wp:positionH>
                <wp:positionV relativeFrom="paragraph">
                  <wp:posOffset>909320</wp:posOffset>
                </wp:positionV>
                <wp:extent cx="1485900" cy="285750"/>
                <wp:effectExtent l="4445" t="4445" r="14605" b="14605"/>
                <wp:wrapNone/>
                <wp:docPr id="38" name="文本框 38"/>
                <wp:cNvGraphicFramePr/>
                <a:graphic xmlns:a="http://schemas.openxmlformats.org/drawingml/2006/main">
                  <a:graphicData uri="http://schemas.microsoft.com/office/word/2010/wordprocessingShape">
                    <wps:wsp>
                      <wps:cNvSpPr txBox="1"/>
                      <wps:spPr>
                        <a:xfrm>
                          <a:off x="0" y="0"/>
                          <a:ext cx="1485900"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3685BD1">
                            <w:pPr>
                              <w:jc w:val="center"/>
                            </w:pPr>
                            <w:r>
                              <w:rPr>
                                <w:rFonts w:ascii="Arial" w:hAnsi="Arial" w:eastAsia="等线" w:cs="Arial"/>
                                <w:sz w:val="22"/>
                              </w:rPr>
                              <w:t>管护方案编制与审批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4.45pt;margin-top:71.6pt;height:22.5pt;width:117pt;z-index:251669504;mso-width-relative:page;mso-height-relative:page;" fillcolor="#FFFFFF [3201]" filled="t" stroked="t" coordsize="21600,21600" o:gfxdata="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On8LLZ&#10;AAAACwEAAA8AAAAAAAAAAQAgAAAAIgAAAGRycy9kb3ducmV2LnhtbFBLAQIUABQAAAAIAIdO4kCm&#10;TVqjWAIAALoEAAAOAAAAAAAAAAEAIAAAACgBAABkcnMvZTJvRG9jLnhtbFBLBQYAAAAABgAGAFkB&#10;AADyBQAAAAA=&#10;">
                <v:fill on="t" focussize="0,0"/>
                <v:stroke color="#000000 [3213]" joinstyle="round"/>
                <v:imagedata o:title=""/>
                <o:lock v:ext="edit" aspectratio="f"/>
                <v:textbox>
                  <w:txbxContent>
                    <w:p w14:paraId="43685BD1">
                      <w:pPr>
                        <w:jc w:val="center"/>
                      </w:pPr>
                      <w:r>
                        <w:rPr>
                          <w:rFonts w:ascii="Arial" w:hAnsi="Arial" w:eastAsia="等线" w:cs="Arial"/>
                          <w:sz w:val="22"/>
                        </w:rPr>
                        <w:t>管护方案编制与审批</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2954655</wp:posOffset>
                </wp:positionH>
                <wp:positionV relativeFrom="paragraph">
                  <wp:posOffset>1197610</wp:posOffset>
                </wp:positionV>
                <wp:extent cx="1270" cy="224155"/>
                <wp:effectExtent l="4445" t="0" r="13335" b="4445"/>
                <wp:wrapNone/>
                <wp:docPr id="73" name="直接连接符 73"/>
                <wp:cNvGraphicFramePr/>
                <a:graphic xmlns:a="http://schemas.openxmlformats.org/drawingml/2006/main">
                  <a:graphicData uri="http://schemas.microsoft.com/office/word/2010/wordprocessingShape">
                    <wps:wsp>
                      <wps:cNvCnPr/>
                      <wps:spPr>
                        <a:xfrm flipH="1">
                          <a:off x="0" y="0"/>
                          <a:ext cx="1270" cy="22415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232.65pt;margin-top:94.3pt;height:17.65pt;width:0.1pt;z-index:251712512;mso-width-relative:page;mso-height-relative:page;" filled="f" stroked="t" coordsize="21600,21600" o:gfxdata="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z5wpLaAAAACwEAAA8AAAAAAAAAAQAgAAAAIgAAAGRycy9kb3ducmV2LnhtbFBLAQIUABQA&#10;AAAIAIdO4kAm9VA/7gEAAL8DAAAOAAAAAAAAAAEAIAAAACkBAABkcnMvZTJvRG9jLnhtbFBLBQYA&#10;AAAABgAGAFkBAACJ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2933700</wp:posOffset>
                </wp:positionH>
                <wp:positionV relativeFrom="paragraph">
                  <wp:posOffset>1425575</wp:posOffset>
                </wp:positionV>
                <wp:extent cx="1086485" cy="2540"/>
                <wp:effectExtent l="0" t="0" r="0" b="0"/>
                <wp:wrapNone/>
                <wp:docPr id="17" name="直接连接符 17"/>
                <wp:cNvGraphicFramePr/>
                <a:graphic xmlns:a="http://schemas.openxmlformats.org/drawingml/2006/main">
                  <a:graphicData uri="http://schemas.microsoft.com/office/word/2010/wordprocessingShape">
                    <wps:wsp>
                      <wps:cNvCnPr/>
                      <wps:spPr>
                        <a:xfrm flipV="1">
                          <a:off x="3802380" y="2736850"/>
                          <a:ext cx="1086485" cy="254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31pt;margin-top:112.25pt;height:0.2pt;width:85.55pt;z-index:251680768;mso-width-relative:page;mso-height-relative:page;" filled="f" stroked="t" coordsize="21600,21600" o:gfxdata="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bl51p2gAAAAsBAAAPAAAAAAAAAAEAIAAAACIAAABkcnMvZG93bnJl&#10;di54bWxQSwECFAAUAAAACACHTuJAOejR1/sBAADMAwAADgAAAAAAAAABACAAAAApAQAAZHJzL2Uy&#10;b0RvYy54bWxQSwUGAAAAAAYABgBZAQAAlgU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1791335</wp:posOffset>
                </wp:positionH>
                <wp:positionV relativeFrom="paragraph">
                  <wp:posOffset>1428115</wp:posOffset>
                </wp:positionV>
                <wp:extent cx="1142365" cy="4445"/>
                <wp:effectExtent l="0" t="0" r="0" b="0"/>
                <wp:wrapNone/>
                <wp:docPr id="14" name="直接连接符 14"/>
                <wp:cNvGraphicFramePr/>
                <a:graphic xmlns:a="http://schemas.openxmlformats.org/drawingml/2006/main">
                  <a:graphicData uri="http://schemas.microsoft.com/office/word/2010/wordprocessingShape">
                    <wps:wsp>
                      <wps:cNvCnPr/>
                      <wps:spPr>
                        <a:xfrm flipH="1">
                          <a:off x="2677160" y="2742565"/>
                          <a:ext cx="1142365" cy="444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41.05pt;margin-top:112.45pt;height:0.35pt;width:89.95pt;z-index:251679744;mso-width-relative:page;mso-height-relative:page;" filled="f" stroked="t" coordsize="21600,21600" o:gfxdata="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ySvHtoAAAALAQAADwAAAAAAAAABACAAAAAiAAAAZHJzL2Rvd25y&#10;ZXYueG1sUEsBAhQAFAAAAAgAh07iQHMxAaj8AQAAzAMAAA4AAAAAAAAAAQAgAAAAKQEAAGRycy9l&#10;Mm9Eb2MueG1sUEsFBgAAAAAGAAYAWQEAAJc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4021455</wp:posOffset>
                </wp:positionH>
                <wp:positionV relativeFrom="paragraph">
                  <wp:posOffset>1421765</wp:posOffset>
                </wp:positionV>
                <wp:extent cx="0" cy="216535"/>
                <wp:effectExtent l="4445" t="0" r="14605" b="12065"/>
                <wp:wrapNone/>
                <wp:docPr id="72" name="直接连接符 72"/>
                <wp:cNvGraphicFramePr/>
                <a:graphic xmlns:a="http://schemas.openxmlformats.org/drawingml/2006/main">
                  <a:graphicData uri="http://schemas.microsoft.com/office/word/2010/wordprocessingShape">
                    <wps:wsp>
                      <wps:cNvCnPr/>
                      <wps:spPr>
                        <a:xfrm>
                          <a:off x="0" y="0"/>
                          <a:ext cx="0" cy="21653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16.65pt;margin-top:111.95pt;height:17.05pt;width:0pt;z-index:251660288;mso-width-relative:page;mso-height-relative:page;" filled="f" stroked="t" coordsize="21600,21600" o:gfxdata="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ddwaTZAAAA&#10;CwEAAA8AAAAAAAAAAQAgAAAAIgAAAGRycy9kb3ducmV2LnhtbFBLAQIUABQAAAAIAIdO4kDmcRrp&#10;4wEAALIDAAAOAAAAAAAAAAEAIAAAACgBAABkcnMvZTJvRG9jLnhtbFBLBQYAAAAABgAGAFkBAAB9&#10;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1791970</wp:posOffset>
                </wp:positionH>
                <wp:positionV relativeFrom="paragraph">
                  <wp:posOffset>1430655</wp:posOffset>
                </wp:positionV>
                <wp:extent cx="1270" cy="224155"/>
                <wp:effectExtent l="4445" t="0" r="13335" b="4445"/>
                <wp:wrapNone/>
                <wp:docPr id="71" name="直接连接符 71"/>
                <wp:cNvGraphicFramePr/>
                <a:graphic xmlns:a="http://schemas.openxmlformats.org/drawingml/2006/main">
                  <a:graphicData uri="http://schemas.microsoft.com/office/word/2010/wordprocessingShape">
                    <wps:wsp>
                      <wps:cNvCnPr/>
                      <wps:spPr>
                        <a:xfrm flipH="1">
                          <a:off x="0" y="0"/>
                          <a:ext cx="1270" cy="22415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41.1pt;margin-top:112.65pt;height:17.65pt;width:0.1pt;z-index:251659264;mso-width-relative:page;mso-height-relative:page;" filled="f" stroked="t" coordsize="21600,21600" o:gfxdata="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4vaKvdkAAAALAQAADwAAAAAAAAABACAAAAAiAAAAZHJzL2Rvd25yZXYueG1sUEsBAhQAFAAA&#10;AAgAh07iQH4vNKTuAQAAvwMAAA4AAAAAAAAAAQAgAAAAKAEAAGRycy9lMm9Eb2MueG1sUEsFBgAA&#10;AAAGAAYAWQEAAIg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1792605</wp:posOffset>
                </wp:positionH>
                <wp:positionV relativeFrom="paragraph">
                  <wp:posOffset>2150745</wp:posOffset>
                </wp:positionV>
                <wp:extent cx="1270" cy="224155"/>
                <wp:effectExtent l="4445" t="0" r="13335" b="4445"/>
                <wp:wrapNone/>
                <wp:docPr id="69" name="直接连接符 69"/>
                <wp:cNvGraphicFramePr/>
                <a:graphic xmlns:a="http://schemas.openxmlformats.org/drawingml/2006/main">
                  <a:graphicData uri="http://schemas.microsoft.com/office/word/2010/wordprocessingShape">
                    <wps:wsp>
                      <wps:cNvCnPr/>
                      <wps:spPr>
                        <a:xfrm flipH="1">
                          <a:off x="0" y="0"/>
                          <a:ext cx="1270" cy="22415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41.15pt;margin-top:169.35pt;height:17.65pt;width:0.1pt;z-index:251713536;mso-width-relative:page;mso-height-relative:page;" filled="f" stroked="t" coordsize="21600,21600" o:gfxdata="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ai8nbaAAAACwEAAA8AAAAAAAAAAQAgAAAAIgAAAGRycy9kb3ducmV2LnhtbFBLAQIUABQA&#10;AAAIAIdO4kBTkqGW7gEAAL8DAAAOAAAAAAAAAAEAIAAAACkBAABkcnMvZTJvRG9jLnhtbFBLBQYA&#10;AAAABgAGAFkBAACJ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908685</wp:posOffset>
                </wp:positionH>
                <wp:positionV relativeFrom="paragraph">
                  <wp:posOffset>1653540</wp:posOffset>
                </wp:positionV>
                <wp:extent cx="1779905" cy="504190"/>
                <wp:effectExtent l="5080" t="4445" r="5715" b="5715"/>
                <wp:wrapNone/>
                <wp:docPr id="4" name="文本框 4"/>
                <wp:cNvGraphicFramePr/>
                <a:graphic xmlns:a="http://schemas.openxmlformats.org/drawingml/2006/main">
                  <a:graphicData uri="http://schemas.microsoft.com/office/word/2010/wordprocessingShape">
                    <wps:wsp>
                      <wps:cNvSpPr txBox="1"/>
                      <wps:spPr>
                        <a:xfrm>
                          <a:off x="0" y="0"/>
                          <a:ext cx="1779905" cy="50419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7BBAB98">
                            <w:pPr>
                              <w:jc w:val="center"/>
                              <w:rPr>
                                <w:rFonts w:ascii="Arial" w:hAnsi="Arial" w:eastAsia="等线" w:cs="Arial"/>
                                <w:sz w:val="22"/>
                              </w:rPr>
                            </w:pPr>
                            <w:r>
                              <w:rPr>
                                <w:rFonts w:ascii="Arial" w:hAnsi="Arial" w:eastAsia="等线" w:cs="Arial"/>
                                <w:sz w:val="22"/>
                              </w:rPr>
                              <w:t>管护工作实施（分类型开</w:t>
                            </w:r>
                          </w:p>
                          <w:p w14:paraId="25B2D916">
                            <w:pPr>
                              <w:jc w:val="center"/>
                            </w:pPr>
                            <w:r>
                              <w:rPr>
                                <w:rFonts w:ascii="Arial" w:hAnsi="Arial" w:eastAsia="等线" w:cs="Arial"/>
                                <w:sz w:val="22"/>
                              </w:rPr>
                              <w:t>展，强化植被演替管护）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55pt;margin-top:130.2pt;height:39.7pt;width:140.15pt;z-index:251670528;mso-width-relative:page;mso-height-relative:page;" fillcolor="#FFFFFF [3201]" filled="t" stroked="t" coordsize="21600,21600" o:gfxdata="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TW7njZ&#10;AAAACwEAAA8AAAAAAAAAAQAgAAAAIgAAAGRycy9kb3ducmV2LnhtbFBLAQIUABQAAAAIAIdO4kDr&#10;RuHyWAIAALgEAAAOAAAAAAAAAAEAIAAAACgBAABkcnMvZTJvRG9jLnhtbFBLBQYAAAAABgAGAFkB&#10;AADyBQAAAAA=&#10;">
                <v:fill on="t" focussize="0,0"/>
                <v:stroke color="#000000 [3213]" joinstyle="round"/>
                <v:imagedata o:title=""/>
                <o:lock v:ext="edit" aspectratio="f"/>
                <v:textbox>
                  <w:txbxContent>
                    <w:p w14:paraId="67BBAB98">
                      <w:pPr>
                        <w:jc w:val="center"/>
                        <w:rPr>
                          <w:rFonts w:ascii="Arial" w:hAnsi="Arial" w:eastAsia="等线" w:cs="Arial"/>
                          <w:sz w:val="22"/>
                        </w:rPr>
                      </w:pPr>
                      <w:r>
                        <w:rPr>
                          <w:rFonts w:ascii="Arial" w:hAnsi="Arial" w:eastAsia="等线" w:cs="Arial"/>
                          <w:sz w:val="22"/>
                        </w:rPr>
                        <w:t>管护工作实施（分类型开</w:t>
                      </w:r>
                    </w:p>
                    <w:p w14:paraId="25B2D916">
                      <w:pPr>
                        <w:jc w:val="center"/>
                      </w:pPr>
                      <w:r>
                        <w:rPr>
                          <w:rFonts w:ascii="Arial" w:hAnsi="Arial" w:eastAsia="等线" w:cs="Arial"/>
                          <w:sz w:val="22"/>
                        </w:rPr>
                        <w:t>展，强化植被演替管护）</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3282315</wp:posOffset>
                </wp:positionH>
                <wp:positionV relativeFrom="paragraph">
                  <wp:posOffset>1638300</wp:posOffset>
                </wp:positionV>
                <wp:extent cx="1485900" cy="504190"/>
                <wp:effectExtent l="5080" t="4445" r="13970" b="5715"/>
                <wp:wrapNone/>
                <wp:docPr id="5" name="文本框 5"/>
                <wp:cNvGraphicFramePr/>
                <a:graphic xmlns:a="http://schemas.openxmlformats.org/drawingml/2006/main">
                  <a:graphicData uri="http://schemas.microsoft.com/office/word/2010/wordprocessingShape">
                    <wps:wsp>
                      <wps:cNvSpPr txBox="1"/>
                      <wps:spPr>
                        <a:xfrm>
                          <a:off x="0" y="0"/>
                          <a:ext cx="1485900" cy="50419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D079322">
                            <w:pPr>
                              <w:spacing w:line="480" w:lineRule="auto"/>
                              <w:jc w:val="center"/>
                            </w:pPr>
                            <w:r>
                              <w:rPr>
                                <w:rFonts w:ascii="Arial" w:hAnsi="Arial" w:eastAsia="等线" w:cs="Arial"/>
                                <w:sz w:val="22"/>
                              </w:rPr>
                              <w:t>日常巡查与动态监测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45pt;margin-top:129pt;height:39.7pt;width:117pt;z-index:251671552;mso-width-relative:page;mso-height-relative:page;" fillcolor="#FFFFFF [3201]" filled="t" stroked="t" coordsize="21600,21600" o:gfxdata="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ZPn5G&#10;2wAAAAsBAAAPAAAAAAAAAAEAIAAAACIAAABkcnMvZG93bnJldi54bWxQSwECFAAUAAAACACHTuJA&#10;uAvx6VcCAAC4BAAADgAAAAAAAAABACAAAAAqAQAAZHJzL2Uyb0RvYy54bWxQSwUGAAAAAAYABgBZ&#10;AQAA8wUAAAAA&#10;">
                <v:fill on="t" focussize="0,0"/>
                <v:stroke color="#000000 [3213]" joinstyle="round"/>
                <v:imagedata o:title=""/>
                <o:lock v:ext="edit" aspectratio="f"/>
                <v:textbox>
                  <w:txbxContent>
                    <w:p w14:paraId="5D079322">
                      <w:pPr>
                        <w:spacing w:line="480" w:lineRule="auto"/>
                        <w:jc w:val="center"/>
                      </w:pPr>
                      <w:r>
                        <w:rPr>
                          <w:rFonts w:ascii="Arial" w:hAnsi="Arial" w:eastAsia="等线" w:cs="Arial"/>
                          <w:sz w:val="22"/>
                        </w:rPr>
                        <w:t>日常巡查与动态监测</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1792605</wp:posOffset>
                </wp:positionH>
                <wp:positionV relativeFrom="paragraph">
                  <wp:posOffset>2368550</wp:posOffset>
                </wp:positionV>
                <wp:extent cx="1165860" cy="3175"/>
                <wp:effectExtent l="0" t="0" r="0" b="0"/>
                <wp:wrapNone/>
                <wp:docPr id="22" name="直接连接符 22"/>
                <wp:cNvGraphicFramePr/>
                <a:graphic xmlns:a="http://schemas.openxmlformats.org/drawingml/2006/main">
                  <a:graphicData uri="http://schemas.microsoft.com/office/word/2010/wordprocessingShape">
                    <wps:wsp>
                      <wps:cNvCnPr/>
                      <wps:spPr>
                        <a:xfrm flipH="1">
                          <a:off x="2665095" y="3493135"/>
                          <a:ext cx="1165860" cy="317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41.15pt;margin-top:186.5pt;height:0.25pt;width:91.8pt;z-index:251682816;mso-width-relative:page;mso-height-relative:page;" filled="f" stroked="t" coordsize="21600,21600" o:gfxdata="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IBqOjaAAAACwEAAA8AAAAAAAAAAQAgAAAAIgAAAGRycy9kb3du&#10;cmV2LnhtbFBLAQIUABQAAAAIAIdO4kB3kvCE/QEAAMwDAAAOAAAAAAAAAAEAIAAAACkBAABkcnMv&#10;ZTJvRG9jLnhtbFBLBQYAAAAABgAGAFkBAACY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2958465</wp:posOffset>
                </wp:positionH>
                <wp:positionV relativeFrom="paragraph">
                  <wp:posOffset>2362835</wp:posOffset>
                </wp:positionV>
                <wp:extent cx="1066165" cy="5715"/>
                <wp:effectExtent l="0" t="0" r="0" b="0"/>
                <wp:wrapNone/>
                <wp:docPr id="21" name="直接连接符 21"/>
                <wp:cNvGraphicFramePr/>
                <a:graphic xmlns:a="http://schemas.openxmlformats.org/drawingml/2006/main">
                  <a:graphicData uri="http://schemas.microsoft.com/office/word/2010/wordprocessingShape">
                    <wps:wsp>
                      <wps:cNvCnPr/>
                      <wps:spPr>
                        <a:xfrm flipV="1">
                          <a:off x="3825875" y="3498850"/>
                          <a:ext cx="1066165" cy="571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32.95pt;margin-top:186.05pt;height:0.45pt;width:83.95pt;z-index:251681792;mso-width-relative:page;mso-height-relative:page;" filled="f" stroked="t" coordsize="21600,21600" o:gfxdata="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zA6cfbAAAACwEAAA8AAAAAAAAAAQAgAAAAIgAAAGRycy9kb3du&#10;cmV2LnhtbFBLAQIUABQAAAAIAIdO4kAGX8JM/AEAAMwDAAAOAAAAAAAAAAEAIAAAACoBAABkcnMv&#10;ZTJvRG9jLnhtbFBLBQYAAAAABgAGAFkBAACY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2962910</wp:posOffset>
                </wp:positionH>
                <wp:positionV relativeFrom="paragraph">
                  <wp:posOffset>2367915</wp:posOffset>
                </wp:positionV>
                <wp:extent cx="1270" cy="224155"/>
                <wp:effectExtent l="4445" t="0" r="13335" b="4445"/>
                <wp:wrapNone/>
                <wp:docPr id="68" name="直接连接符 68"/>
                <wp:cNvGraphicFramePr/>
                <a:graphic xmlns:a="http://schemas.openxmlformats.org/drawingml/2006/main">
                  <a:graphicData uri="http://schemas.microsoft.com/office/word/2010/wordprocessingShape">
                    <wps:wsp>
                      <wps:cNvCnPr/>
                      <wps:spPr>
                        <a:xfrm flipH="1">
                          <a:off x="0" y="0"/>
                          <a:ext cx="1270" cy="22415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233.3pt;margin-top:186.45pt;height:17.65pt;width:0.1pt;z-index:251711488;mso-width-relative:page;mso-height-relative:page;" filled="f" stroked="t" coordsize="21600,21600" o:gfxdata="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FE2uLaAAAACwEAAA8AAAAAAAAAAQAgAAAAIgAAAGRycy9kb3ducmV2LnhtbFBLAQIUABQA&#10;AAAIAIdO4kB//xPb7gEAAL8DAAAOAAAAAAAAAAEAIAAAACkBAABkcnMvZTJvRG9jLnhtbFBLBQYA&#10;AAAABgAGAFkBAACJ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2572385</wp:posOffset>
                </wp:positionH>
                <wp:positionV relativeFrom="paragraph">
                  <wp:posOffset>2592705</wp:posOffset>
                </wp:positionV>
                <wp:extent cx="781685" cy="285750"/>
                <wp:effectExtent l="4445" t="4445" r="13970" b="14605"/>
                <wp:wrapNone/>
                <wp:docPr id="6" name="文本框 6"/>
                <wp:cNvGraphicFramePr/>
                <a:graphic xmlns:a="http://schemas.openxmlformats.org/drawingml/2006/main">
                  <a:graphicData uri="http://schemas.microsoft.com/office/word/2010/wordprocessingShape">
                    <wps:wsp>
                      <wps:cNvSpPr txBox="1"/>
                      <wps:spPr>
                        <a:xfrm>
                          <a:off x="0" y="0"/>
                          <a:ext cx="781685"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9C22130">
                            <w:pPr>
                              <w:jc w:val="center"/>
                            </w:pPr>
                            <w:r>
                              <w:rPr>
                                <w:rFonts w:ascii="Arial" w:hAnsi="Arial" w:eastAsia="等线" w:cs="Arial"/>
                                <w:sz w:val="22"/>
                              </w:rPr>
                              <w:t>年度评估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55pt;margin-top:204.15pt;height:22.5pt;width:61.55pt;z-index:251672576;mso-width-relative:page;mso-height-relative:page;" fillcolor="#FFFFFF [3201]" filled="t" stroked="t" coordsize="21600,21600" o:gfxdata="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xEATnZ&#10;AAAACwEAAA8AAAAAAAAAAQAgAAAAIgAAAGRycy9kb3ducmV2LnhtbFBLAQIUABQAAAAIAIdO4kAg&#10;02KZWAIAALcEAAAOAAAAAAAAAAEAIAAAACgBAABkcnMvZTJvRG9jLnhtbFBLBQYAAAAABgAGAFkB&#10;AADyBQAAAAA=&#10;">
                <v:fill on="t" focussize="0,0"/>
                <v:stroke color="#000000 [3213]" joinstyle="round"/>
                <v:imagedata o:title=""/>
                <o:lock v:ext="edit" aspectratio="f"/>
                <v:textbox>
                  <w:txbxContent>
                    <w:p w14:paraId="69C22130">
                      <w:pPr>
                        <w:jc w:val="center"/>
                      </w:pPr>
                      <w:r>
                        <w:rPr>
                          <w:rFonts w:ascii="Arial" w:hAnsi="Arial" w:eastAsia="等线" w:cs="Arial"/>
                          <w:sz w:val="22"/>
                        </w:rPr>
                        <w:t>年度评估</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2965450</wp:posOffset>
                </wp:positionH>
                <wp:positionV relativeFrom="paragraph">
                  <wp:posOffset>2877185</wp:posOffset>
                </wp:positionV>
                <wp:extent cx="1270" cy="224155"/>
                <wp:effectExtent l="4445" t="0" r="13335" b="4445"/>
                <wp:wrapNone/>
                <wp:docPr id="67" name="直接连接符 67"/>
                <wp:cNvGraphicFramePr/>
                <a:graphic xmlns:a="http://schemas.openxmlformats.org/drawingml/2006/main">
                  <a:graphicData uri="http://schemas.microsoft.com/office/word/2010/wordprocessingShape">
                    <wps:wsp>
                      <wps:cNvCnPr/>
                      <wps:spPr>
                        <a:xfrm flipH="1">
                          <a:off x="0" y="0"/>
                          <a:ext cx="1270" cy="22415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233.5pt;margin-top:226.55pt;height:17.65pt;width:0.1pt;z-index:251710464;mso-width-relative:page;mso-height-relative:page;" filled="f" stroked="t" coordsize="21600,21600" o:gfxdata="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Vti7PaAAAACwEAAA8AAAAAAAAAAQAgAAAAIgAAAGRycy9kb3ducmV2LnhtbFBLAQIUABQA&#10;AAAIAIdO4kBZmX3g7gEAAL8DAAAOAAAAAAAAAAEAIAAAACkBAABkcnMvZTJvRG9jLnhtbFBLBQYA&#10;AAAABgAGAFkBAACJ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1823085</wp:posOffset>
                </wp:positionH>
                <wp:positionV relativeFrom="paragraph">
                  <wp:posOffset>3096895</wp:posOffset>
                </wp:positionV>
                <wp:extent cx="1143000" cy="1905"/>
                <wp:effectExtent l="0" t="0" r="0" b="0"/>
                <wp:wrapNone/>
                <wp:docPr id="28" name="直接连接符 28"/>
                <wp:cNvGraphicFramePr/>
                <a:graphic xmlns:a="http://schemas.openxmlformats.org/drawingml/2006/main">
                  <a:graphicData uri="http://schemas.microsoft.com/office/word/2010/wordprocessingShape">
                    <wps:wsp>
                      <wps:cNvCnPr/>
                      <wps:spPr>
                        <a:xfrm flipH="1">
                          <a:off x="0" y="0"/>
                          <a:ext cx="1143000" cy="190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43.55pt;margin-top:243.85pt;height:0.15pt;width:90pt;z-index:251685888;mso-width-relative:page;mso-height-relative:page;" filled="f" stroked="t" coordsize="21600,21600" o:gfxdata="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u/pUNkAAAALAQAADwAAAAAAAAABACAAAAAiAAAAZHJzL2Rvd25yZXYueG1sUEsBAhQAFAAA&#10;AAgAh07iQKiOhPvuAQAAwAMAAA4AAAAAAAAAAQAgAAAAKAEAAGRycy9lMm9Eb2MueG1sUEsFBgAA&#10;AAAGAAYAWQEAAIg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2962275</wp:posOffset>
                </wp:positionH>
                <wp:positionV relativeFrom="paragraph">
                  <wp:posOffset>3094990</wp:posOffset>
                </wp:positionV>
                <wp:extent cx="1042670" cy="2540"/>
                <wp:effectExtent l="0" t="0" r="0" b="0"/>
                <wp:wrapNone/>
                <wp:docPr id="25" name="直接连接符 25"/>
                <wp:cNvGraphicFramePr/>
                <a:graphic xmlns:a="http://schemas.openxmlformats.org/drawingml/2006/main">
                  <a:graphicData uri="http://schemas.microsoft.com/office/word/2010/wordprocessingShape">
                    <wps:wsp>
                      <wps:cNvCnPr/>
                      <wps:spPr>
                        <a:xfrm flipV="1">
                          <a:off x="0" y="0"/>
                          <a:ext cx="1042670" cy="254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33.25pt;margin-top:243.7pt;height:0.2pt;width:82.1pt;z-index:251686912;mso-width-relative:page;mso-height-relative:page;" filled="f" stroked="t" coordsize="21600,21600" o:gfxdata="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agwY72gAAAAsBAAAPAAAAAAAAAAEAIAAAACIAAABkcnMvZG93bnJldi54bWxQSwECFAAU&#10;AAAACACHTuJA2Vk31+8BAADAAwAADgAAAAAAAAABACAAAAApAQAAZHJzL2Uyb0RvYy54bWxQSwUG&#10;AAAAAAYABgBZAQAAigU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4005580</wp:posOffset>
                </wp:positionH>
                <wp:positionV relativeFrom="paragraph">
                  <wp:posOffset>3094990</wp:posOffset>
                </wp:positionV>
                <wp:extent cx="2540" cy="217170"/>
                <wp:effectExtent l="4445" t="0" r="12065" b="11430"/>
                <wp:wrapNone/>
                <wp:docPr id="66" name="直接连接符 66"/>
                <wp:cNvGraphicFramePr/>
                <a:graphic xmlns:a="http://schemas.openxmlformats.org/drawingml/2006/main">
                  <a:graphicData uri="http://schemas.microsoft.com/office/word/2010/wordprocessingShape">
                    <wps:wsp>
                      <wps:cNvCnPr/>
                      <wps:spPr>
                        <a:xfrm flipH="1">
                          <a:off x="0" y="0"/>
                          <a:ext cx="2540" cy="21717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15.4pt;margin-top:243.7pt;height:17.1pt;width:0.2pt;z-index:251709440;mso-width-relative:page;mso-height-relative:page;" filled="f" stroked="t" coordsize="21600,21600" o:gfxdata="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twyjbAAAACwEAAA8AAAAAAAAAAQAgAAAAIgAAAGRycy9kb3ducmV2LnhtbFBLAQIU&#10;ABQAAAAIAIdO4kB7mYQh8AEAAL8DAAAOAAAAAAAAAAEAIAAAACoBAABkcnMvZTJvRG9jLnhtbFBL&#10;BQYAAAAABgAGAFkBAACM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1826895</wp:posOffset>
                </wp:positionH>
                <wp:positionV relativeFrom="paragraph">
                  <wp:posOffset>3097530</wp:posOffset>
                </wp:positionV>
                <wp:extent cx="635" cy="226695"/>
                <wp:effectExtent l="4445" t="0" r="13970" b="1905"/>
                <wp:wrapNone/>
                <wp:docPr id="65" name="直接连接符 65"/>
                <wp:cNvGraphicFramePr/>
                <a:graphic xmlns:a="http://schemas.openxmlformats.org/drawingml/2006/main">
                  <a:graphicData uri="http://schemas.microsoft.com/office/word/2010/wordprocessingShape">
                    <wps:wsp>
                      <wps:cNvCnPr/>
                      <wps:spPr>
                        <a:xfrm>
                          <a:off x="0" y="0"/>
                          <a:ext cx="635" cy="22669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3.85pt;margin-top:243.9pt;height:17.85pt;width:0.05pt;z-index:251708416;mso-width-relative:page;mso-height-relative:page;" filled="f" stroked="t" coordsize="21600,21600" o:gfxdata="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Y29y9oA&#10;AAALAQAADwAAAAAAAAABACAAAAAiAAAAZHJzL2Rvd25yZXYueG1sUEsBAhQAFAAAAAgAh07iQNeZ&#10;LuPkAQAAtAMAAA4AAAAAAAAAAQAgAAAAKQEAAGRycy9lMm9Eb2MueG1sUEsFBgAAAAAGAAYAWQEA&#10;AH8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1436370</wp:posOffset>
                </wp:positionH>
                <wp:positionV relativeFrom="paragraph">
                  <wp:posOffset>3324225</wp:posOffset>
                </wp:positionV>
                <wp:extent cx="781685" cy="285750"/>
                <wp:effectExtent l="4445" t="4445" r="13970" b="14605"/>
                <wp:wrapNone/>
                <wp:docPr id="24" name="文本框 24"/>
                <wp:cNvGraphicFramePr/>
                <a:graphic xmlns:a="http://schemas.openxmlformats.org/drawingml/2006/main">
                  <a:graphicData uri="http://schemas.microsoft.com/office/word/2010/wordprocessingShape">
                    <wps:wsp>
                      <wps:cNvSpPr txBox="1"/>
                      <wps:spPr>
                        <a:xfrm>
                          <a:off x="0" y="0"/>
                          <a:ext cx="781685"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731AD4C">
                            <w:pPr>
                              <w:jc w:val="center"/>
                              <w:rPr>
                                <w:rFonts w:eastAsiaTheme="minorEastAsia"/>
                              </w:rPr>
                            </w:pPr>
                            <w:r>
                              <w:rPr>
                                <w:rFonts w:hint="eastAsia" w:ascii="Arial" w:hAnsi="Arial" w:eastAsia="等线" w:cs="Arial"/>
                                <w:sz w:val="22"/>
                              </w:rPr>
                              <w:t>合格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1pt;margin-top:261.75pt;height:22.5pt;width:61.55pt;z-index:251684864;mso-width-relative:page;mso-height-relative:page;" fillcolor="#FFFFFF [3201]" filled="t" stroked="t" coordsize="21600,21600" o:gfxdata="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amk&#10;ntoAAAALAQAADwAAAAAAAAABACAAAAAiAAAAZHJzL2Rvd25yZXYueG1sUEsBAhQAFAAAAAgAh07i&#10;QKkeVwRZAgAAuQQAAA4AAAAAAAAAAQAgAAAAKQEAAGRycy9lMm9Eb2MueG1sUEsFBgAAAAAGAAYA&#10;WQEAAPQFAAAAAA==&#10;">
                <v:fill on="t" focussize="0,0"/>
                <v:stroke color="#000000 [3213]" joinstyle="round"/>
                <v:imagedata o:title=""/>
                <o:lock v:ext="edit" aspectratio="f"/>
                <v:textbox>
                  <w:txbxContent>
                    <w:p w14:paraId="6731AD4C">
                      <w:pPr>
                        <w:jc w:val="center"/>
                        <w:rPr>
                          <w:rFonts w:eastAsiaTheme="minorEastAsia"/>
                        </w:rPr>
                      </w:pPr>
                      <w:r>
                        <w:rPr>
                          <w:rFonts w:hint="eastAsia" w:ascii="Arial" w:hAnsi="Arial" w:eastAsia="等线" w:cs="Arial"/>
                          <w:sz w:val="22"/>
                        </w:rPr>
                        <w:t>合格</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1826895</wp:posOffset>
                </wp:positionH>
                <wp:positionV relativeFrom="paragraph">
                  <wp:posOffset>3609975</wp:posOffset>
                </wp:positionV>
                <wp:extent cx="635" cy="232410"/>
                <wp:effectExtent l="4445" t="0" r="13970" b="15240"/>
                <wp:wrapNone/>
                <wp:docPr id="64" name="直接连接符 64"/>
                <wp:cNvGraphicFramePr/>
                <a:graphic xmlns:a="http://schemas.openxmlformats.org/drawingml/2006/main">
                  <a:graphicData uri="http://schemas.microsoft.com/office/word/2010/wordprocessingShape">
                    <wps:wsp>
                      <wps:cNvCnPr/>
                      <wps:spPr>
                        <a:xfrm flipH="1">
                          <a:off x="0" y="0"/>
                          <a:ext cx="635" cy="23241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43.85pt;margin-top:284.25pt;height:18.3pt;width:0.05pt;z-index:251707392;mso-width-relative:page;mso-height-relative:page;" filled="f" stroked="t" coordsize="21600,21600" o:gfxdata="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6EDLL2gAAAAsBAAAPAAAAAAAAAAEAIAAAACIAAABkcnMvZG93bnJldi54bWxQSwECFAAU&#10;AAAACACHTuJAXhMc9u8BAAC+AwAADgAAAAAAAAABACAAAAApAQAAZHJzL2Uyb0RvYy54bWxQSwUG&#10;AAAAAAYABgBZAQAAigU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1822450</wp:posOffset>
                </wp:positionH>
                <wp:positionV relativeFrom="paragraph">
                  <wp:posOffset>3843655</wp:posOffset>
                </wp:positionV>
                <wp:extent cx="1154430" cy="2540"/>
                <wp:effectExtent l="0" t="0" r="0" b="0"/>
                <wp:wrapNone/>
                <wp:docPr id="39" name="直接连接符 39"/>
                <wp:cNvGraphicFramePr/>
                <a:graphic xmlns:a="http://schemas.openxmlformats.org/drawingml/2006/main">
                  <a:graphicData uri="http://schemas.microsoft.com/office/word/2010/wordprocessingShape">
                    <wps:wsp>
                      <wps:cNvCnPr/>
                      <wps:spPr>
                        <a:xfrm flipH="1">
                          <a:off x="0" y="0"/>
                          <a:ext cx="1154430" cy="254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43.5pt;margin-top:302.65pt;height:0.2pt;width:90.9pt;z-index:251692032;mso-width-relative:page;mso-height-relative:page;" filled="f" stroked="t" coordsize="21600,21600" o:gfxdata="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k+XbraAAAACwEAAA8AAAAAAAAAAQAgAAAAIgAAAGRycy9kb3ducmV2LnhtbFBLAQIU&#10;ABQAAAAIAIdO4kAzy/ow8QEAAMADAAAOAAAAAAAAAAEAIAAAACkBAABkcnMvZTJvRG9jLnhtbFBL&#10;BQYAAAAABgAGAFkBAACM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2971165</wp:posOffset>
                </wp:positionH>
                <wp:positionV relativeFrom="paragraph">
                  <wp:posOffset>3843655</wp:posOffset>
                </wp:positionV>
                <wp:extent cx="635" cy="233045"/>
                <wp:effectExtent l="4445" t="0" r="13970" b="14605"/>
                <wp:wrapNone/>
                <wp:docPr id="63" name="直接连接符 63"/>
                <wp:cNvGraphicFramePr/>
                <a:graphic xmlns:a="http://schemas.openxmlformats.org/drawingml/2006/main">
                  <a:graphicData uri="http://schemas.microsoft.com/office/word/2010/wordprocessingShape">
                    <wps:wsp>
                      <wps:cNvCnPr/>
                      <wps:spPr>
                        <a:xfrm flipH="1">
                          <a:off x="0" y="0"/>
                          <a:ext cx="635" cy="23304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233.95pt;margin-top:302.65pt;height:18.35pt;width:0.05pt;z-index:251706368;mso-width-relative:page;mso-height-relative:page;" filled="f" stroked="t" coordsize="21600,21600" o:gfxdata="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pQfhfbAAAACwEAAA8AAAAAAAAAAQAgAAAAIgAAAGRycy9kb3ducmV2LnhtbFBLAQIUABQA&#10;AAAIAIdO4kB2HNEa7QEAAL4DAAAOAAAAAAAAAAEAIAAAACoBAABkcnMvZTJvRG9jLnhtbFBLBQYA&#10;AAAABgAGAFkBAACJ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1704340</wp:posOffset>
                </wp:positionH>
                <wp:positionV relativeFrom="paragraph">
                  <wp:posOffset>4076700</wp:posOffset>
                </wp:positionV>
                <wp:extent cx="2533015" cy="285750"/>
                <wp:effectExtent l="4445" t="4445" r="15240" b="14605"/>
                <wp:wrapNone/>
                <wp:docPr id="7" name="文本框 7"/>
                <wp:cNvGraphicFramePr/>
                <a:graphic xmlns:a="http://schemas.openxmlformats.org/drawingml/2006/main">
                  <a:graphicData uri="http://schemas.microsoft.com/office/word/2010/wordprocessingShape">
                    <wps:wsp>
                      <wps:cNvSpPr txBox="1"/>
                      <wps:spPr>
                        <a:xfrm>
                          <a:off x="0" y="0"/>
                          <a:ext cx="2533015"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4ED0655">
                            <w:pPr>
                              <w:jc w:val="center"/>
                            </w:pPr>
                            <w:r>
                              <w:rPr>
                                <w:rFonts w:ascii="Arial" w:hAnsi="Arial" w:eastAsia="等线" w:cs="Arial"/>
                                <w:sz w:val="22"/>
                              </w:rPr>
                              <w:t>进入下一管护年度，直至管护期届满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4.2pt;margin-top:321pt;height:22.5pt;width:199.45pt;z-index:251673600;mso-width-relative:page;mso-height-relative:page;" fillcolor="#FFFFFF [3201]" filled="t" stroked="t" coordsize="21600,21600" o:gfxdata="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89ic&#10;DdoAAAALAQAADwAAAAAAAAABACAAAAAiAAAAZHJzL2Rvd25yZXYueG1sUEsBAhQAFAAAAAgAh07i&#10;QPMfN+ZZAgAAuAQAAA4AAAAAAAAAAQAgAAAAKQEAAGRycy9lMm9Eb2MueG1sUEsFBgAAAAAGAAYA&#10;WQEAAPQFAAAAAA==&#10;">
                <v:fill on="t" focussize="0,0"/>
                <v:stroke color="#000000 [3213]" joinstyle="round"/>
                <v:imagedata o:title=""/>
                <o:lock v:ext="edit" aspectratio="f"/>
                <v:textbox>
                  <w:txbxContent>
                    <w:p w14:paraId="54ED0655">
                      <w:pPr>
                        <w:jc w:val="center"/>
                      </w:pPr>
                      <w:r>
                        <w:rPr>
                          <w:rFonts w:ascii="Arial" w:hAnsi="Arial" w:eastAsia="等线" w:cs="Arial"/>
                          <w:sz w:val="22"/>
                        </w:rPr>
                        <w:t>进入下一管护年度，直至管护期届满</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1352550</wp:posOffset>
                </wp:positionH>
                <wp:positionV relativeFrom="paragraph">
                  <wp:posOffset>4620895</wp:posOffset>
                </wp:positionV>
                <wp:extent cx="3237865" cy="285750"/>
                <wp:effectExtent l="4445" t="4445" r="15240" b="14605"/>
                <wp:wrapNone/>
                <wp:docPr id="8" name="文本框 8"/>
                <wp:cNvGraphicFramePr/>
                <a:graphic xmlns:a="http://schemas.openxmlformats.org/drawingml/2006/main">
                  <a:graphicData uri="http://schemas.microsoft.com/office/word/2010/wordprocessingShape">
                    <wps:wsp>
                      <wps:cNvSpPr txBox="1"/>
                      <wps:spPr>
                        <a:xfrm>
                          <a:off x="0" y="0"/>
                          <a:ext cx="3237865"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62B4DE9">
                            <w:pPr>
                              <w:jc w:val="center"/>
                              <w:rPr>
                                <w:rFonts w:eastAsia="等线"/>
                              </w:rPr>
                            </w:pPr>
                            <w:r>
                              <w:rPr>
                                <w:rFonts w:ascii="Arial" w:hAnsi="Arial" w:eastAsia="等线" w:cs="Arial"/>
                                <w:sz w:val="22"/>
                              </w:rPr>
                              <w:t>管护期届满</w:t>
                            </w:r>
                            <w:r>
                              <w:rPr>
                                <w:rFonts w:hint="eastAsia" w:ascii="Arial" w:hAnsi="Arial" w:eastAsia="等线" w:cs="Arial"/>
                                <w:sz w:val="22"/>
                              </w:rPr>
                              <w:t>，</w:t>
                            </w:r>
                            <w:r>
                              <w:rPr>
                                <w:rFonts w:ascii="Arial" w:hAnsi="Arial" w:eastAsia="等线" w:cs="Arial"/>
                                <w:sz w:val="22"/>
                              </w:rPr>
                              <w:t>第三方机构开展成效评估与现场验收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5pt;margin-top:363.85pt;height:22.5pt;width:254.95pt;z-index:251674624;mso-width-relative:page;mso-height-relative:page;" fillcolor="#FFFFFF [3201]" filled="t" stroked="t" coordsize="21600,21600" o:gfxdata="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BcU2&#10;EdoAAAALAQAADwAAAAAAAAABACAAAAAiAAAAZHJzL2Rvd25yZXYueG1sUEsBAhQAFAAAAAgAh07i&#10;QOqdJ1xZAgAAuAQAAA4AAAAAAAAAAQAgAAAAKQEAAGRycy9lMm9Eb2MueG1sUEsFBgAAAAAGAAYA&#10;WQEAAPQFAAAAAA==&#10;">
                <v:fill on="t" focussize="0,0"/>
                <v:stroke color="#000000 [3213]" joinstyle="round"/>
                <v:imagedata o:title=""/>
                <o:lock v:ext="edit" aspectratio="f"/>
                <v:textbox>
                  <w:txbxContent>
                    <w:p w14:paraId="662B4DE9">
                      <w:pPr>
                        <w:jc w:val="center"/>
                        <w:rPr>
                          <w:rFonts w:eastAsia="等线"/>
                        </w:rPr>
                      </w:pPr>
                      <w:r>
                        <w:rPr>
                          <w:rFonts w:ascii="Arial" w:hAnsi="Arial" w:eastAsia="等线" w:cs="Arial"/>
                          <w:sz w:val="22"/>
                        </w:rPr>
                        <w:t>管护期届满</w:t>
                      </w:r>
                      <w:r>
                        <w:rPr>
                          <w:rFonts w:hint="eastAsia" w:ascii="Arial" w:hAnsi="Arial" w:eastAsia="等线" w:cs="Arial"/>
                          <w:sz w:val="22"/>
                        </w:rPr>
                        <w:t>，</w:t>
                      </w:r>
                      <w:r>
                        <w:rPr>
                          <w:rFonts w:ascii="Arial" w:hAnsi="Arial" w:eastAsia="等线" w:cs="Arial"/>
                          <w:sz w:val="22"/>
                        </w:rPr>
                        <w:t>第三方机构开展成效评估与现场验收</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2968625</wp:posOffset>
                </wp:positionH>
                <wp:positionV relativeFrom="paragraph">
                  <wp:posOffset>4907915</wp:posOffset>
                </wp:positionV>
                <wp:extent cx="635" cy="215900"/>
                <wp:effectExtent l="4445" t="0" r="13970" b="12700"/>
                <wp:wrapNone/>
                <wp:docPr id="62" name="直接连接符 62"/>
                <wp:cNvGraphicFramePr/>
                <a:graphic xmlns:a="http://schemas.openxmlformats.org/drawingml/2006/main">
                  <a:graphicData uri="http://schemas.microsoft.com/office/word/2010/wordprocessingShape">
                    <wps:wsp>
                      <wps:cNvCnPr/>
                      <wps:spPr>
                        <a:xfrm>
                          <a:off x="0" y="0"/>
                          <a:ext cx="635" cy="21590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33.75pt;margin-top:386.45pt;height:17pt;width:0.05pt;z-index:251705344;mso-width-relative:page;mso-height-relative:page;" filled="f" stroked="t" coordsize="21600,21600" o:gfxdata="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Sh0P&#10;2wAAAAsBAAAPAAAAAAAAAAEAIAAAACIAAABkcnMvZG93bnJldi54bWxQSwECFAAUAAAACACHTuJA&#10;Wc4TAeUBAAC0AwAADgAAAAAAAAABACAAAAAqAQAAZHJzL2Uyb0RvYy54bWxQSwUGAAAAAAYABgBZ&#10;AQAAgQU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4020820</wp:posOffset>
                </wp:positionH>
                <wp:positionV relativeFrom="paragraph">
                  <wp:posOffset>5110480</wp:posOffset>
                </wp:positionV>
                <wp:extent cx="1270" cy="217805"/>
                <wp:effectExtent l="4445" t="0" r="13335" b="10795"/>
                <wp:wrapNone/>
                <wp:docPr id="61" name="直接连接符 61"/>
                <wp:cNvGraphicFramePr/>
                <a:graphic xmlns:a="http://schemas.openxmlformats.org/drawingml/2006/main">
                  <a:graphicData uri="http://schemas.microsoft.com/office/word/2010/wordprocessingShape">
                    <wps:wsp>
                      <wps:cNvCnPr/>
                      <wps:spPr>
                        <a:xfrm flipH="1">
                          <a:off x="0" y="0"/>
                          <a:ext cx="1270" cy="21780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16.6pt;margin-top:402.4pt;height:17.15pt;width:0.1pt;z-index:251704320;mso-width-relative:page;mso-height-relative:page;" filled="f" stroked="t" coordsize="21600,21600" o:gfxdata="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IoHEdkAAAALAQAADwAAAAAAAAABACAAAAAiAAAAZHJzL2Rvd25yZXYueG1sUEsBAhQAFAAA&#10;AAgAh07iQPPQFAnuAQAAvwMAAA4AAAAAAAAAAQAgAAAAKAEAAGRycy9lMm9Eb2MueG1sUEsFBgAA&#10;AAAGAAYAWQEAAIg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1832610</wp:posOffset>
                </wp:positionH>
                <wp:positionV relativeFrom="paragraph">
                  <wp:posOffset>5118100</wp:posOffset>
                </wp:positionV>
                <wp:extent cx="1136015" cy="2540"/>
                <wp:effectExtent l="0" t="0" r="0" b="0"/>
                <wp:wrapNone/>
                <wp:docPr id="43" name="直接连接符 43"/>
                <wp:cNvGraphicFramePr/>
                <a:graphic xmlns:a="http://schemas.openxmlformats.org/drawingml/2006/main">
                  <a:graphicData uri="http://schemas.microsoft.com/office/word/2010/wordprocessingShape">
                    <wps:wsp>
                      <wps:cNvCnPr/>
                      <wps:spPr>
                        <a:xfrm flipH="1">
                          <a:off x="0" y="0"/>
                          <a:ext cx="1136015" cy="254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44.3pt;margin-top:403pt;height:0.2pt;width:89.45pt;z-index:251696128;mso-width-relative:page;mso-height-relative:page;" filled="f" stroked="t" coordsize="21600,21600" o:gfxdata="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0UU8NoAAAALAQAADwAAAAAAAAABACAAAAAiAAAAZHJzL2Rvd25yZXYueG1sUEsBAhQA&#10;FAAAAAgAh07iQEzHPI7wAQAAwAMAAA4AAAAAAAAAAQAgAAAAKQEAAGRycy9lMm9Eb2MueG1sUEsF&#10;BgAAAAAGAAYAWQEAAIs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2971800</wp:posOffset>
                </wp:positionH>
                <wp:positionV relativeFrom="paragraph">
                  <wp:posOffset>5113020</wp:posOffset>
                </wp:positionV>
                <wp:extent cx="1050290" cy="6350"/>
                <wp:effectExtent l="0" t="0" r="0" b="0"/>
                <wp:wrapNone/>
                <wp:docPr id="45" name="直接连接符 45"/>
                <wp:cNvGraphicFramePr/>
                <a:graphic xmlns:a="http://schemas.openxmlformats.org/drawingml/2006/main">
                  <a:graphicData uri="http://schemas.microsoft.com/office/word/2010/wordprocessingShape">
                    <wps:wsp>
                      <wps:cNvCnPr/>
                      <wps:spPr>
                        <a:xfrm flipV="1">
                          <a:off x="0" y="0"/>
                          <a:ext cx="1050290"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34pt;margin-top:402.6pt;height:0.5pt;width:82.7pt;z-index:251697152;mso-width-relative:page;mso-height-relative:page;" filled="f" stroked="t" coordsize="21600,21600" o:gfxdata="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D86onbAAAACwEAAA8AAAAAAAAAAQAgAAAAIgAAAGRycy9kb3ducmV2LnhtbFBLAQIU&#10;ABQAAAAIAIdO4kD2+ZkL8AEAAMADAAAOAAAAAAAAAAEAIAAAACoBAABkcnMvZTJvRG9jLnhtbFBL&#10;BQYAAAAABgAGAFkBAACM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3279140</wp:posOffset>
                </wp:positionH>
                <wp:positionV relativeFrom="paragraph">
                  <wp:posOffset>5328285</wp:posOffset>
                </wp:positionV>
                <wp:extent cx="1483360" cy="285750"/>
                <wp:effectExtent l="4445" t="4445" r="17145" b="14605"/>
                <wp:wrapNone/>
                <wp:docPr id="40" name="文本框 40"/>
                <wp:cNvGraphicFramePr/>
                <a:graphic xmlns:a="http://schemas.openxmlformats.org/drawingml/2006/main">
                  <a:graphicData uri="http://schemas.microsoft.com/office/word/2010/wordprocessingShape">
                    <wps:wsp>
                      <wps:cNvSpPr txBox="1"/>
                      <wps:spPr>
                        <a:xfrm>
                          <a:off x="0" y="0"/>
                          <a:ext cx="1483360"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67283D2">
                            <w:pPr>
                              <w:jc w:val="center"/>
                              <w:rPr>
                                <w:rFonts w:eastAsiaTheme="minorEastAsia"/>
                              </w:rPr>
                            </w:pPr>
                            <w:r>
                              <w:rPr>
                                <w:rFonts w:hint="eastAsia" w:ascii="Arial" w:hAnsi="Arial" w:eastAsia="等线" w:cs="Arial"/>
                                <w:sz w:val="22"/>
                              </w:rPr>
                              <w:t>不合格，</w:t>
                            </w:r>
                            <w:r>
                              <w:rPr>
                                <w:rFonts w:ascii="Arial" w:hAnsi="Arial" w:eastAsia="等线" w:cs="Arial"/>
                                <w:sz w:val="22"/>
                              </w:rPr>
                              <w:t>整改方案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8.2pt;margin-top:419.55pt;height:22.5pt;width:116.8pt;z-index:251694080;mso-width-relative:page;mso-height-relative:page;" fillcolor="#FFFFFF [3201]" filled="t" stroked="t" coordsize="21600,21600" o:gfxdata="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3vhSY&#10;2gAAAAsBAAAPAAAAAAAAAAEAIAAAACIAAABkcnMvZG93bnJldi54bWxQSwECFAAUAAAACACHTuJA&#10;qfwF21gCAAC6BAAADgAAAAAAAAABACAAAAApAQAAZHJzL2Uyb0RvYy54bWxQSwUGAAAAAAYABgBZ&#10;AQAA8wUAAAAA&#10;">
                <v:fill on="t" focussize="0,0"/>
                <v:stroke color="#000000 [3213]" joinstyle="round"/>
                <v:imagedata o:title=""/>
                <o:lock v:ext="edit" aspectratio="f"/>
                <v:textbox>
                  <w:txbxContent>
                    <w:p w14:paraId="367283D2">
                      <w:pPr>
                        <w:jc w:val="center"/>
                        <w:rPr>
                          <w:rFonts w:eastAsiaTheme="minorEastAsia"/>
                        </w:rPr>
                      </w:pPr>
                      <w:r>
                        <w:rPr>
                          <w:rFonts w:hint="eastAsia" w:ascii="Arial" w:hAnsi="Arial" w:eastAsia="等线" w:cs="Arial"/>
                          <w:sz w:val="22"/>
                        </w:rPr>
                        <w:t>不合格，</w:t>
                      </w:r>
                      <w:r>
                        <w:rPr>
                          <w:rFonts w:ascii="Arial" w:hAnsi="Arial" w:eastAsia="等线" w:cs="Arial"/>
                          <w:sz w:val="22"/>
                        </w:rPr>
                        <w:t>整改方案</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1836420</wp:posOffset>
                </wp:positionH>
                <wp:positionV relativeFrom="paragraph">
                  <wp:posOffset>5118735</wp:posOffset>
                </wp:positionV>
                <wp:extent cx="3810" cy="232410"/>
                <wp:effectExtent l="4445" t="0" r="10795" b="15240"/>
                <wp:wrapNone/>
                <wp:docPr id="60" name="直接连接符 60"/>
                <wp:cNvGraphicFramePr/>
                <a:graphic xmlns:a="http://schemas.openxmlformats.org/drawingml/2006/main">
                  <a:graphicData uri="http://schemas.microsoft.com/office/word/2010/wordprocessingShape">
                    <wps:wsp>
                      <wps:cNvCnPr/>
                      <wps:spPr>
                        <a:xfrm>
                          <a:off x="0" y="0"/>
                          <a:ext cx="3810" cy="23241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4.6pt;margin-top:403.05pt;height:18.3pt;width:0.3pt;z-index:251703296;mso-width-relative:page;mso-height-relative:page;" filled="f" stroked="t" coordsize="21600,21600" o:gfxdata="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DoAidkA&#10;AAALAQAADwAAAAAAAAABACAAAAAiAAAAZHJzL2Rvd25yZXYueG1sUEsBAhQAFAAAAAgAh07iQBTV&#10;GUrlAQAAtQMAAA4AAAAAAAAAAQAgAAAAKAEAAGRycy9lMm9Eb2MueG1sUEsFBgAAAAAGAAYAWQEA&#10;AH8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1449070</wp:posOffset>
                </wp:positionH>
                <wp:positionV relativeFrom="paragraph">
                  <wp:posOffset>5346700</wp:posOffset>
                </wp:positionV>
                <wp:extent cx="781685" cy="285750"/>
                <wp:effectExtent l="4445" t="4445" r="13970" b="14605"/>
                <wp:wrapNone/>
                <wp:docPr id="41" name="文本框 41"/>
                <wp:cNvGraphicFramePr/>
                <a:graphic xmlns:a="http://schemas.openxmlformats.org/drawingml/2006/main">
                  <a:graphicData uri="http://schemas.microsoft.com/office/word/2010/wordprocessingShape">
                    <wps:wsp>
                      <wps:cNvSpPr txBox="1"/>
                      <wps:spPr>
                        <a:xfrm>
                          <a:off x="0" y="0"/>
                          <a:ext cx="781685"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692A1AE">
                            <w:pPr>
                              <w:jc w:val="center"/>
                              <w:rPr>
                                <w:rFonts w:eastAsiaTheme="minorEastAsia"/>
                              </w:rPr>
                            </w:pPr>
                            <w:r>
                              <w:rPr>
                                <w:rFonts w:hint="eastAsia" w:ascii="Arial" w:hAnsi="Arial" w:eastAsia="等线" w:cs="Arial"/>
                                <w:sz w:val="22"/>
                              </w:rPr>
                              <w:t>合格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1pt;margin-top:421pt;height:22.5pt;width:61.55pt;z-index:251695104;mso-width-relative:page;mso-height-relative:page;" fillcolor="#FFFFFF [3201]" filled="t" stroked="t" coordsize="21600,21600" o:gfxdata="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TFp8k&#10;2QAAAAsBAAAPAAAAAAAAAAEAIAAAACIAAABkcnMvZG93bnJldi54bWxQSwECFAAUAAAACACHTuJA&#10;6cEaB1kCAAC5BAAADgAAAAAAAAABACAAAAAoAQAAZHJzL2Uyb0RvYy54bWxQSwUGAAAAAAYABgBZ&#10;AQAA8wUAAAAA&#10;">
                <v:fill on="t" focussize="0,0"/>
                <v:stroke color="#000000 [3213]" joinstyle="round"/>
                <v:imagedata o:title=""/>
                <o:lock v:ext="edit" aspectratio="f"/>
                <v:textbox>
                  <w:txbxContent>
                    <w:p w14:paraId="1692A1AE">
                      <w:pPr>
                        <w:jc w:val="center"/>
                        <w:rPr>
                          <w:rFonts w:eastAsiaTheme="minorEastAsia"/>
                        </w:rPr>
                      </w:pPr>
                      <w:r>
                        <w:rPr>
                          <w:rFonts w:hint="eastAsia" w:ascii="Arial" w:hAnsi="Arial" w:eastAsia="等线" w:cs="Arial"/>
                          <w:sz w:val="22"/>
                        </w:rPr>
                        <w:t>合格</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1842770</wp:posOffset>
                </wp:positionH>
                <wp:positionV relativeFrom="paragraph">
                  <wp:posOffset>5629910</wp:posOffset>
                </wp:positionV>
                <wp:extent cx="3810" cy="232410"/>
                <wp:effectExtent l="4445" t="0" r="10795" b="15240"/>
                <wp:wrapNone/>
                <wp:docPr id="59" name="直接连接符 59"/>
                <wp:cNvGraphicFramePr/>
                <a:graphic xmlns:a="http://schemas.openxmlformats.org/drawingml/2006/main">
                  <a:graphicData uri="http://schemas.microsoft.com/office/word/2010/wordprocessingShape">
                    <wps:wsp>
                      <wps:cNvCnPr/>
                      <wps:spPr>
                        <a:xfrm>
                          <a:off x="0" y="0"/>
                          <a:ext cx="3810" cy="23241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5.1pt;margin-top:443.3pt;height:18.3pt;width:0.3pt;z-index:251702272;mso-width-relative:page;mso-height-relative:page;" filled="f" stroked="t" coordsize="21600,21600" o:gfxdata="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LnEhG&#10;2gAAAAsBAAAPAAAAAAAAAAEAIAAAACIAAABkcnMvZG93bnJldi54bWxQSwECFAAUAAAACACHTuJA&#10;7RX8G+YBAAC1AwAADgAAAAAAAAABACAAAAApAQAAZHJzL2Uyb0RvYy54bWxQSwUGAAAAAAYABgBZ&#10;AQAAgQU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1847215</wp:posOffset>
                </wp:positionH>
                <wp:positionV relativeFrom="paragraph">
                  <wp:posOffset>5859145</wp:posOffset>
                </wp:positionV>
                <wp:extent cx="1154430" cy="2540"/>
                <wp:effectExtent l="0" t="0" r="0" b="0"/>
                <wp:wrapNone/>
                <wp:docPr id="47" name="直接连接符 47"/>
                <wp:cNvGraphicFramePr/>
                <a:graphic xmlns:a="http://schemas.openxmlformats.org/drawingml/2006/main">
                  <a:graphicData uri="http://schemas.microsoft.com/office/word/2010/wordprocessingShape">
                    <wps:wsp>
                      <wps:cNvCnPr/>
                      <wps:spPr>
                        <a:xfrm flipH="1">
                          <a:off x="0" y="0"/>
                          <a:ext cx="1154430" cy="254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45.45pt;margin-top:461.35pt;height:0.2pt;width:90.9pt;z-index:251698176;mso-width-relative:page;mso-height-relative:page;" filled="f" stroked="t" coordsize="21600,21600" o:gfxdata="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WF2bNkAAAALAQAADwAAAAAAAAABACAAAAAiAAAAZHJzL2Rvd25yZXYueG1sUEsBAhQA&#10;FAAAAAgAh07iQMldx+bxAQAAwAMAAA4AAAAAAAAAAQAgAAAAKAEAAGRycy9lMm9Eb2MueG1sUEsF&#10;BgAAAAAGAAYAWQEAAIs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3000375</wp:posOffset>
                </wp:positionH>
                <wp:positionV relativeFrom="paragraph">
                  <wp:posOffset>5857240</wp:posOffset>
                </wp:positionV>
                <wp:extent cx="3810" cy="232410"/>
                <wp:effectExtent l="4445" t="0" r="10795" b="15240"/>
                <wp:wrapNone/>
                <wp:docPr id="58" name="直接连接符 58"/>
                <wp:cNvGraphicFramePr/>
                <a:graphic xmlns:a="http://schemas.openxmlformats.org/drawingml/2006/main">
                  <a:graphicData uri="http://schemas.microsoft.com/office/word/2010/wordprocessingShape">
                    <wps:wsp>
                      <wps:cNvCnPr/>
                      <wps:spPr>
                        <a:xfrm>
                          <a:off x="0" y="0"/>
                          <a:ext cx="3810" cy="23241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36.25pt;margin-top:461.2pt;height:18.3pt;width:0.3pt;z-index:251701248;mso-width-relative:page;mso-height-relative:page;" filled="f" stroked="t" coordsize="21600,21600" o:gfxdata="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L1UPA&#10;2wAAAAsBAAAPAAAAAAAAAAEAIAAAACIAAABkcnMvZG93bnJldi54bWxQSwECFAAUAAAACACHTuJA&#10;O4ElBOUBAAC1AwAADgAAAAAAAAABACAAAAAqAQAAZHJzL2Uyb0RvYy54bWxQSwUGAAAAAAYABgBZ&#10;AQAAgQU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2595245</wp:posOffset>
                </wp:positionH>
                <wp:positionV relativeFrom="paragraph">
                  <wp:posOffset>6085840</wp:posOffset>
                </wp:positionV>
                <wp:extent cx="809625" cy="285750"/>
                <wp:effectExtent l="4445" t="4445" r="5080" b="14605"/>
                <wp:wrapNone/>
                <wp:docPr id="9" name="文本框 9"/>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3B27C31">
                            <w:pPr>
                              <w:jc w:val="center"/>
                              <w:rPr>
                                <w:rFonts w:eastAsia="等线"/>
                              </w:rPr>
                            </w:pPr>
                            <w:r>
                              <w:rPr>
                                <w:rFonts w:ascii="Arial" w:hAnsi="Arial" w:eastAsia="等线" w:cs="Arial"/>
                                <w:sz w:val="22"/>
                              </w:rPr>
                              <w:t>管护终止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35pt;margin-top:479.2pt;height:22.5pt;width:63.75pt;z-index:251675648;mso-width-relative:page;mso-height-relative:page;" fillcolor="#FFFFFF [3201]" filled="t" stroked="t" coordsize="21600,21600" o:gfxdata="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6LXdX2wAA&#10;AAwBAAAPAAAAAAAAAAEAIAAAACIAAABkcnMvZG93bnJldi54bWxQSwECFAAUAAAACACHTuJABbGV&#10;dlQCAAC3BAAADgAAAAAAAAABACAAAAAqAQAAZHJzL2Uyb0RvYy54bWxQSwUGAAAAAAYABgBZAQAA&#10;8AUAAAAA&#10;">
                <v:fill on="t" focussize="0,0"/>
                <v:stroke color="#000000 [3213]" joinstyle="round"/>
                <v:imagedata o:title=""/>
                <o:lock v:ext="edit" aspectratio="f"/>
                <v:textbox>
                  <w:txbxContent>
                    <w:p w14:paraId="53B27C31">
                      <w:pPr>
                        <w:jc w:val="center"/>
                        <w:rPr>
                          <w:rFonts w:eastAsia="等线"/>
                        </w:rPr>
                      </w:pPr>
                      <w:r>
                        <w:rPr>
                          <w:rFonts w:ascii="Arial" w:hAnsi="Arial" w:eastAsia="等线" w:cs="Arial"/>
                          <w:sz w:val="22"/>
                        </w:rPr>
                        <w:t>管护终止</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3000375</wp:posOffset>
                </wp:positionH>
                <wp:positionV relativeFrom="paragraph">
                  <wp:posOffset>6371590</wp:posOffset>
                </wp:positionV>
                <wp:extent cx="3810" cy="232410"/>
                <wp:effectExtent l="4445" t="0" r="10795" b="15240"/>
                <wp:wrapNone/>
                <wp:docPr id="49" name="直接连接符 49"/>
                <wp:cNvGraphicFramePr/>
                <a:graphic xmlns:a="http://schemas.openxmlformats.org/drawingml/2006/main">
                  <a:graphicData uri="http://schemas.microsoft.com/office/word/2010/wordprocessingShape">
                    <wps:wsp>
                      <wps:cNvCnPr/>
                      <wps:spPr>
                        <a:xfrm>
                          <a:off x="0" y="0"/>
                          <a:ext cx="3810" cy="23241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36.25pt;margin-top:501.7pt;height:18.3pt;width:0.3pt;z-index:251699200;mso-width-relative:page;mso-height-relative:page;" filled="f" stroked="t" coordsize="21600,21600" o:gfxdata="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lL5p&#10;ztsAAAANAQAADwAAAAAAAAABACAAAAAiAAAAZHJzL2Rvd25yZXYueG1sUEsBAhQAFAAAAAgAh07i&#10;QJi7U3TmAQAAtQMAAA4AAAAAAAAAAQAgAAAAKgEAAGRycy9lMm9Eb2MueG1sUEsFBgAAAAAGAAYA&#10;WQEAAII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2595880</wp:posOffset>
                </wp:positionH>
                <wp:positionV relativeFrom="paragraph">
                  <wp:posOffset>6604000</wp:posOffset>
                </wp:positionV>
                <wp:extent cx="815975" cy="285750"/>
                <wp:effectExtent l="4445" t="4445" r="17780" b="14605"/>
                <wp:wrapNone/>
                <wp:docPr id="10" name="文本框 10"/>
                <wp:cNvGraphicFramePr/>
                <a:graphic xmlns:a="http://schemas.openxmlformats.org/drawingml/2006/main">
                  <a:graphicData uri="http://schemas.microsoft.com/office/word/2010/wordprocessingShape">
                    <wps:wsp>
                      <wps:cNvSpPr txBox="1"/>
                      <wps:spPr>
                        <a:xfrm>
                          <a:off x="0" y="0"/>
                          <a:ext cx="815975" cy="285750"/>
                        </a:xfrm>
                        <a:prstGeom prst="rect">
                          <a:avLst/>
                        </a:prstGeom>
                        <a:solidFill>
                          <a:schemeClr val="lt1"/>
                        </a:solidFill>
                        <a:ln w="9525">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5532180">
                            <w:pPr>
                              <w:jc w:val="center"/>
                              <w:rPr>
                                <w:rFonts w:eastAsia="等线"/>
                              </w:rPr>
                            </w:pPr>
                            <w:r>
                              <w:rPr>
                                <w:rFonts w:ascii="Arial" w:hAnsi="Arial" w:eastAsia="等线" w:cs="Arial"/>
                                <w:sz w:val="22"/>
                              </w:rPr>
                              <w:t>资料归档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4pt;margin-top:520pt;height:22.5pt;width:64.25pt;z-index:251676672;mso-width-relative:page;mso-height-relative:page;" fillcolor="#FFFFFF [3201]" filled="t" stroked="t" coordsize="21600,21600" o:gfxdata="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vyBSLa&#10;AAAADQEAAA8AAAAAAAAAAQAgAAAAIgAAAGRycy9kb3ducmV2LnhtbFBLAQIUABQAAAAIAIdO4kAt&#10;vETJVwIAALkEAAAOAAAAAAAAAAEAIAAAACkBAABkcnMvZTJvRG9jLnhtbFBLBQYAAAAABgAGAFkB&#10;AADyBQAAAAA=&#10;">
                <v:fill on="t" focussize="0,0"/>
                <v:stroke color="#000000 [3213]" joinstyle="round"/>
                <v:imagedata o:title=""/>
                <o:lock v:ext="edit" aspectratio="f"/>
                <v:textbox>
                  <w:txbxContent>
                    <w:p w14:paraId="75532180">
                      <w:pPr>
                        <w:jc w:val="center"/>
                        <w:rPr>
                          <w:rFonts w:eastAsia="等线"/>
                        </w:rPr>
                      </w:pPr>
                      <w:r>
                        <w:rPr>
                          <w:rFonts w:ascii="Arial" w:hAnsi="Arial" w:eastAsia="等线" w:cs="Arial"/>
                          <w:sz w:val="22"/>
                        </w:rPr>
                        <w:t>资料归档</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4762500</wp:posOffset>
                </wp:positionH>
                <wp:positionV relativeFrom="paragraph">
                  <wp:posOffset>5471160</wp:posOffset>
                </wp:positionV>
                <wp:extent cx="101600" cy="1270"/>
                <wp:effectExtent l="0" t="0" r="0" b="0"/>
                <wp:wrapNone/>
                <wp:docPr id="56" name="直接连接符 56"/>
                <wp:cNvGraphicFramePr/>
                <a:graphic xmlns:a="http://schemas.openxmlformats.org/drawingml/2006/main">
                  <a:graphicData uri="http://schemas.microsoft.com/office/word/2010/wordprocessingShape">
                    <wps:wsp>
                      <wps:cNvCnPr/>
                      <wps:spPr>
                        <a:xfrm>
                          <a:off x="0" y="0"/>
                          <a:ext cx="101600" cy="127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75pt;margin-top:430.8pt;height:0.1pt;width:8pt;z-index:251700224;mso-width-relative:page;mso-height-relative:page;" filled="f" stroked="t" coordsize="21600,21600" o:gfxdata="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69ZUPZ&#10;AAAACwEAAA8AAAAAAAAAAQAgAAAAIgAAAGRycy9kb3ducmV2LnhtbFBLAQIUABQAAAAIAIdO4kBQ&#10;6hyg5gEAALUDAAAOAAAAAAAAAAEAIAAAACgBAABkcnMvZTJvRG9jLnhtbFBLBQYAAAAABgAGAFkB&#10;AACABQ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2971800</wp:posOffset>
                </wp:positionH>
                <wp:positionV relativeFrom="paragraph">
                  <wp:posOffset>4364990</wp:posOffset>
                </wp:positionV>
                <wp:extent cx="0" cy="255905"/>
                <wp:effectExtent l="4445" t="0" r="14605" b="10795"/>
                <wp:wrapNone/>
                <wp:docPr id="42" name="直接连接符 42"/>
                <wp:cNvGraphicFramePr/>
                <a:graphic xmlns:a="http://schemas.openxmlformats.org/drawingml/2006/main">
                  <a:graphicData uri="http://schemas.microsoft.com/office/word/2010/wordprocessingShape">
                    <wps:wsp>
                      <wps:cNvCnPr/>
                      <wps:spPr>
                        <a:xfrm>
                          <a:off x="3856990" y="4862195"/>
                          <a:ext cx="0" cy="25590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34pt;margin-top:343.7pt;height:20.15pt;width:0pt;z-index:251693056;mso-width-relative:page;mso-height-relative:page;" filled="f" stroked="t" coordsize="21600,21600" o:gfxdata="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jOZnNkAAAALAQAADwAAAAAAAAABACAAAAAiAAAAZHJzL2Rvd25yZXYueG1sUEsBAhQA&#10;FAAAAAgAh07iQH/S247xAQAAvgMAAA4AAAAAAAAAAQAgAAAAKAEAAGRycy9lMm9Eb2MueG1sUEsF&#10;BgAAAAAGAAYAWQEAAIs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4773295</wp:posOffset>
                </wp:positionH>
                <wp:positionV relativeFrom="paragraph">
                  <wp:posOffset>3453765</wp:posOffset>
                </wp:positionV>
                <wp:extent cx="96520" cy="1270"/>
                <wp:effectExtent l="0" t="0" r="0" b="0"/>
                <wp:wrapNone/>
                <wp:docPr id="31" name="直接连接符 31"/>
                <wp:cNvGraphicFramePr/>
                <a:graphic xmlns:a="http://schemas.openxmlformats.org/drawingml/2006/main">
                  <a:graphicData uri="http://schemas.microsoft.com/office/word/2010/wordprocessingShape">
                    <wps:wsp>
                      <wps:cNvCnPr/>
                      <wps:spPr>
                        <a:xfrm flipV="1">
                          <a:off x="5678805" y="4207510"/>
                          <a:ext cx="96520" cy="127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75.85pt;margin-top:271.95pt;height:0.1pt;width:7.6pt;z-index:251688960;mso-width-relative:page;mso-height-relative:page;" filled="f" stroked="t" coordsize="21600,21600" o:gfxdata="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2NAA42wAAAAsBAAAPAAAAAAAAAAEAIAAAACIAAABkcnMvZG93bnJl&#10;di54bWxQSwECFAAUAAAACACHTuJAXocDyPoBAADKAwAADgAAAAAAAAABACAAAAAqAQAAZHJzL2Uy&#10;b0RvYy54bWxQSwUGAAAAAAYABgBZAQAAlgU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2957830</wp:posOffset>
                </wp:positionH>
                <wp:positionV relativeFrom="paragraph">
                  <wp:posOffset>680085</wp:posOffset>
                </wp:positionV>
                <wp:extent cx="635" cy="229235"/>
                <wp:effectExtent l="4445" t="0" r="13970" b="18415"/>
                <wp:wrapNone/>
                <wp:docPr id="12" name="直接连接符 12"/>
                <wp:cNvGraphicFramePr/>
                <a:graphic xmlns:a="http://schemas.openxmlformats.org/drawingml/2006/main">
                  <a:graphicData uri="http://schemas.microsoft.com/office/word/2010/wordprocessingShape">
                    <wps:wsp>
                      <wps:cNvCnPr/>
                      <wps:spPr>
                        <a:xfrm>
                          <a:off x="3764915" y="2153920"/>
                          <a:ext cx="635" cy="22923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32.9pt;margin-top:53.55pt;height:18.05pt;width:0.05pt;z-index:251678720;mso-width-relative:page;mso-height-relative:page;" filled="f" stroked="t" coordsize="21600,21600" o:gfxdata="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SOwUdkAAAALAQAADwAAAAAAAAABACAAAAAiAAAAZHJzL2Rvd25yZXYueG1sUEsBAhQA&#10;FAAAAAgAh07iQDDwMj3xAQAAwAMAAA4AAAAAAAAAAQAgAAAAKAEAAGRycy9lMm9Eb2MueG1sUEsF&#10;BgAAAAAGAAYAWQEAAIsFAAAAAA==&#10;">
                <v:fill on="f" focussize="0,0"/>
                <v:stroke color="#000000 [3200]" miterlimit="8" joinstyle="miter"/>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2955925</wp:posOffset>
                </wp:positionH>
                <wp:positionV relativeFrom="paragraph">
                  <wp:posOffset>135255</wp:posOffset>
                </wp:positionV>
                <wp:extent cx="1905" cy="259080"/>
                <wp:effectExtent l="4445" t="0" r="12700" b="7620"/>
                <wp:wrapNone/>
                <wp:docPr id="11" name="直接连接符 11"/>
                <wp:cNvGraphicFramePr/>
                <a:graphic xmlns:a="http://schemas.openxmlformats.org/drawingml/2006/main">
                  <a:graphicData uri="http://schemas.microsoft.com/office/word/2010/wordprocessingShape">
                    <wps:wsp>
                      <wps:cNvCnPr/>
                      <wps:spPr>
                        <a:xfrm>
                          <a:off x="3773170" y="1687195"/>
                          <a:ext cx="1905" cy="25908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32.75pt;margin-top:10.65pt;height:20.4pt;width:0.15pt;z-index:251677696;mso-width-relative:page;mso-height-relative:page;" filled="f" stroked="t" coordsize="21600,21600" o:gfxdata="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xsPuRNgAAAAJAQAADwAAAAAAAAABACAAAAAiAAAAZHJzL2Rvd25yZXYueG1sUEsB&#10;AhQAFAAAAAgAh07iQOflzhL1AQAAwQMAAA4AAAAAAAAAAQAgAAAAJwEAAGRycy9lMm9Eb2MueG1s&#10;UEsFBgAAAAAGAAYAWQEAAI4FAAAAAA==&#10;">
                <v:fill on="f" focussize="0,0"/>
                <v:stroke color="#000000 [3200]" miterlimit="8" joinstyle="miter"/>
                <v:imagedata o:title=""/>
                <o:lock v:ext="edit" aspectratio="f"/>
              </v:line>
            </w:pict>
          </mc:Fallback>
        </mc:AlternateContent>
      </w:r>
    </w:p>
    <w:p w14:paraId="2C450737">
      <w:pPr>
        <w:pStyle w:val="90"/>
        <w:spacing w:before="0" w:after="0"/>
        <w:rPr>
          <w:color w:val="000000" w:themeColor="text1"/>
          <w:szCs w:val="21"/>
          <w14:textFill>
            <w14:solidFill>
              <w14:schemeClr w14:val="tx1"/>
            </w14:solidFill>
          </w14:textFill>
        </w:rPr>
      </w:pPr>
      <w:bookmarkStart w:id="51" w:name="_Toc30547"/>
      <w:r>
        <w:rPr>
          <w:rFonts w:hint="eastAsia"/>
          <w:color w:val="000000" w:themeColor="text1"/>
          <w:szCs w:val="21"/>
          <w14:textFill>
            <w14:solidFill>
              <w14:schemeClr w14:val="tx1"/>
            </w14:solidFill>
          </w14:textFill>
        </w:rPr>
        <w:t>附 录 B</w:t>
      </w:r>
      <w:bookmarkEnd w:id="51"/>
    </w:p>
    <w:p w14:paraId="6F32916F">
      <w:pPr>
        <w:pStyle w:val="90"/>
        <w:spacing w:before="0" w:after="0"/>
        <w:rPr>
          <w:color w:val="000000" w:themeColor="text1"/>
          <w:szCs w:val="21"/>
          <w14:textFill>
            <w14:solidFill>
              <w14:schemeClr w14:val="tx1"/>
            </w14:solidFill>
          </w14:textFill>
        </w:rPr>
      </w:pPr>
      <w:bookmarkStart w:id="52" w:name="_Toc18312"/>
      <w:bookmarkStart w:id="53" w:name="_Toc13521"/>
      <w:r>
        <w:rPr>
          <w:rFonts w:hint="eastAsia"/>
          <w:color w:val="000000" w:themeColor="text1"/>
          <w:szCs w:val="21"/>
          <w14:textFill>
            <w14:solidFill>
              <w14:schemeClr w14:val="tx1"/>
            </w14:solidFill>
          </w14:textFill>
        </w:rPr>
        <w:t>（资料性）</w:t>
      </w:r>
      <w:r>
        <w:rPr>
          <w:color w:val="000000" w:themeColor="text1"/>
          <w:szCs w:val="21"/>
          <w14:textFill>
            <w14:solidFill>
              <w14:schemeClr w14:val="tx1"/>
            </w14:solidFill>
          </w14:textFill>
        </w:rPr>
        <w:br w:type="textWrapping"/>
      </w:r>
      <w:r>
        <w:rPr>
          <w:rFonts w:hint="eastAsia"/>
          <w:color w:val="000000" w:themeColor="text1"/>
          <w:szCs w:val="21"/>
          <w14:textFill>
            <w14:solidFill>
              <w14:schemeClr w14:val="tx1"/>
            </w14:solidFill>
          </w14:textFill>
        </w:rPr>
        <w:t>废弃矿山生态修复工程后期管护方案编写参考提纲</w:t>
      </w:r>
      <w:bookmarkEnd w:id="52"/>
      <w:bookmarkEnd w:id="53"/>
    </w:p>
    <w:tbl>
      <w:tblPr>
        <w:tblStyle w:val="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0"/>
      </w:tblGrid>
      <w:tr w14:paraId="6D086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0" w:type="dxa"/>
          </w:tcPr>
          <w:p w14:paraId="020241F8">
            <w:pPr>
              <w:pStyle w:val="28"/>
              <w:spacing w:line="360" w:lineRule="auto"/>
              <w:ind w:firstLine="0" w:firstLineChars="0"/>
              <w:rPr>
                <w:b/>
                <w:bCs/>
                <w:szCs w:val="21"/>
              </w:rPr>
            </w:pPr>
            <w:r>
              <w:rPr>
                <w:rFonts w:hint="eastAsia"/>
                <w:b/>
                <w:bCs/>
                <w:szCs w:val="21"/>
              </w:rPr>
              <w:t>前言</w:t>
            </w:r>
          </w:p>
          <w:p w14:paraId="2BA97746">
            <w:pPr>
              <w:pStyle w:val="28"/>
              <w:spacing w:line="360" w:lineRule="auto"/>
              <w:ind w:firstLine="210" w:firstLineChars="100"/>
              <w:rPr>
                <w:rFonts w:hint="eastAsia" w:hAnsi="宋体" w:cs="宋体"/>
                <w:szCs w:val="21"/>
              </w:rPr>
            </w:pPr>
            <w:r>
              <w:rPr>
                <w:rFonts w:hint="eastAsia" w:hAnsi="宋体" w:cs="宋体"/>
                <w:szCs w:val="21"/>
              </w:rPr>
              <w:t>说明管护工作依据、核心任务，结合与施工单位交接情况及工程实施进度衔接。</w:t>
            </w:r>
          </w:p>
          <w:p w14:paraId="1F518A68">
            <w:pPr>
              <w:pStyle w:val="28"/>
              <w:spacing w:line="360" w:lineRule="auto"/>
              <w:ind w:firstLine="0" w:firstLineChars="0"/>
              <w:rPr>
                <w:rFonts w:hint="eastAsia" w:hAnsi="宋体" w:cs="宋体"/>
                <w:b/>
                <w:bCs/>
                <w:szCs w:val="21"/>
              </w:rPr>
            </w:pPr>
            <w:r>
              <w:rPr>
                <w:rFonts w:hint="eastAsia"/>
                <w:b/>
                <w:bCs/>
                <w:szCs w:val="21"/>
              </w:rPr>
              <w:t xml:space="preserve">第一章 </w:t>
            </w:r>
            <w:r>
              <w:rPr>
                <w:rFonts w:hint="eastAsia" w:hAnsi="宋体" w:cs="宋体"/>
                <w:b/>
                <w:bCs/>
                <w:szCs w:val="21"/>
              </w:rPr>
              <w:t>矿山基本情况</w:t>
            </w:r>
          </w:p>
          <w:p w14:paraId="16377753">
            <w:pPr>
              <w:pStyle w:val="28"/>
              <w:spacing w:line="360" w:lineRule="auto"/>
              <w:ind w:firstLine="210" w:firstLineChars="100"/>
              <w:rPr>
                <w:rFonts w:hint="eastAsia" w:hAnsi="宋体" w:cs="宋体"/>
                <w:szCs w:val="21"/>
              </w:rPr>
            </w:pPr>
            <w:r>
              <w:rPr>
                <w:rFonts w:hint="eastAsia" w:hAnsi="宋体" w:cs="宋体"/>
                <w:szCs w:val="21"/>
              </w:rPr>
              <w:t>1.1 矿山基本信息（自然生态、地质环境）</w:t>
            </w:r>
          </w:p>
          <w:p w14:paraId="68E95FD3">
            <w:pPr>
              <w:pStyle w:val="28"/>
              <w:spacing w:line="360" w:lineRule="auto"/>
              <w:ind w:firstLine="210" w:firstLineChars="100"/>
              <w:rPr>
                <w:rFonts w:hint="eastAsia" w:hAnsi="宋体" w:cs="宋体"/>
                <w:szCs w:val="21"/>
              </w:rPr>
            </w:pPr>
            <w:r>
              <w:rPr>
                <w:rFonts w:hint="eastAsia" w:hAnsi="宋体" w:cs="宋体"/>
                <w:szCs w:val="21"/>
              </w:rPr>
              <w:t>1.2 修复工程概况</w:t>
            </w:r>
          </w:p>
          <w:p w14:paraId="5C0E1617">
            <w:pPr>
              <w:pStyle w:val="28"/>
              <w:spacing w:line="360" w:lineRule="auto"/>
              <w:ind w:firstLine="210" w:firstLineChars="100"/>
              <w:rPr>
                <w:rFonts w:hint="eastAsia" w:hAnsi="宋体" w:cs="宋体"/>
                <w:szCs w:val="21"/>
              </w:rPr>
            </w:pPr>
            <w:r>
              <w:rPr>
                <w:rFonts w:hint="eastAsia" w:hAnsi="宋体" w:cs="宋体"/>
                <w:szCs w:val="21"/>
              </w:rPr>
              <w:t>1.3 与施工单位交接情况（协议、移交资料、遗留问题）</w:t>
            </w:r>
          </w:p>
          <w:p w14:paraId="23725489">
            <w:pPr>
              <w:pStyle w:val="28"/>
              <w:spacing w:line="360" w:lineRule="auto"/>
              <w:ind w:firstLine="0" w:firstLineChars="0"/>
              <w:rPr>
                <w:rFonts w:hint="eastAsia" w:hAnsi="宋体" w:cs="宋体"/>
                <w:b/>
                <w:bCs/>
                <w:szCs w:val="21"/>
              </w:rPr>
            </w:pPr>
            <w:r>
              <w:rPr>
                <w:rFonts w:hint="eastAsia" w:hAnsi="宋体" w:cs="宋体"/>
                <w:b/>
                <w:bCs/>
                <w:szCs w:val="21"/>
              </w:rPr>
              <w:t>第二章 修复工程情况</w:t>
            </w:r>
          </w:p>
          <w:p w14:paraId="7421DFFC">
            <w:pPr>
              <w:pStyle w:val="28"/>
              <w:spacing w:line="360" w:lineRule="auto"/>
              <w:ind w:firstLine="210" w:firstLineChars="100"/>
              <w:rPr>
                <w:rFonts w:hint="eastAsia" w:hAnsi="宋体" w:cs="宋体"/>
                <w:szCs w:val="21"/>
              </w:rPr>
            </w:pPr>
            <w:r>
              <w:rPr>
                <w:rFonts w:hint="eastAsia" w:hAnsi="宋体" w:cs="宋体"/>
                <w:szCs w:val="21"/>
              </w:rPr>
              <w:t>2.1 管护目标（含植被演替阶段目标、地质灾害防控目标）</w:t>
            </w:r>
          </w:p>
          <w:p w14:paraId="529ACD0B">
            <w:pPr>
              <w:pStyle w:val="28"/>
              <w:spacing w:line="360" w:lineRule="auto"/>
              <w:ind w:firstLine="210" w:firstLineChars="100"/>
              <w:rPr>
                <w:rFonts w:hint="eastAsia" w:hAnsi="宋体" w:cs="宋体"/>
                <w:szCs w:val="21"/>
              </w:rPr>
            </w:pPr>
            <w:r>
              <w:rPr>
                <w:rFonts w:hint="eastAsia" w:hAnsi="宋体" w:cs="宋体"/>
                <w:szCs w:val="21"/>
              </w:rPr>
              <w:t>2.2 管护范围与对象</w:t>
            </w:r>
          </w:p>
          <w:p w14:paraId="17B8FAA3">
            <w:pPr>
              <w:pStyle w:val="28"/>
              <w:spacing w:line="360" w:lineRule="auto"/>
              <w:ind w:firstLine="0" w:firstLineChars="0"/>
              <w:rPr>
                <w:rFonts w:hint="eastAsia" w:hAnsi="宋体" w:cs="宋体"/>
                <w:b/>
                <w:bCs/>
                <w:szCs w:val="21"/>
              </w:rPr>
            </w:pPr>
            <w:r>
              <w:rPr>
                <w:rFonts w:hint="eastAsia" w:hAnsi="宋体" w:cs="宋体"/>
                <w:b/>
                <w:bCs/>
                <w:szCs w:val="21"/>
              </w:rPr>
              <w:t>第三章 管护任务与工作部署</w:t>
            </w:r>
          </w:p>
          <w:p w14:paraId="2E73F850">
            <w:pPr>
              <w:pStyle w:val="28"/>
              <w:spacing w:line="360" w:lineRule="auto"/>
              <w:ind w:left="210" w:firstLine="0" w:firstLineChars="0"/>
              <w:rPr>
                <w:rFonts w:hint="eastAsia" w:hAnsi="宋体" w:cs="宋体"/>
                <w:szCs w:val="21"/>
              </w:rPr>
            </w:pPr>
            <w:r>
              <w:rPr>
                <w:rFonts w:hint="eastAsia" w:hAnsi="宋体" w:cs="宋体"/>
                <w:szCs w:val="21"/>
              </w:rPr>
              <w:t>3.1 分类型管护任务（地质灾害、水土保持、植被生态、环境质量）</w:t>
            </w:r>
          </w:p>
          <w:p w14:paraId="3209D846">
            <w:pPr>
              <w:pStyle w:val="28"/>
              <w:spacing w:line="360" w:lineRule="auto"/>
              <w:ind w:left="210" w:firstLine="0" w:firstLineChars="0"/>
              <w:rPr>
                <w:rFonts w:hint="eastAsia" w:hAnsi="宋体" w:cs="宋体"/>
                <w:szCs w:val="21"/>
              </w:rPr>
            </w:pPr>
            <w:r>
              <w:rPr>
                <w:rFonts w:hint="eastAsia" w:hAnsi="宋体" w:cs="宋体"/>
                <w:szCs w:val="21"/>
              </w:rPr>
              <w:t>3.2 植被从人工建造到自然演替的管护方法</w:t>
            </w:r>
          </w:p>
          <w:p w14:paraId="3EBACCA6">
            <w:pPr>
              <w:pStyle w:val="28"/>
              <w:spacing w:line="360" w:lineRule="auto"/>
              <w:ind w:left="210" w:firstLine="0" w:firstLineChars="0"/>
              <w:rPr>
                <w:rFonts w:hint="eastAsia" w:hAnsi="宋体" w:cs="宋体"/>
                <w:szCs w:val="21"/>
              </w:rPr>
            </w:pPr>
            <w:r>
              <w:rPr>
                <w:rFonts w:hint="eastAsia" w:hAnsi="宋体" w:cs="宋体"/>
                <w:szCs w:val="21"/>
              </w:rPr>
              <w:t>3.3 实施计划（分年度）</w:t>
            </w:r>
          </w:p>
          <w:p w14:paraId="1F49C044">
            <w:pPr>
              <w:pStyle w:val="28"/>
              <w:spacing w:line="360" w:lineRule="auto"/>
              <w:ind w:firstLine="0" w:firstLineChars="0"/>
              <w:rPr>
                <w:rFonts w:hint="eastAsia" w:hAnsi="宋体" w:cs="宋体"/>
                <w:b/>
                <w:bCs/>
                <w:szCs w:val="21"/>
              </w:rPr>
            </w:pPr>
            <w:r>
              <w:rPr>
                <w:rFonts w:hint="eastAsia" w:hAnsi="宋体" w:cs="宋体"/>
                <w:b/>
                <w:bCs/>
                <w:szCs w:val="21"/>
              </w:rPr>
              <w:t>第四章 经费预算</w:t>
            </w:r>
          </w:p>
          <w:p w14:paraId="6B61C0E0">
            <w:pPr>
              <w:pStyle w:val="28"/>
              <w:spacing w:line="360" w:lineRule="auto"/>
              <w:ind w:firstLine="210" w:firstLineChars="100"/>
              <w:rPr>
                <w:rFonts w:hint="eastAsia" w:hAnsi="宋体" w:cs="宋体"/>
                <w:szCs w:val="21"/>
              </w:rPr>
            </w:pPr>
            <w:r>
              <w:rPr>
                <w:rFonts w:hint="eastAsia" w:hAnsi="宋体" w:cs="宋体"/>
                <w:szCs w:val="21"/>
              </w:rPr>
              <w:t>5.1 工程概况</w:t>
            </w:r>
          </w:p>
          <w:p w14:paraId="203138DA">
            <w:pPr>
              <w:pStyle w:val="28"/>
              <w:spacing w:line="360" w:lineRule="auto"/>
              <w:ind w:firstLine="210" w:firstLineChars="100"/>
              <w:rPr>
                <w:rFonts w:hint="eastAsia" w:hAnsi="宋体" w:cs="宋体"/>
                <w:szCs w:val="21"/>
              </w:rPr>
            </w:pPr>
            <w:r>
              <w:rPr>
                <w:rFonts w:hint="eastAsia" w:hAnsi="宋体" w:cs="宋体"/>
                <w:szCs w:val="21"/>
              </w:rPr>
              <w:t>5.2 预算编制依据</w:t>
            </w:r>
          </w:p>
          <w:p w14:paraId="1B5ED731">
            <w:pPr>
              <w:widowControl/>
              <w:spacing w:line="360" w:lineRule="auto"/>
              <w:ind w:firstLine="210" w:firstLineChars="100"/>
              <w:jc w:val="left"/>
              <w:rPr>
                <w:rFonts w:ascii="宋体"/>
                <w:szCs w:val="21"/>
              </w:rPr>
            </w:pPr>
            <w:r>
              <w:rPr>
                <w:rFonts w:hint="eastAsia" w:ascii="宋体" w:hAnsi="宋体" w:cs="宋体"/>
                <w:kern w:val="0"/>
                <w:szCs w:val="21"/>
              </w:rPr>
              <w:t>5.3 采用的费用标准和测算依据</w:t>
            </w:r>
          </w:p>
          <w:p w14:paraId="20723E08">
            <w:pPr>
              <w:pStyle w:val="28"/>
              <w:spacing w:line="360" w:lineRule="auto"/>
              <w:ind w:firstLine="210" w:firstLineChars="100"/>
              <w:rPr>
                <w:rFonts w:hint="eastAsia" w:hAnsi="宋体" w:cs="宋体"/>
                <w:szCs w:val="21"/>
              </w:rPr>
            </w:pPr>
            <w:r>
              <w:rPr>
                <w:rFonts w:hint="eastAsia" w:hAnsi="宋体" w:cs="宋体"/>
                <w:szCs w:val="21"/>
              </w:rPr>
              <w:t>5.4 经费预算</w:t>
            </w:r>
          </w:p>
          <w:p w14:paraId="59C27A78">
            <w:pPr>
              <w:pStyle w:val="28"/>
              <w:spacing w:line="360" w:lineRule="auto"/>
              <w:ind w:firstLine="0" w:firstLineChars="0"/>
              <w:rPr>
                <w:rFonts w:hint="eastAsia" w:hAnsi="宋体" w:cs="宋体"/>
                <w:b/>
                <w:bCs/>
                <w:szCs w:val="21"/>
              </w:rPr>
            </w:pPr>
            <w:r>
              <w:rPr>
                <w:rFonts w:hint="eastAsia" w:hAnsi="宋体" w:cs="宋体"/>
                <w:b/>
                <w:bCs/>
                <w:szCs w:val="21"/>
              </w:rPr>
              <w:t>第五章 保障措施</w:t>
            </w:r>
          </w:p>
          <w:p w14:paraId="14E124F7">
            <w:pPr>
              <w:pStyle w:val="28"/>
              <w:spacing w:line="360" w:lineRule="auto"/>
              <w:ind w:firstLine="0" w:firstLineChars="0"/>
              <w:rPr>
                <w:rFonts w:hint="eastAsia" w:hAnsi="宋体" w:cs="宋体"/>
                <w:szCs w:val="21"/>
              </w:rPr>
            </w:pPr>
            <w:r>
              <w:rPr>
                <w:rFonts w:hint="eastAsia" w:hAnsi="宋体" w:cs="宋体"/>
                <w:szCs w:val="21"/>
              </w:rPr>
              <w:t xml:space="preserve">  6.1 组织</w:t>
            </w:r>
          </w:p>
          <w:p w14:paraId="1C53C344">
            <w:pPr>
              <w:pStyle w:val="28"/>
              <w:spacing w:line="360" w:lineRule="auto"/>
              <w:ind w:firstLine="0" w:firstLineChars="0"/>
              <w:rPr>
                <w:rFonts w:hint="eastAsia" w:hAnsi="宋体" w:cs="宋体"/>
                <w:szCs w:val="21"/>
              </w:rPr>
            </w:pPr>
            <w:r>
              <w:rPr>
                <w:rFonts w:hint="eastAsia" w:hAnsi="宋体" w:cs="宋体"/>
                <w:szCs w:val="21"/>
              </w:rPr>
              <w:t xml:space="preserve">  6.2 技术、设备保障</w:t>
            </w:r>
          </w:p>
          <w:p w14:paraId="5476CFA2">
            <w:pPr>
              <w:pStyle w:val="28"/>
              <w:spacing w:line="360" w:lineRule="auto"/>
              <w:ind w:firstLine="0" w:firstLineChars="0"/>
              <w:rPr>
                <w:rFonts w:hint="eastAsia" w:hAnsi="宋体" w:cs="宋体"/>
                <w:szCs w:val="21"/>
              </w:rPr>
            </w:pPr>
            <w:r>
              <w:rPr>
                <w:rFonts w:hint="eastAsia" w:hAnsi="宋体" w:cs="宋体"/>
                <w:szCs w:val="21"/>
              </w:rPr>
              <w:t xml:space="preserve">  6.3 资金保障</w:t>
            </w:r>
          </w:p>
        </w:tc>
      </w:tr>
    </w:tbl>
    <w:p w14:paraId="75A76624"/>
    <w:p w14:paraId="32065B01">
      <w:pPr>
        <w:pStyle w:val="28"/>
      </w:pPr>
    </w:p>
    <w:p w14:paraId="38DE0CCE">
      <w:pPr>
        <w:pStyle w:val="28"/>
        <w:tabs>
          <w:tab w:val="left" w:pos="546"/>
          <w:tab w:val="clear" w:pos="4201"/>
        </w:tabs>
        <w:rPr>
          <w:color w:val="000000" w:themeColor="text1"/>
          <w:szCs w:val="21"/>
          <w14:textFill>
            <w14:solidFill>
              <w14:schemeClr w14:val="tx1"/>
            </w14:solidFill>
          </w14:textFill>
        </w:rPr>
        <w:sectPr>
          <w:footerReference r:id="rId7" w:type="default"/>
          <w:pgSz w:w="11906" w:h="16838"/>
          <w:pgMar w:top="567" w:right="1134" w:bottom="1134" w:left="1418" w:header="1418" w:footer="1134" w:gutter="0"/>
          <w:cols w:space="425" w:num="1"/>
          <w:formProt w:val="0"/>
          <w:docGrid w:type="lines" w:linePitch="312" w:charSpace="0"/>
        </w:sectPr>
      </w:pPr>
    </w:p>
    <w:p w14:paraId="399E13B4">
      <w:pPr>
        <w:pStyle w:val="90"/>
        <w:spacing w:before="0" w:after="0"/>
        <w:rPr>
          <w:color w:val="000000" w:themeColor="text1"/>
          <w:szCs w:val="21"/>
          <w14:textFill>
            <w14:solidFill>
              <w14:schemeClr w14:val="tx1"/>
            </w14:solidFill>
          </w14:textFill>
        </w:rPr>
      </w:pPr>
      <w:bookmarkStart w:id="54" w:name="_Toc5768"/>
      <w:r>
        <w:rPr>
          <w:rFonts w:hint="eastAsia"/>
          <w:color w:val="000000" w:themeColor="text1"/>
          <w:szCs w:val="21"/>
          <w14:textFill>
            <w14:solidFill>
              <w14:schemeClr w14:val="tx1"/>
            </w14:solidFill>
          </w14:textFill>
        </w:rPr>
        <w:t>附 录 C</w:t>
      </w:r>
      <w:r>
        <w:rPr>
          <w:color w:val="000000" w:themeColor="text1"/>
          <w:szCs w:val="21"/>
          <w14:textFill>
            <w14:solidFill>
              <w14:schemeClr w14:val="tx1"/>
            </w14:solidFill>
          </w14:textFill>
        </w:rPr>
        <w:br w:type="textWrapping"/>
      </w:r>
      <w:r>
        <w:rPr>
          <w:rFonts w:hint="eastAsia"/>
          <w:color w:val="000000" w:themeColor="text1"/>
          <w:szCs w:val="21"/>
          <w14:textFill>
            <w14:solidFill>
              <w14:schemeClr w14:val="tx1"/>
            </w14:solidFill>
          </w14:textFill>
        </w:rPr>
        <w:t>（资料性）</w:t>
      </w:r>
      <w:r>
        <w:rPr>
          <w:color w:val="000000" w:themeColor="text1"/>
          <w:szCs w:val="21"/>
          <w14:textFill>
            <w14:solidFill>
              <w14:schemeClr w14:val="tx1"/>
            </w14:solidFill>
          </w14:textFill>
        </w:rPr>
        <w:br w:type="textWrapping"/>
      </w:r>
      <w:r>
        <w:rPr>
          <w:rFonts w:hint="eastAsia"/>
          <w:color w:val="000000" w:themeColor="text1"/>
          <w:szCs w:val="21"/>
          <w14:textFill>
            <w14:solidFill>
              <w14:schemeClr w14:val="tx1"/>
            </w14:solidFill>
          </w14:textFill>
        </w:rPr>
        <w:t>废弃矿山生态修复工程后期管护报告编写参考提纲</w:t>
      </w:r>
      <w:bookmarkEnd w:id="54"/>
    </w:p>
    <w:tbl>
      <w:tblPr>
        <w:tblStyle w:val="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0"/>
      </w:tblGrid>
      <w:tr w14:paraId="70BA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0" w:type="dxa"/>
          </w:tcPr>
          <w:p w14:paraId="0066A434">
            <w:pPr>
              <w:pStyle w:val="28"/>
              <w:spacing w:line="360" w:lineRule="auto"/>
              <w:ind w:firstLine="0" w:firstLineChars="0"/>
              <w:rPr>
                <w:b/>
                <w:bCs/>
                <w:szCs w:val="21"/>
              </w:rPr>
            </w:pPr>
            <w:r>
              <w:rPr>
                <w:rFonts w:hint="eastAsia"/>
                <w:b/>
                <w:bCs/>
                <w:szCs w:val="21"/>
              </w:rPr>
              <w:t>前言</w:t>
            </w:r>
          </w:p>
          <w:p w14:paraId="7CB62120">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说明管护工作依据、主要任务和完成情况。</w:t>
            </w:r>
          </w:p>
          <w:p w14:paraId="7221B858">
            <w:pPr>
              <w:pStyle w:val="28"/>
              <w:spacing w:line="360" w:lineRule="auto"/>
              <w:ind w:firstLine="0" w:firstLineChars="0"/>
              <w:rPr>
                <w:rFonts w:hint="eastAsia" w:hAnsi="宋体" w:cs="宋体"/>
                <w:b/>
                <w:bCs/>
                <w:color w:val="000000" w:themeColor="text1"/>
                <w:szCs w:val="21"/>
                <w14:textFill>
                  <w14:solidFill>
                    <w14:schemeClr w14:val="tx1"/>
                  </w14:solidFill>
                </w14:textFill>
              </w:rPr>
            </w:pPr>
            <w:r>
              <w:rPr>
                <w:rFonts w:hint="eastAsia"/>
                <w:b/>
                <w:bCs/>
                <w:szCs w:val="21"/>
              </w:rPr>
              <w:t xml:space="preserve">第一章 </w:t>
            </w:r>
            <w:r>
              <w:rPr>
                <w:rFonts w:hint="eastAsia" w:hAnsi="宋体" w:cs="宋体"/>
                <w:b/>
                <w:bCs/>
                <w:color w:val="000000" w:themeColor="text1"/>
                <w:szCs w:val="21"/>
                <w14:textFill>
                  <w14:solidFill>
                    <w14:schemeClr w14:val="tx1"/>
                  </w14:solidFill>
                </w14:textFill>
              </w:rPr>
              <w:t>矿山基本情况与交接概况</w:t>
            </w:r>
          </w:p>
          <w:p w14:paraId="12A9E99A">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1.1 项目概况与修复工程完成情况</w:t>
            </w:r>
          </w:p>
          <w:p w14:paraId="1B738680">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1.2 与施工单位交接情况</w:t>
            </w:r>
          </w:p>
          <w:p w14:paraId="39FB8FE7">
            <w:pPr>
              <w:pStyle w:val="28"/>
              <w:spacing w:line="360" w:lineRule="auto"/>
              <w:ind w:firstLine="0" w:firstLineChars="0"/>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第二章 管护工作开展情况</w:t>
            </w:r>
          </w:p>
          <w:p w14:paraId="02CC5BA0">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2.1 管护方案落实情况</w:t>
            </w:r>
          </w:p>
          <w:p w14:paraId="74E3C045">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2.2 分类型管护任务完成情况（工程设施养护、植被养护等）</w:t>
            </w:r>
          </w:p>
          <w:p w14:paraId="60540B48">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2.3 植被演替管护及成效</w:t>
            </w:r>
          </w:p>
          <w:p w14:paraId="1341AF70">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2.4 监测与巡查情况</w:t>
            </w:r>
          </w:p>
          <w:p w14:paraId="59F40CD7">
            <w:pPr>
              <w:pStyle w:val="28"/>
              <w:spacing w:line="360" w:lineRule="auto"/>
              <w:ind w:firstLine="0" w:firstLineChars="0"/>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第三章 管护成效评估</w:t>
            </w:r>
          </w:p>
          <w:p w14:paraId="029D73F1">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3.1 年度评估情况汇总</w:t>
            </w:r>
          </w:p>
          <w:p w14:paraId="6D75A43D">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3.2 第三方届满评估与现场验收情况</w:t>
            </w:r>
          </w:p>
          <w:p w14:paraId="552AA123">
            <w:pPr>
              <w:pStyle w:val="28"/>
              <w:spacing w:line="360" w:lineRule="auto"/>
              <w:ind w:firstLine="0" w:firstLineChars="0"/>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第四章 结论</w:t>
            </w:r>
          </w:p>
          <w:p w14:paraId="5F74988D">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4.1 管护工作结论</w:t>
            </w:r>
          </w:p>
          <w:p w14:paraId="170D3516">
            <w:pPr>
              <w:pStyle w:val="28"/>
              <w:spacing w:line="360" w:lineRule="auto"/>
              <w:ind w:firstLine="210" w:firstLineChars="1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4.2 后续工作建议（若有）</w:t>
            </w:r>
          </w:p>
        </w:tc>
      </w:tr>
    </w:tbl>
    <w:p w14:paraId="38419F7C">
      <w:pPr>
        <w:pStyle w:val="28"/>
        <w:rPr>
          <w:szCs w:val="21"/>
        </w:rPr>
      </w:pPr>
    </w:p>
    <w:p w14:paraId="48903063">
      <w:pPr>
        <w:pStyle w:val="28"/>
        <w:rPr>
          <w:szCs w:val="21"/>
        </w:rPr>
      </w:pPr>
    </w:p>
    <w:p w14:paraId="5E9D25B9">
      <w:pPr>
        <w:pStyle w:val="28"/>
        <w:rPr>
          <w:szCs w:val="21"/>
        </w:rPr>
      </w:pPr>
    </w:p>
    <w:p w14:paraId="4DBD094A">
      <w:pPr>
        <w:pStyle w:val="28"/>
        <w:rPr>
          <w:szCs w:val="21"/>
        </w:rPr>
      </w:pPr>
    </w:p>
    <w:p w14:paraId="681A48FA">
      <w:pPr>
        <w:pStyle w:val="28"/>
        <w:rPr>
          <w:szCs w:val="21"/>
        </w:rPr>
      </w:pPr>
    </w:p>
    <w:p w14:paraId="536E8AA4">
      <w:pPr>
        <w:pStyle w:val="28"/>
        <w:rPr>
          <w:szCs w:val="21"/>
        </w:rPr>
      </w:pPr>
    </w:p>
    <w:p w14:paraId="52C99E07">
      <w:pPr>
        <w:pStyle w:val="28"/>
        <w:rPr>
          <w:szCs w:val="21"/>
        </w:rPr>
      </w:pPr>
    </w:p>
    <w:p w14:paraId="1BC05454">
      <w:pPr>
        <w:pStyle w:val="28"/>
        <w:rPr>
          <w:szCs w:val="21"/>
        </w:rPr>
      </w:pPr>
    </w:p>
    <w:p w14:paraId="3C6FCF91">
      <w:pPr>
        <w:pStyle w:val="28"/>
        <w:rPr>
          <w:szCs w:val="21"/>
        </w:rPr>
      </w:pPr>
    </w:p>
    <w:p w14:paraId="287AB83B">
      <w:pPr>
        <w:pStyle w:val="28"/>
        <w:rPr>
          <w:szCs w:val="21"/>
        </w:rPr>
      </w:pPr>
    </w:p>
    <w:p w14:paraId="06FA7F03">
      <w:pPr>
        <w:pStyle w:val="28"/>
      </w:pPr>
    </w:p>
    <w:p w14:paraId="52E745D1">
      <w:pPr>
        <w:pStyle w:val="28"/>
        <w:tabs>
          <w:tab w:val="left" w:pos="546"/>
          <w:tab w:val="clear" w:pos="4201"/>
        </w:tabs>
        <w:rPr>
          <w:color w:val="000000" w:themeColor="text1"/>
          <w:szCs w:val="21"/>
          <w14:textFill>
            <w14:solidFill>
              <w14:schemeClr w14:val="tx1"/>
            </w14:solidFill>
          </w14:textFill>
        </w:rPr>
        <w:sectPr>
          <w:footerReference r:id="rId8" w:type="default"/>
          <w:pgSz w:w="11906" w:h="16838"/>
          <w:pgMar w:top="567" w:right="1134" w:bottom="1134" w:left="1418" w:header="1418" w:footer="1134" w:gutter="0"/>
          <w:cols w:space="425" w:num="1"/>
          <w:formProt w:val="0"/>
          <w:docGrid w:type="lines" w:linePitch="312" w:charSpace="0"/>
        </w:sectPr>
      </w:pPr>
    </w:p>
    <w:p w14:paraId="0D6E57D1">
      <w:pPr>
        <w:pStyle w:val="28"/>
      </w:pPr>
      <w:r>
        <w:rPr>
          <w:rFonts w:hint="eastAsia"/>
        </w:rPr>
        <w:t>各位专家、从业人员：</w:t>
      </w:r>
    </w:p>
    <w:p w14:paraId="5D2BAE30">
      <w:pPr>
        <w:pStyle w:val="28"/>
      </w:pPr>
      <w:r>
        <w:rPr>
          <w:rFonts w:hint="eastAsia"/>
        </w:rPr>
        <w:t>《废弃矿山生态修复工程后期管护规范》（编号）于XXXX年X月X日发布。为进一步提高标准质量，提升标准的适用性，我们将在标准试行过程中继续征求意见。各位专家、从业人员在标准使用中，如发现存在不妥之处，请填写征求意见表，并通过邮件的方式发送给编制单位。</w:t>
      </w:r>
    </w:p>
    <w:p w14:paraId="6FC6494B">
      <w:pPr>
        <w:pStyle w:val="28"/>
        <w:ind w:firstLine="422"/>
        <w:rPr>
          <w:rFonts w:hint="eastAsia" w:ascii="黑体" w:hAnsi="黑体" w:eastAsia="黑体"/>
          <w:b/>
        </w:rPr>
      </w:pPr>
      <w:r>
        <w:rPr>
          <w:rFonts w:hint="eastAsia" w:ascii="黑体" w:hAnsi="黑体" w:eastAsia="黑体"/>
          <w:b/>
        </w:rPr>
        <w:t>联系方式</w:t>
      </w:r>
    </w:p>
    <w:p w14:paraId="24F6A4A1">
      <w:pPr>
        <w:pStyle w:val="28"/>
      </w:pPr>
      <w:r>
        <w:rPr>
          <w:rFonts w:hint="eastAsia"/>
        </w:rPr>
        <w:t>联系人：XXX</w:t>
      </w:r>
    </w:p>
    <w:p w14:paraId="25167AFF">
      <w:pPr>
        <w:pStyle w:val="28"/>
      </w:pPr>
      <w:r>
        <w:rPr>
          <w:rFonts w:hint="eastAsia"/>
        </w:rPr>
        <w:t>电  话：XXXXXXXXXXX</w:t>
      </w:r>
    </w:p>
    <w:p w14:paraId="6A795F8D">
      <w:pPr>
        <w:pStyle w:val="28"/>
      </w:pPr>
      <w:r>
        <w:rPr>
          <w:rFonts w:hint="eastAsia"/>
        </w:rPr>
        <w:t>邮  箱：XXXXXXXXXXXXX</w:t>
      </w:r>
    </w:p>
    <w:p w14:paraId="4D539909">
      <w:pPr>
        <w:pStyle w:val="28"/>
      </w:pPr>
    </w:p>
    <w:p w14:paraId="1B22CEEE">
      <w:pPr>
        <w:pStyle w:val="28"/>
        <w:jc w:val="center"/>
      </w:pPr>
      <w:r>
        <w:rPr>
          <w:rFonts w:hint="eastAsia"/>
        </w:rPr>
        <w:t>征求意见表</w:t>
      </w:r>
    </w:p>
    <w:tbl>
      <w:tblPr>
        <w:tblStyle w:val="3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91"/>
        <w:gridCol w:w="2393"/>
        <w:gridCol w:w="2393"/>
        <w:gridCol w:w="2393"/>
      </w:tblGrid>
      <w:tr w14:paraId="75658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21694014">
            <w:pPr>
              <w:pStyle w:val="28"/>
              <w:ind w:firstLine="0" w:firstLineChars="0"/>
              <w:jc w:val="center"/>
              <w:rPr>
                <w:szCs w:val="18"/>
              </w:rPr>
            </w:pPr>
            <w:r>
              <w:rPr>
                <w:rFonts w:hint="eastAsia"/>
                <w:szCs w:val="18"/>
              </w:rPr>
              <w:t>标准名称</w:t>
            </w:r>
          </w:p>
        </w:tc>
        <w:tc>
          <w:tcPr>
            <w:tcW w:w="7179" w:type="dxa"/>
            <w:gridSpan w:val="3"/>
          </w:tcPr>
          <w:p w14:paraId="5DCBFAE8">
            <w:pPr>
              <w:pStyle w:val="28"/>
              <w:ind w:firstLine="0" w:firstLineChars="0"/>
              <w:jc w:val="center"/>
              <w:rPr>
                <w:szCs w:val="18"/>
              </w:rPr>
            </w:pPr>
          </w:p>
        </w:tc>
      </w:tr>
      <w:tr w14:paraId="7D1C8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52E98023">
            <w:pPr>
              <w:pStyle w:val="28"/>
              <w:ind w:firstLine="0" w:firstLineChars="0"/>
              <w:jc w:val="center"/>
              <w:rPr>
                <w:szCs w:val="18"/>
              </w:rPr>
            </w:pPr>
            <w:r>
              <w:rPr>
                <w:rFonts w:hint="eastAsia"/>
                <w:szCs w:val="18"/>
              </w:rPr>
              <w:t>专家姓名</w:t>
            </w:r>
          </w:p>
        </w:tc>
        <w:tc>
          <w:tcPr>
            <w:tcW w:w="2393" w:type="dxa"/>
          </w:tcPr>
          <w:p w14:paraId="62E58F90">
            <w:pPr>
              <w:pStyle w:val="28"/>
              <w:ind w:firstLine="0" w:firstLineChars="0"/>
              <w:jc w:val="center"/>
              <w:rPr>
                <w:szCs w:val="18"/>
              </w:rPr>
            </w:pPr>
          </w:p>
        </w:tc>
        <w:tc>
          <w:tcPr>
            <w:tcW w:w="2393" w:type="dxa"/>
          </w:tcPr>
          <w:p w14:paraId="1BC160C8">
            <w:pPr>
              <w:pStyle w:val="28"/>
              <w:ind w:firstLine="0" w:firstLineChars="0"/>
              <w:jc w:val="center"/>
              <w:rPr>
                <w:szCs w:val="18"/>
              </w:rPr>
            </w:pPr>
            <w:r>
              <w:rPr>
                <w:rFonts w:hint="eastAsia"/>
                <w:szCs w:val="18"/>
              </w:rPr>
              <w:t>所在单位</w:t>
            </w:r>
          </w:p>
        </w:tc>
        <w:tc>
          <w:tcPr>
            <w:tcW w:w="2393" w:type="dxa"/>
          </w:tcPr>
          <w:p w14:paraId="64AA877C">
            <w:pPr>
              <w:pStyle w:val="28"/>
              <w:ind w:firstLine="0" w:firstLineChars="0"/>
              <w:jc w:val="center"/>
              <w:rPr>
                <w:szCs w:val="18"/>
              </w:rPr>
            </w:pPr>
          </w:p>
        </w:tc>
      </w:tr>
      <w:tr w14:paraId="2C461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4B820859">
            <w:pPr>
              <w:pStyle w:val="28"/>
              <w:ind w:firstLine="0" w:firstLineChars="0"/>
              <w:jc w:val="center"/>
              <w:rPr>
                <w:szCs w:val="18"/>
              </w:rPr>
            </w:pPr>
            <w:r>
              <w:rPr>
                <w:rFonts w:hint="eastAsia"/>
                <w:szCs w:val="18"/>
              </w:rPr>
              <w:t>职称/职务</w:t>
            </w:r>
          </w:p>
        </w:tc>
        <w:tc>
          <w:tcPr>
            <w:tcW w:w="2393" w:type="dxa"/>
          </w:tcPr>
          <w:p w14:paraId="56871BC4">
            <w:pPr>
              <w:pStyle w:val="28"/>
              <w:ind w:firstLine="0" w:firstLineChars="0"/>
              <w:jc w:val="center"/>
              <w:rPr>
                <w:szCs w:val="18"/>
              </w:rPr>
            </w:pPr>
          </w:p>
        </w:tc>
        <w:tc>
          <w:tcPr>
            <w:tcW w:w="2393" w:type="dxa"/>
          </w:tcPr>
          <w:p w14:paraId="18411B74">
            <w:pPr>
              <w:pStyle w:val="28"/>
              <w:ind w:firstLine="0" w:firstLineChars="0"/>
              <w:jc w:val="center"/>
              <w:rPr>
                <w:szCs w:val="18"/>
              </w:rPr>
            </w:pPr>
            <w:r>
              <w:rPr>
                <w:rFonts w:hint="eastAsia"/>
                <w:szCs w:val="18"/>
              </w:rPr>
              <w:t>联系方式</w:t>
            </w:r>
          </w:p>
        </w:tc>
        <w:tc>
          <w:tcPr>
            <w:tcW w:w="2393" w:type="dxa"/>
          </w:tcPr>
          <w:p w14:paraId="14C6DE2D">
            <w:pPr>
              <w:pStyle w:val="28"/>
              <w:ind w:firstLine="0" w:firstLineChars="0"/>
              <w:jc w:val="center"/>
              <w:rPr>
                <w:szCs w:val="18"/>
              </w:rPr>
            </w:pPr>
          </w:p>
        </w:tc>
      </w:tr>
      <w:tr w14:paraId="221D2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19012056">
            <w:pPr>
              <w:pStyle w:val="28"/>
              <w:ind w:firstLine="0" w:firstLineChars="0"/>
              <w:jc w:val="center"/>
              <w:rPr>
                <w:szCs w:val="18"/>
              </w:rPr>
            </w:pPr>
            <w:r>
              <w:rPr>
                <w:rFonts w:hint="eastAsia"/>
                <w:szCs w:val="18"/>
              </w:rPr>
              <w:t>序号</w:t>
            </w:r>
          </w:p>
        </w:tc>
        <w:tc>
          <w:tcPr>
            <w:tcW w:w="2393" w:type="dxa"/>
          </w:tcPr>
          <w:p w14:paraId="5B42313F">
            <w:pPr>
              <w:pStyle w:val="28"/>
              <w:ind w:firstLine="0" w:firstLineChars="0"/>
              <w:jc w:val="center"/>
              <w:rPr>
                <w:szCs w:val="18"/>
              </w:rPr>
            </w:pPr>
            <w:r>
              <w:rPr>
                <w:rFonts w:hint="eastAsia"/>
                <w:szCs w:val="18"/>
              </w:rPr>
              <w:t>章节</w:t>
            </w:r>
          </w:p>
        </w:tc>
        <w:tc>
          <w:tcPr>
            <w:tcW w:w="2393" w:type="dxa"/>
          </w:tcPr>
          <w:p w14:paraId="15682BF6">
            <w:pPr>
              <w:pStyle w:val="28"/>
              <w:ind w:firstLine="0" w:firstLineChars="0"/>
              <w:jc w:val="center"/>
              <w:rPr>
                <w:szCs w:val="18"/>
              </w:rPr>
            </w:pPr>
            <w:r>
              <w:rPr>
                <w:rFonts w:hint="eastAsia"/>
                <w:szCs w:val="18"/>
              </w:rPr>
              <w:t>意见内容</w:t>
            </w:r>
          </w:p>
        </w:tc>
        <w:tc>
          <w:tcPr>
            <w:tcW w:w="2393" w:type="dxa"/>
          </w:tcPr>
          <w:p w14:paraId="586B2953">
            <w:pPr>
              <w:pStyle w:val="28"/>
              <w:ind w:firstLine="0" w:firstLineChars="0"/>
              <w:jc w:val="center"/>
              <w:rPr>
                <w:szCs w:val="18"/>
              </w:rPr>
            </w:pPr>
            <w:r>
              <w:rPr>
                <w:rFonts w:hint="eastAsia"/>
                <w:szCs w:val="18"/>
              </w:rPr>
              <w:t>修改建议</w:t>
            </w:r>
          </w:p>
        </w:tc>
      </w:tr>
      <w:tr w14:paraId="0C54E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548998FB">
            <w:pPr>
              <w:pStyle w:val="28"/>
              <w:ind w:firstLine="0" w:firstLineChars="0"/>
              <w:jc w:val="center"/>
              <w:rPr>
                <w:szCs w:val="18"/>
              </w:rPr>
            </w:pPr>
            <w:r>
              <w:rPr>
                <w:rFonts w:hint="eastAsia"/>
                <w:szCs w:val="18"/>
              </w:rPr>
              <w:t>1</w:t>
            </w:r>
          </w:p>
        </w:tc>
        <w:tc>
          <w:tcPr>
            <w:tcW w:w="2393" w:type="dxa"/>
          </w:tcPr>
          <w:p w14:paraId="3DBEA92E">
            <w:pPr>
              <w:pStyle w:val="28"/>
              <w:ind w:firstLine="0" w:firstLineChars="0"/>
              <w:jc w:val="center"/>
              <w:rPr>
                <w:szCs w:val="18"/>
              </w:rPr>
            </w:pPr>
          </w:p>
        </w:tc>
        <w:tc>
          <w:tcPr>
            <w:tcW w:w="2393" w:type="dxa"/>
          </w:tcPr>
          <w:p w14:paraId="566D14F0">
            <w:pPr>
              <w:pStyle w:val="28"/>
              <w:ind w:firstLine="0" w:firstLineChars="0"/>
              <w:jc w:val="center"/>
              <w:rPr>
                <w:szCs w:val="18"/>
              </w:rPr>
            </w:pPr>
          </w:p>
        </w:tc>
        <w:tc>
          <w:tcPr>
            <w:tcW w:w="2393" w:type="dxa"/>
          </w:tcPr>
          <w:p w14:paraId="31C9231D">
            <w:pPr>
              <w:pStyle w:val="28"/>
              <w:ind w:firstLine="0" w:firstLineChars="0"/>
              <w:jc w:val="center"/>
              <w:rPr>
                <w:szCs w:val="18"/>
              </w:rPr>
            </w:pPr>
          </w:p>
        </w:tc>
      </w:tr>
      <w:tr w14:paraId="4D6EC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302AFDD1">
            <w:pPr>
              <w:pStyle w:val="28"/>
              <w:ind w:firstLine="0" w:firstLineChars="0"/>
              <w:jc w:val="center"/>
              <w:rPr>
                <w:szCs w:val="18"/>
              </w:rPr>
            </w:pPr>
            <w:r>
              <w:rPr>
                <w:rFonts w:hint="eastAsia"/>
                <w:szCs w:val="18"/>
              </w:rPr>
              <w:t>2</w:t>
            </w:r>
          </w:p>
        </w:tc>
        <w:tc>
          <w:tcPr>
            <w:tcW w:w="2393" w:type="dxa"/>
          </w:tcPr>
          <w:p w14:paraId="7C5802DB">
            <w:pPr>
              <w:pStyle w:val="28"/>
              <w:ind w:firstLine="0" w:firstLineChars="0"/>
              <w:jc w:val="center"/>
              <w:rPr>
                <w:szCs w:val="18"/>
              </w:rPr>
            </w:pPr>
          </w:p>
        </w:tc>
        <w:tc>
          <w:tcPr>
            <w:tcW w:w="2393" w:type="dxa"/>
          </w:tcPr>
          <w:p w14:paraId="577273C8">
            <w:pPr>
              <w:pStyle w:val="28"/>
              <w:ind w:firstLine="0" w:firstLineChars="0"/>
              <w:jc w:val="center"/>
              <w:rPr>
                <w:szCs w:val="18"/>
              </w:rPr>
            </w:pPr>
          </w:p>
        </w:tc>
        <w:tc>
          <w:tcPr>
            <w:tcW w:w="2393" w:type="dxa"/>
          </w:tcPr>
          <w:p w14:paraId="5CD0B2F8">
            <w:pPr>
              <w:pStyle w:val="28"/>
              <w:ind w:firstLine="0" w:firstLineChars="0"/>
              <w:jc w:val="center"/>
              <w:rPr>
                <w:szCs w:val="18"/>
              </w:rPr>
            </w:pPr>
          </w:p>
        </w:tc>
      </w:tr>
      <w:tr w14:paraId="23764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92" w:type="dxa"/>
          </w:tcPr>
          <w:p w14:paraId="2D35776A">
            <w:pPr>
              <w:pStyle w:val="28"/>
              <w:ind w:firstLine="0" w:firstLineChars="0"/>
              <w:jc w:val="center"/>
              <w:rPr>
                <w:szCs w:val="18"/>
              </w:rPr>
            </w:pPr>
            <w:r>
              <w:rPr>
                <w:rFonts w:hint="eastAsia"/>
                <w:szCs w:val="18"/>
              </w:rPr>
              <w:t>…</w:t>
            </w:r>
          </w:p>
        </w:tc>
        <w:tc>
          <w:tcPr>
            <w:tcW w:w="2393" w:type="dxa"/>
          </w:tcPr>
          <w:p w14:paraId="7732F805">
            <w:pPr>
              <w:pStyle w:val="28"/>
              <w:ind w:firstLine="0" w:firstLineChars="0"/>
              <w:jc w:val="center"/>
              <w:rPr>
                <w:szCs w:val="18"/>
              </w:rPr>
            </w:pPr>
          </w:p>
        </w:tc>
        <w:tc>
          <w:tcPr>
            <w:tcW w:w="2393" w:type="dxa"/>
          </w:tcPr>
          <w:p w14:paraId="7961C1D6">
            <w:pPr>
              <w:pStyle w:val="28"/>
              <w:ind w:firstLine="0" w:firstLineChars="0"/>
              <w:jc w:val="center"/>
              <w:rPr>
                <w:szCs w:val="18"/>
              </w:rPr>
            </w:pPr>
          </w:p>
        </w:tc>
        <w:tc>
          <w:tcPr>
            <w:tcW w:w="2393" w:type="dxa"/>
          </w:tcPr>
          <w:p w14:paraId="36562FD8">
            <w:pPr>
              <w:pStyle w:val="28"/>
              <w:ind w:firstLine="0" w:firstLineChars="0"/>
              <w:jc w:val="center"/>
              <w:rPr>
                <w:szCs w:val="18"/>
              </w:rPr>
            </w:pPr>
          </w:p>
        </w:tc>
      </w:tr>
    </w:tbl>
    <w:p w14:paraId="0C05E972">
      <w:pPr>
        <w:pStyle w:val="28"/>
        <w:jc w:val="center"/>
      </w:pPr>
    </w:p>
    <w:p w14:paraId="59D962A6">
      <w:pPr>
        <w:pStyle w:val="28"/>
        <w:ind w:firstLine="0" w:firstLineChars="0"/>
        <w:rPr>
          <w:szCs w:val="21"/>
        </w:rPr>
      </w:pPr>
    </w:p>
    <w:p w14:paraId="03AA68E7">
      <w:pPr>
        <w:pStyle w:val="158"/>
        <w:ind w:firstLine="420"/>
        <w:jc w:val="center"/>
        <w:rPr>
          <w:color w:val="000000" w:themeColor="text1"/>
          <w:szCs w:val="21"/>
          <w14:textFill>
            <w14:solidFill>
              <w14:schemeClr w14:val="tx1"/>
            </w14:solidFill>
          </w14:textFill>
        </w:rPr>
      </w:pPr>
    </w:p>
    <w:sectPr>
      <w:footerReference r:id="rId9" w:type="default"/>
      <w:pgSz w:w="11906" w:h="16838"/>
      <w:pgMar w:top="567" w:right="1134" w:bottom="1134" w:left="1418" w:header="1418" w:footer="1134" w:gutter="0"/>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roman"/>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1DA0B">
    <w:pPr>
      <w:pStyle w:val="49"/>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B73F38">
                          <w:pPr>
                            <w:pStyle w:val="49"/>
                            <w:rPr>
                              <w:rFonts w:hint="eastAsia" w:hAnsi="宋体" w:cs="宋体"/>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10B73F38">
                    <w:pPr>
                      <w:pStyle w:val="49"/>
                      <w:rPr>
                        <w:rFonts w:hint="eastAsia" w:hAnsi="宋体" w:cs="宋体"/>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A790">
    <w:pPr>
      <w:pStyle w:val="49"/>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D07B">
    <w:pPr>
      <w:pStyle w:val="49"/>
    </w:pPr>
    <w:r>
      <w:rPr>
        <w:rFonts w:hint="eastAsia"/>
      </w:rPr>
      <w:t>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AF7DF">
    <w:pPr>
      <w:pStyle w:val="49"/>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7D9221">
                          <w:pPr>
                            <w:pStyle w:val="22"/>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7E7D9221">
                    <w:pPr>
                      <w:pStyle w:val="22"/>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rPr>
      <w:t>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7E4BA">
    <w:pPr>
      <w:pStyle w:val="49"/>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E40131">
                          <w:pPr>
                            <w:pStyle w:val="22"/>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CE40131">
                    <w:pPr>
                      <w:pStyle w:val="22"/>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rPr>
      <w:t>10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EB95E">
    <w:pPr>
      <w:pStyle w:val="49"/>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D4A834">
                          <w:pPr>
                            <w:pStyle w:val="22"/>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1CD4A834">
                    <w:pPr>
                      <w:pStyle w:val="22"/>
                    </w:pPr>
                    <w:r>
                      <w:fldChar w:fldCharType="begin"/>
                    </w:r>
                    <w:r>
                      <w:instrText xml:space="preserve"> PAGE  \* MERGEFORMAT </w:instrText>
                    </w:r>
                    <w:r>
                      <w:fldChar w:fldCharType="separate"/>
                    </w:r>
                    <w:r>
                      <w:t>III</w:t>
                    </w:r>
                    <w:r>
                      <w:fldChar w:fldCharType="end"/>
                    </w:r>
                  </w:p>
                </w:txbxContent>
              </v:textbox>
            </v:shape>
          </w:pict>
        </mc:Fallback>
      </mc:AlternateContent>
    </w:r>
    <w:r>
      <w:rPr>
        <w:rFonts w:hint="eastAsia"/>
      </w:rPr>
      <w:t>11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5DA3D">
    <w:pPr>
      <w:pStyle w:val="50"/>
      <w:jc w:val="both"/>
    </w:pPr>
    <w:r>
      <w:rPr>
        <w:rFonts w:hint="eastAsia"/>
      </w:rPr>
      <w:t>T</w:t>
    </w:r>
    <w:r>
      <w:t>/</w:t>
    </w:r>
    <w:r>
      <w:rPr>
        <w:rFonts w:hint="eastAsia"/>
      </w:rPr>
      <w:t>CAGHPER</w:t>
    </w:r>
    <w:r>
      <w:t xml:space="preserve">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64"/>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122"/>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58"/>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983844"/>
    <w:multiLevelType w:val="multilevel"/>
    <w:tmpl w:val="0D983844"/>
    <w:lvl w:ilvl="0" w:tentative="0">
      <w:start w:val="1"/>
      <w:numFmt w:val="decimal"/>
      <w:pStyle w:val="135"/>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0DDE2B46"/>
    <w:multiLevelType w:val="multilevel"/>
    <w:tmpl w:val="0DDE2B46"/>
    <w:lvl w:ilvl="0" w:tentative="0">
      <w:start w:val="1"/>
      <w:numFmt w:val="lowerLetter"/>
      <w:pStyle w:val="127"/>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5">
    <w:nsid w:val="16667BBD"/>
    <w:multiLevelType w:val="multilevel"/>
    <w:tmpl w:val="16667BBD"/>
    <w:lvl w:ilvl="0" w:tentative="0">
      <w:start w:val="1"/>
      <w:numFmt w:val="lowerLetter"/>
      <w:pStyle w:val="65"/>
      <w:lvlText w:val="%1)"/>
      <w:lvlJc w:val="left"/>
      <w:pPr>
        <w:tabs>
          <w:tab w:val="left" w:pos="840"/>
        </w:tabs>
        <w:ind w:left="839" w:hanging="419"/>
      </w:pPr>
      <w:rPr>
        <w:rFonts w:hint="eastAsia"/>
        <w:b w:val="0"/>
        <w:i w:val="0"/>
        <w:sz w:val="21"/>
        <w:szCs w:val="21"/>
      </w:rPr>
    </w:lvl>
    <w:lvl w:ilvl="1" w:tentative="0">
      <w:start w:val="1"/>
      <w:numFmt w:val="decimal"/>
      <w:pStyle w:val="60"/>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710" w:firstLine="0"/>
      </w:pPr>
      <w:rPr>
        <w:rFonts w:hint="eastAsia" w:ascii="黑体" w:hAnsi="Times New Roman" w:eastAsia="黑体"/>
        <w:b w:val="0"/>
        <w:i w:val="0"/>
        <w:sz w:val="21"/>
      </w:rPr>
    </w:lvl>
    <w:lvl w:ilvl="3" w:tentative="0">
      <w:start w:val="1"/>
      <w:numFmt w:val="decimal"/>
      <w:lvlText w:val="%1.%2.%3.%4 "/>
      <w:lvlJc w:val="left"/>
      <w:pPr>
        <w:ind w:left="0" w:firstLine="0"/>
      </w:pPr>
      <w:rPr>
        <w:rFonts w:hint="default"/>
      </w:rPr>
    </w:lvl>
    <w:lvl w:ilvl="4" w:tentative="0">
      <w:start w:val="1"/>
      <w:numFmt w:val="decimal"/>
      <w:pStyle w:val="124"/>
      <w:suff w:val="nothing"/>
      <w:lvlText w:val="%1.%2.%3.%4.%5 "/>
      <w:lvlJc w:val="left"/>
      <w:pPr>
        <w:ind w:left="0" w:firstLine="0"/>
      </w:pPr>
      <w:rPr>
        <w:rFonts w:hint="eastAsia" w:ascii="黑体" w:hAnsi="Times New Roman" w:eastAsia="黑体"/>
        <w:b w:val="0"/>
        <w:i w:val="0"/>
        <w:sz w:val="21"/>
      </w:rPr>
    </w:lvl>
    <w:lvl w:ilvl="5" w:tentative="0">
      <w:start w:val="1"/>
      <w:numFmt w:val="decimal"/>
      <w:pStyle w:val="13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2827D5B"/>
    <w:multiLevelType w:val="multilevel"/>
    <w:tmpl w:val="22827D5B"/>
    <w:lvl w:ilvl="0" w:tentative="0">
      <w:start w:val="1"/>
      <w:numFmt w:val="none"/>
      <w:pStyle w:val="70"/>
      <w:suff w:val="nothing"/>
      <w:lvlText w:val="%1注："/>
      <w:lvlJc w:val="left"/>
      <w:pPr>
        <w:ind w:left="789" w:hanging="363"/>
      </w:pPr>
      <w:rPr>
        <w:rFonts w:hint="eastAsia" w:ascii="黑体" w:hAnsi="Times New Roman" w:eastAsia="黑体"/>
        <w:b w:val="0"/>
        <w:i w:val="0"/>
        <w:color w:val="000000" w:themeColor="text1"/>
        <w:sz w:val="18"/>
        <w14:textFill>
          <w14:solidFill>
            <w14:schemeClr w14:val="tx1"/>
          </w14:solidFill>
        </w14:textFill>
      </w:rPr>
    </w:lvl>
    <w:lvl w:ilvl="1" w:tentative="0">
      <w:start w:val="1"/>
      <w:numFmt w:val="lowerLetter"/>
      <w:lvlText w:val="%2)"/>
      <w:lvlJc w:val="left"/>
      <w:pPr>
        <w:tabs>
          <w:tab w:val="left" w:pos="1203"/>
        </w:tabs>
        <w:ind w:left="789" w:hanging="363"/>
      </w:pPr>
      <w:rPr>
        <w:rFonts w:hint="eastAsia"/>
      </w:rPr>
    </w:lvl>
    <w:lvl w:ilvl="2" w:tentative="0">
      <w:start w:val="1"/>
      <w:numFmt w:val="lowerRoman"/>
      <w:lvlText w:val="%3."/>
      <w:lvlJc w:val="right"/>
      <w:pPr>
        <w:tabs>
          <w:tab w:val="left" w:pos="1203"/>
        </w:tabs>
        <w:ind w:left="789" w:hanging="363"/>
      </w:pPr>
      <w:rPr>
        <w:rFonts w:hint="eastAsia"/>
      </w:rPr>
    </w:lvl>
    <w:lvl w:ilvl="3" w:tentative="0">
      <w:start w:val="1"/>
      <w:numFmt w:val="decimal"/>
      <w:lvlText w:val="%4."/>
      <w:lvlJc w:val="left"/>
      <w:pPr>
        <w:tabs>
          <w:tab w:val="left" w:pos="1203"/>
        </w:tabs>
        <w:ind w:left="789" w:hanging="363"/>
      </w:pPr>
      <w:rPr>
        <w:rFonts w:hint="eastAsia"/>
      </w:rPr>
    </w:lvl>
    <w:lvl w:ilvl="4" w:tentative="0">
      <w:start w:val="1"/>
      <w:numFmt w:val="lowerLetter"/>
      <w:lvlText w:val="%5)"/>
      <w:lvlJc w:val="left"/>
      <w:pPr>
        <w:tabs>
          <w:tab w:val="left" w:pos="1203"/>
        </w:tabs>
        <w:ind w:left="789" w:hanging="363"/>
      </w:pPr>
      <w:rPr>
        <w:rFonts w:hint="eastAsia"/>
      </w:rPr>
    </w:lvl>
    <w:lvl w:ilvl="5" w:tentative="0">
      <w:start w:val="1"/>
      <w:numFmt w:val="lowerRoman"/>
      <w:lvlText w:val="%6."/>
      <w:lvlJc w:val="right"/>
      <w:pPr>
        <w:tabs>
          <w:tab w:val="left" w:pos="1203"/>
        </w:tabs>
        <w:ind w:left="789" w:hanging="363"/>
      </w:pPr>
      <w:rPr>
        <w:rFonts w:hint="eastAsia"/>
      </w:rPr>
    </w:lvl>
    <w:lvl w:ilvl="6" w:tentative="0">
      <w:start w:val="1"/>
      <w:numFmt w:val="decimal"/>
      <w:lvlText w:val="%7."/>
      <w:lvlJc w:val="left"/>
      <w:pPr>
        <w:tabs>
          <w:tab w:val="left" w:pos="1203"/>
        </w:tabs>
        <w:ind w:left="789" w:hanging="363"/>
      </w:pPr>
      <w:rPr>
        <w:rFonts w:hint="eastAsia"/>
      </w:rPr>
    </w:lvl>
    <w:lvl w:ilvl="7" w:tentative="0">
      <w:start w:val="1"/>
      <w:numFmt w:val="lowerLetter"/>
      <w:lvlText w:val="%8)"/>
      <w:lvlJc w:val="left"/>
      <w:pPr>
        <w:tabs>
          <w:tab w:val="left" w:pos="1203"/>
        </w:tabs>
        <w:ind w:left="789" w:hanging="363"/>
      </w:pPr>
      <w:rPr>
        <w:rFonts w:hint="eastAsia"/>
      </w:rPr>
    </w:lvl>
    <w:lvl w:ilvl="8" w:tentative="0">
      <w:start w:val="1"/>
      <w:numFmt w:val="lowerRoman"/>
      <w:lvlText w:val="%9."/>
      <w:lvlJc w:val="right"/>
      <w:pPr>
        <w:tabs>
          <w:tab w:val="left" w:pos="1203"/>
        </w:tabs>
        <w:ind w:left="789" w:hanging="363"/>
      </w:pPr>
      <w:rPr>
        <w:rFonts w:hint="eastAsia"/>
      </w:rPr>
    </w:lvl>
  </w:abstractNum>
  <w:abstractNum w:abstractNumId="8">
    <w:nsid w:val="2A8F7113"/>
    <w:multiLevelType w:val="multilevel"/>
    <w:tmpl w:val="2A8F7113"/>
    <w:lvl w:ilvl="0" w:tentative="0">
      <w:start w:val="1"/>
      <w:numFmt w:val="upperLetter"/>
      <w:pStyle w:val="104"/>
      <w:suff w:val="space"/>
      <w:lvlText w:val="%1"/>
      <w:lvlJc w:val="left"/>
      <w:pPr>
        <w:ind w:left="623" w:hanging="425"/>
      </w:pPr>
      <w:rPr>
        <w:rFonts w:hint="eastAsia"/>
      </w:rPr>
    </w:lvl>
    <w:lvl w:ilvl="1" w:tentative="0">
      <w:start w:val="1"/>
      <w:numFmt w:val="decimal"/>
      <w:pStyle w:val="10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9">
    <w:nsid w:val="2C5917C3"/>
    <w:multiLevelType w:val="multilevel"/>
    <w:tmpl w:val="2C5917C3"/>
    <w:lvl w:ilvl="0" w:tentative="0">
      <w:start w:val="1"/>
      <w:numFmt w:val="none"/>
      <w:pStyle w:val="54"/>
      <w:suff w:val="nothing"/>
      <w:lvlText w:val="%1——"/>
      <w:lvlJc w:val="left"/>
      <w:pPr>
        <w:ind w:left="833" w:hanging="408"/>
      </w:pPr>
      <w:rPr>
        <w:rFonts w:hint="eastAsia"/>
      </w:rPr>
    </w:lvl>
    <w:lvl w:ilvl="1" w:tentative="0">
      <w:start w:val="1"/>
      <w:numFmt w:val="bullet"/>
      <w:pStyle w:val="55"/>
      <w:lvlText w:val=""/>
      <w:lvlJc w:val="left"/>
      <w:pPr>
        <w:tabs>
          <w:tab w:val="left" w:pos="760"/>
        </w:tabs>
        <w:ind w:left="1264" w:hanging="413"/>
      </w:pPr>
      <w:rPr>
        <w:rFonts w:hint="default" w:ascii="Symbol" w:hAnsi="Symbol"/>
        <w:color w:val="auto"/>
      </w:rPr>
    </w:lvl>
    <w:lvl w:ilvl="2" w:tentative="0">
      <w:start w:val="1"/>
      <w:numFmt w:val="bullet"/>
      <w:pStyle w:val="66"/>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0">
    <w:nsid w:val="3D733618"/>
    <w:multiLevelType w:val="multilevel"/>
    <w:tmpl w:val="3D733618"/>
    <w:lvl w:ilvl="0" w:tentative="0">
      <w:start w:val="1"/>
      <w:numFmt w:val="decimal"/>
      <w:pStyle w:val="29"/>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1">
    <w:nsid w:val="4B733A5F"/>
    <w:multiLevelType w:val="multilevel"/>
    <w:tmpl w:val="4B733A5F"/>
    <w:lvl w:ilvl="0" w:tentative="0">
      <w:start w:val="1"/>
      <w:numFmt w:val="decimal"/>
      <w:pStyle w:val="68"/>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60B55DC2"/>
    <w:multiLevelType w:val="multilevel"/>
    <w:tmpl w:val="60B55DC2"/>
    <w:lvl w:ilvl="0" w:tentative="0">
      <w:start w:val="1"/>
      <w:numFmt w:val="upperLetter"/>
      <w:pStyle w:val="92"/>
      <w:lvlText w:val="%1"/>
      <w:lvlJc w:val="left"/>
      <w:pPr>
        <w:tabs>
          <w:tab w:val="left" w:pos="0"/>
        </w:tabs>
        <w:ind w:left="0" w:hanging="425"/>
      </w:pPr>
      <w:rPr>
        <w:rFonts w:hint="eastAsia"/>
      </w:rPr>
    </w:lvl>
    <w:lvl w:ilvl="1" w:tentative="0">
      <w:start w:val="1"/>
      <w:numFmt w:val="decimal"/>
      <w:pStyle w:val="93"/>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133"/>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16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66"/>
      <w:suff w:val="nothing"/>
      <w:lvlText w:val="%1.%2　"/>
      <w:lvlJc w:val="left"/>
      <w:pPr>
        <w:ind w:left="2836" w:firstLine="0"/>
      </w:pPr>
      <w:rPr>
        <w:rFonts w:hint="eastAsia" w:ascii="黑体" w:hAnsi="Times New Roman" w:eastAsia="黑体"/>
        <w:b w:val="0"/>
        <w:i w:val="0"/>
        <w:snapToGrid/>
        <w:spacing w:val="0"/>
        <w:w w:val="100"/>
        <w:kern w:val="21"/>
        <w:sz w:val="21"/>
      </w:rPr>
    </w:lvl>
    <w:lvl w:ilvl="2" w:tentative="0">
      <w:start w:val="1"/>
      <w:numFmt w:val="decimal"/>
      <w:pStyle w:val="1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A6D3780"/>
    <w:multiLevelType w:val="multilevel"/>
    <w:tmpl w:val="6A6D3780"/>
    <w:lvl w:ilvl="0" w:tentative="0">
      <w:start w:val="1"/>
      <w:numFmt w:val="decimal"/>
      <w:pStyle w:val="7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6">
    <w:nsid w:val="6CE73117"/>
    <w:multiLevelType w:val="multilevel"/>
    <w:tmpl w:val="6CE73117"/>
    <w:lvl w:ilvl="0" w:tentative="0">
      <w:start w:val="1"/>
      <w:numFmt w:val="decimal"/>
      <w:pStyle w:val="51"/>
      <w:suff w:val="space"/>
      <w:lvlText w:val="%1 "/>
      <w:lvlJc w:val="left"/>
      <w:pPr>
        <w:ind w:left="0" w:firstLine="0"/>
      </w:pPr>
      <w:rPr>
        <w:rFonts w:hint="default" w:eastAsia="黑体"/>
        <w:sz w:val="24"/>
        <w:szCs w:val="24"/>
      </w:rPr>
    </w:lvl>
    <w:lvl w:ilvl="1" w:tentative="0">
      <w:start w:val="1"/>
      <w:numFmt w:val="decimal"/>
      <w:pStyle w:val="48"/>
      <w:suff w:val="space"/>
      <w:lvlText w:val="%1.%2 "/>
      <w:lvlJc w:val="left"/>
      <w:pPr>
        <w:ind w:left="0" w:firstLine="0"/>
      </w:pPr>
      <w:rPr>
        <w:rFonts w:hint="default"/>
        <w:b w:val="0"/>
        <w:bCs w:val="0"/>
      </w:rPr>
    </w:lvl>
    <w:lvl w:ilvl="2" w:tentative="0">
      <w:start w:val="1"/>
      <w:numFmt w:val="decimal"/>
      <w:pStyle w:val="52"/>
      <w:suff w:val="space"/>
      <w:lvlText w:val="%1.%2.%3 "/>
      <w:lvlJc w:val="left"/>
      <w:pPr>
        <w:ind w:left="426" w:firstLine="0"/>
      </w:pPr>
      <w:rPr>
        <w:rFonts w:hint="eastAsia"/>
        <w:color w:val="000000" w:themeColor="text1"/>
        <w14:textFill>
          <w14:solidFill>
            <w14:schemeClr w14:val="tx1"/>
          </w14:solidFill>
        </w14:textFill>
      </w:rPr>
    </w:lvl>
    <w:lvl w:ilvl="3" w:tentative="0">
      <w:start w:val="1"/>
      <w:numFmt w:val="decimal"/>
      <w:pStyle w:val="57"/>
      <w:suff w:val="space"/>
      <w:lvlText w:val="%1.%2.%3.%4 "/>
      <w:lvlJc w:val="left"/>
      <w:pPr>
        <w:ind w:left="0" w:firstLine="0"/>
      </w:pPr>
      <w:rPr>
        <w:rFonts w:hint="eastAsia"/>
      </w:rPr>
    </w:lvl>
    <w:lvl w:ilvl="4" w:tentative="0">
      <w:start w:val="1"/>
      <w:numFmt w:val="decimal"/>
      <w:pStyle w:val="61"/>
      <w:suff w:val="space"/>
      <w:lvlText w:val="%1.%2.%3.%4.%5 "/>
      <w:lvlJc w:val="left"/>
      <w:pPr>
        <w:ind w:left="0" w:firstLine="0"/>
      </w:pPr>
      <w:rPr>
        <w:rFonts w:hint="eastAsia"/>
      </w:rPr>
    </w:lvl>
    <w:lvl w:ilvl="5" w:tentative="0">
      <w:start w:val="1"/>
      <w:numFmt w:val="decimal"/>
      <w:pStyle w:val="62"/>
      <w:suff w:val="space"/>
      <w:lvlText w:val="%1.%2.%3.%4.%5.%6 "/>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7">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62"/>
      <w:suff w:val="nothing"/>
      <w:lvlText w:val="%1%2　"/>
      <w:lvlJc w:val="left"/>
      <w:pPr>
        <w:ind w:left="0" w:firstLine="0"/>
      </w:pPr>
      <w:rPr>
        <w:rFonts w:hint="eastAsia" w:ascii="黑体" w:eastAsia="黑体"/>
        <w:b w:val="0"/>
        <w:i w:val="0"/>
        <w:sz w:val="21"/>
      </w:rPr>
    </w:lvl>
    <w:lvl w:ilvl="2" w:tentative="0">
      <w:start w:val="1"/>
      <w:numFmt w:val="decimal"/>
      <w:pStyle w:val="161"/>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64"/>
      <w:suff w:val="nothing"/>
      <w:lvlText w:val="%1%2.%3.%4　"/>
      <w:lvlJc w:val="left"/>
      <w:pPr>
        <w:ind w:left="426" w:firstLine="0"/>
      </w:pPr>
      <w:rPr>
        <w:rFonts w:hint="eastAsia" w:ascii="黑体" w:eastAsia="黑体"/>
        <w:b w:val="0"/>
        <w:i w:val="0"/>
        <w:sz w:val="21"/>
      </w:rPr>
    </w:lvl>
    <w:lvl w:ilvl="4" w:tentative="0">
      <w:start w:val="1"/>
      <w:numFmt w:val="decimal"/>
      <w:pStyle w:val="169"/>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8">
    <w:nsid w:val="6D6C07CD"/>
    <w:multiLevelType w:val="multilevel"/>
    <w:tmpl w:val="6D6C07CD"/>
    <w:lvl w:ilvl="0" w:tentative="0">
      <w:start w:val="1"/>
      <w:numFmt w:val="lowerLetter"/>
      <w:pStyle w:val="111"/>
      <w:lvlText w:val="%1)"/>
      <w:lvlJc w:val="left"/>
      <w:pPr>
        <w:tabs>
          <w:tab w:val="left" w:pos="839"/>
        </w:tabs>
        <w:ind w:left="839" w:hanging="419"/>
      </w:pPr>
      <w:rPr>
        <w:rFonts w:hint="eastAsia" w:ascii="宋体" w:eastAsia="宋体"/>
        <w:b w:val="0"/>
        <w:i w:val="0"/>
        <w:sz w:val="21"/>
      </w:rPr>
    </w:lvl>
    <w:lvl w:ilvl="1" w:tentative="0">
      <w:start w:val="1"/>
      <w:numFmt w:val="decimal"/>
      <w:pStyle w:val="10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9">
    <w:nsid w:val="6DBF04F4"/>
    <w:multiLevelType w:val="multilevel"/>
    <w:tmpl w:val="6DBF04F4"/>
    <w:lvl w:ilvl="0" w:tentative="0">
      <w:start w:val="1"/>
      <w:numFmt w:val="none"/>
      <w:pStyle w:val="6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0">
    <w:nsid w:val="725F7525"/>
    <w:multiLevelType w:val="multilevel"/>
    <w:tmpl w:val="725F7525"/>
    <w:lvl w:ilvl="0" w:tentative="0">
      <w:start w:val="1"/>
      <w:numFmt w:val="decimal"/>
      <w:lvlText w:val="[%1]"/>
      <w:lvlJc w:val="left"/>
      <w:pPr>
        <w:ind w:left="840" w:hanging="420"/>
      </w:pPr>
      <w:rPr>
        <w:rFonts w:hint="eastAsia"/>
      </w:rPr>
    </w:lvl>
    <w:lvl w:ilvl="1" w:tentative="0">
      <w:start w:val="1"/>
      <w:numFmt w:val="decimal"/>
      <w:pStyle w:val="154"/>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16"/>
  </w:num>
  <w:num w:numId="3">
    <w:abstractNumId w:val="9"/>
  </w:num>
  <w:num w:numId="4">
    <w:abstractNumId w:val="2"/>
  </w:num>
  <w:num w:numId="5">
    <w:abstractNumId w:val="5"/>
  </w:num>
  <w:num w:numId="6">
    <w:abstractNumId w:val="19"/>
  </w:num>
  <w:num w:numId="7">
    <w:abstractNumId w:val="0"/>
  </w:num>
  <w:num w:numId="8">
    <w:abstractNumId w:val="11"/>
  </w:num>
  <w:num w:numId="9">
    <w:abstractNumId w:val="7"/>
  </w:num>
  <w:num w:numId="10">
    <w:abstractNumId w:val="15"/>
  </w:num>
  <w:num w:numId="11">
    <w:abstractNumId w:val="12"/>
  </w:num>
  <w:num w:numId="12">
    <w:abstractNumId w:val="18"/>
  </w:num>
  <w:num w:numId="13">
    <w:abstractNumId w:val="8"/>
  </w:num>
  <w:num w:numId="14">
    <w:abstractNumId w:val="1"/>
  </w:num>
  <w:num w:numId="15">
    <w:abstractNumId w:val="6"/>
  </w:num>
  <w:num w:numId="16">
    <w:abstractNumId w:val="4"/>
  </w:num>
  <w:num w:numId="17">
    <w:abstractNumId w:val="13"/>
  </w:num>
  <w:num w:numId="18">
    <w:abstractNumId w:val="3"/>
  </w:num>
  <w:num w:numId="19">
    <w:abstractNumId w:val="20"/>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attachedTemplate r:id="rId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1NjJjNTA4MzhhZjJhNmY3ODcyZjgxMDNiNzc2NjEifQ=="/>
    <w:docVar w:name="KSO_WPS_MARK_KEY" w:val="6709375a-9620-4743-91dd-1048625d72d7"/>
  </w:docVars>
  <w:rsids>
    <w:rsidRoot w:val="79524340"/>
    <w:rsid w:val="00000244"/>
    <w:rsid w:val="0000185F"/>
    <w:rsid w:val="000024D3"/>
    <w:rsid w:val="000053B0"/>
    <w:rsid w:val="0000586F"/>
    <w:rsid w:val="00006A6E"/>
    <w:rsid w:val="0001233B"/>
    <w:rsid w:val="00013D86"/>
    <w:rsid w:val="00013E02"/>
    <w:rsid w:val="0002121F"/>
    <w:rsid w:val="0002143C"/>
    <w:rsid w:val="000215FE"/>
    <w:rsid w:val="00025A65"/>
    <w:rsid w:val="00026C31"/>
    <w:rsid w:val="00027280"/>
    <w:rsid w:val="00027869"/>
    <w:rsid w:val="000320A7"/>
    <w:rsid w:val="00035925"/>
    <w:rsid w:val="00035B43"/>
    <w:rsid w:val="000378F3"/>
    <w:rsid w:val="000400CC"/>
    <w:rsid w:val="0004077A"/>
    <w:rsid w:val="000455F6"/>
    <w:rsid w:val="000456E4"/>
    <w:rsid w:val="00050549"/>
    <w:rsid w:val="00053025"/>
    <w:rsid w:val="00055016"/>
    <w:rsid w:val="0005676A"/>
    <w:rsid w:val="00056891"/>
    <w:rsid w:val="00060186"/>
    <w:rsid w:val="00060320"/>
    <w:rsid w:val="00061BD7"/>
    <w:rsid w:val="00064214"/>
    <w:rsid w:val="000651BA"/>
    <w:rsid w:val="00066E9E"/>
    <w:rsid w:val="00067CDF"/>
    <w:rsid w:val="00070887"/>
    <w:rsid w:val="000748FF"/>
    <w:rsid w:val="00074FBE"/>
    <w:rsid w:val="00081D80"/>
    <w:rsid w:val="00082A7E"/>
    <w:rsid w:val="00083A09"/>
    <w:rsid w:val="00084969"/>
    <w:rsid w:val="000873CC"/>
    <w:rsid w:val="00087F5D"/>
    <w:rsid w:val="0009005E"/>
    <w:rsid w:val="00090B04"/>
    <w:rsid w:val="00092857"/>
    <w:rsid w:val="00094926"/>
    <w:rsid w:val="000979C3"/>
    <w:rsid w:val="000A20A9"/>
    <w:rsid w:val="000A24CB"/>
    <w:rsid w:val="000A3168"/>
    <w:rsid w:val="000A37C0"/>
    <w:rsid w:val="000A45C4"/>
    <w:rsid w:val="000A45D3"/>
    <w:rsid w:val="000A48B1"/>
    <w:rsid w:val="000A68AB"/>
    <w:rsid w:val="000B3143"/>
    <w:rsid w:val="000B3C4F"/>
    <w:rsid w:val="000B7D95"/>
    <w:rsid w:val="000C4F68"/>
    <w:rsid w:val="000C582C"/>
    <w:rsid w:val="000C6B05"/>
    <w:rsid w:val="000C6DD6"/>
    <w:rsid w:val="000C73D4"/>
    <w:rsid w:val="000D2CF3"/>
    <w:rsid w:val="000D3D4C"/>
    <w:rsid w:val="000D4F51"/>
    <w:rsid w:val="000D6CFF"/>
    <w:rsid w:val="000D718B"/>
    <w:rsid w:val="000E0A14"/>
    <w:rsid w:val="000E0C46"/>
    <w:rsid w:val="000E0D69"/>
    <w:rsid w:val="000E78FD"/>
    <w:rsid w:val="000F030C"/>
    <w:rsid w:val="000F129C"/>
    <w:rsid w:val="00100680"/>
    <w:rsid w:val="00104F16"/>
    <w:rsid w:val="001056DE"/>
    <w:rsid w:val="00106F3C"/>
    <w:rsid w:val="001124C0"/>
    <w:rsid w:val="0011346F"/>
    <w:rsid w:val="001230FD"/>
    <w:rsid w:val="00125A8B"/>
    <w:rsid w:val="0013175F"/>
    <w:rsid w:val="0013332E"/>
    <w:rsid w:val="0013554D"/>
    <w:rsid w:val="00137A49"/>
    <w:rsid w:val="00142131"/>
    <w:rsid w:val="0014319E"/>
    <w:rsid w:val="00144EDE"/>
    <w:rsid w:val="00145798"/>
    <w:rsid w:val="00145EB1"/>
    <w:rsid w:val="00147B89"/>
    <w:rsid w:val="001512B4"/>
    <w:rsid w:val="00151930"/>
    <w:rsid w:val="00152390"/>
    <w:rsid w:val="001559F2"/>
    <w:rsid w:val="001620A5"/>
    <w:rsid w:val="001629BC"/>
    <w:rsid w:val="00164E53"/>
    <w:rsid w:val="00165CEC"/>
    <w:rsid w:val="001668AD"/>
    <w:rsid w:val="0016699D"/>
    <w:rsid w:val="00175159"/>
    <w:rsid w:val="00176208"/>
    <w:rsid w:val="00176AA8"/>
    <w:rsid w:val="0018211B"/>
    <w:rsid w:val="001840D3"/>
    <w:rsid w:val="00185E08"/>
    <w:rsid w:val="00186C51"/>
    <w:rsid w:val="00187759"/>
    <w:rsid w:val="001900F8"/>
    <w:rsid w:val="00190199"/>
    <w:rsid w:val="00191258"/>
    <w:rsid w:val="00192680"/>
    <w:rsid w:val="00193037"/>
    <w:rsid w:val="00193A2C"/>
    <w:rsid w:val="00195A71"/>
    <w:rsid w:val="00195DA9"/>
    <w:rsid w:val="001A288E"/>
    <w:rsid w:val="001B0AA8"/>
    <w:rsid w:val="001B511A"/>
    <w:rsid w:val="001B5853"/>
    <w:rsid w:val="001B5B9B"/>
    <w:rsid w:val="001B6DC2"/>
    <w:rsid w:val="001B715C"/>
    <w:rsid w:val="001B7F45"/>
    <w:rsid w:val="001C149C"/>
    <w:rsid w:val="001C1C23"/>
    <w:rsid w:val="001C21AC"/>
    <w:rsid w:val="001C47BA"/>
    <w:rsid w:val="001C4D99"/>
    <w:rsid w:val="001C59EA"/>
    <w:rsid w:val="001C7AF2"/>
    <w:rsid w:val="001D102C"/>
    <w:rsid w:val="001D25EF"/>
    <w:rsid w:val="001D3894"/>
    <w:rsid w:val="001D406C"/>
    <w:rsid w:val="001D41EE"/>
    <w:rsid w:val="001D7BE1"/>
    <w:rsid w:val="001E0380"/>
    <w:rsid w:val="001E135E"/>
    <w:rsid w:val="001E13B1"/>
    <w:rsid w:val="001E13E8"/>
    <w:rsid w:val="001E35DF"/>
    <w:rsid w:val="001E4196"/>
    <w:rsid w:val="001E563D"/>
    <w:rsid w:val="001E7022"/>
    <w:rsid w:val="001F3A19"/>
    <w:rsid w:val="002046D4"/>
    <w:rsid w:val="0020541F"/>
    <w:rsid w:val="00207852"/>
    <w:rsid w:val="00215F0E"/>
    <w:rsid w:val="00215F95"/>
    <w:rsid w:val="002245D5"/>
    <w:rsid w:val="00225C8E"/>
    <w:rsid w:val="00226814"/>
    <w:rsid w:val="00227186"/>
    <w:rsid w:val="002271C6"/>
    <w:rsid w:val="00234467"/>
    <w:rsid w:val="002346F0"/>
    <w:rsid w:val="002350FC"/>
    <w:rsid w:val="00235AFA"/>
    <w:rsid w:val="00237D8D"/>
    <w:rsid w:val="00241DA2"/>
    <w:rsid w:val="00246C16"/>
    <w:rsid w:val="00247FEE"/>
    <w:rsid w:val="00250E7D"/>
    <w:rsid w:val="0025654C"/>
    <w:rsid w:val="002565D5"/>
    <w:rsid w:val="00261E4A"/>
    <w:rsid w:val="002622C0"/>
    <w:rsid w:val="00262DCB"/>
    <w:rsid w:val="00271195"/>
    <w:rsid w:val="002717C6"/>
    <w:rsid w:val="00274D48"/>
    <w:rsid w:val="00276A65"/>
    <w:rsid w:val="002778AE"/>
    <w:rsid w:val="0028129D"/>
    <w:rsid w:val="0028269A"/>
    <w:rsid w:val="00283590"/>
    <w:rsid w:val="00283678"/>
    <w:rsid w:val="0028373D"/>
    <w:rsid w:val="00284F69"/>
    <w:rsid w:val="00286973"/>
    <w:rsid w:val="00292704"/>
    <w:rsid w:val="00292BE5"/>
    <w:rsid w:val="00294AAC"/>
    <w:rsid w:val="00294E70"/>
    <w:rsid w:val="002A0F5C"/>
    <w:rsid w:val="002A141D"/>
    <w:rsid w:val="002A1924"/>
    <w:rsid w:val="002A7420"/>
    <w:rsid w:val="002B0F12"/>
    <w:rsid w:val="002B1308"/>
    <w:rsid w:val="002B1D86"/>
    <w:rsid w:val="002B4554"/>
    <w:rsid w:val="002C1A42"/>
    <w:rsid w:val="002C2059"/>
    <w:rsid w:val="002C72D8"/>
    <w:rsid w:val="002D11FA"/>
    <w:rsid w:val="002E0DDF"/>
    <w:rsid w:val="002E25BD"/>
    <w:rsid w:val="002E2906"/>
    <w:rsid w:val="002E363B"/>
    <w:rsid w:val="002E4928"/>
    <w:rsid w:val="002E50A6"/>
    <w:rsid w:val="002E5635"/>
    <w:rsid w:val="002E64C3"/>
    <w:rsid w:val="002E6A2C"/>
    <w:rsid w:val="002E6EBC"/>
    <w:rsid w:val="002F1D8C"/>
    <w:rsid w:val="002F21DA"/>
    <w:rsid w:val="002F3489"/>
    <w:rsid w:val="00301F39"/>
    <w:rsid w:val="003028E2"/>
    <w:rsid w:val="00302DB1"/>
    <w:rsid w:val="00304C5F"/>
    <w:rsid w:val="00306B8F"/>
    <w:rsid w:val="003074A5"/>
    <w:rsid w:val="00310A54"/>
    <w:rsid w:val="00315E5D"/>
    <w:rsid w:val="003160C1"/>
    <w:rsid w:val="00325926"/>
    <w:rsid w:val="003277B3"/>
    <w:rsid w:val="00327A8A"/>
    <w:rsid w:val="00336610"/>
    <w:rsid w:val="00336D07"/>
    <w:rsid w:val="00337DEB"/>
    <w:rsid w:val="003404AC"/>
    <w:rsid w:val="00343F73"/>
    <w:rsid w:val="00344F93"/>
    <w:rsid w:val="00345060"/>
    <w:rsid w:val="00345650"/>
    <w:rsid w:val="00346FE0"/>
    <w:rsid w:val="00351B28"/>
    <w:rsid w:val="0035323B"/>
    <w:rsid w:val="0035378A"/>
    <w:rsid w:val="00356F97"/>
    <w:rsid w:val="003609D2"/>
    <w:rsid w:val="00363F22"/>
    <w:rsid w:val="003654C4"/>
    <w:rsid w:val="003674EB"/>
    <w:rsid w:val="0037334B"/>
    <w:rsid w:val="00375564"/>
    <w:rsid w:val="00382EAB"/>
    <w:rsid w:val="00383191"/>
    <w:rsid w:val="00386DED"/>
    <w:rsid w:val="00390762"/>
    <w:rsid w:val="00390AC7"/>
    <w:rsid w:val="003912E7"/>
    <w:rsid w:val="00393947"/>
    <w:rsid w:val="003A170B"/>
    <w:rsid w:val="003A1C6A"/>
    <w:rsid w:val="003A2275"/>
    <w:rsid w:val="003A2A45"/>
    <w:rsid w:val="003A6A4F"/>
    <w:rsid w:val="003A7088"/>
    <w:rsid w:val="003B00DF"/>
    <w:rsid w:val="003B114F"/>
    <w:rsid w:val="003B1275"/>
    <w:rsid w:val="003B1778"/>
    <w:rsid w:val="003B2EAC"/>
    <w:rsid w:val="003B6DF1"/>
    <w:rsid w:val="003C11CB"/>
    <w:rsid w:val="003C75F3"/>
    <w:rsid w:val="003C78A3"/>
    <w:rsid w:val="003C7DC3"/>
    <w:rsid w:val="003D0DC2"/>
    <w:rsid w:val="003D2966"/>
    <w:rsid w:val="003E1867"/>
    <w:rsid w:val="003E5729"/>
    <w:rsid w:val="003E5EAE"/>
    <w:rsid w:val="003E6A28"/>
    <w:rsid w:val="003E7514"/>
    <w:rsid w:val="003E7529"/>
    <w:rsid w:val="003F2AF5"/>
    <w:rsid w:val="003F3E91"/>
    <w:rsid w:val="003F4EE0"/>
    <w:rsid w:val="003F5AC7"/>
    <w:rsid w:val="003F7207"/>
    <w:rsid w:val="004009C8"/>
    <w:rsid w:val="00400E9E"/>
    <w:rsid w:val="00402153"/>
    <w:rsid w:val="00402FC1"/>
    <w:rsid w:val="004035C7"/>
    <w:rsid w:val="004046C4"/>
    <w:rsid w:val="004048B6"/>
    <w:rsid w:val="00406C5E"/>
    <w:rsid w:val="004100FE"/>
    <w:rsid w:val="00421E5E"/>
    <w:rsid w:val="004241F5"/>
    <w:rsid w:val="00424643"/>
    <w:rsid w:val="00425082"/>
    <w:rsid w:val="00427D04"/>
    <w:rsid w:val="00431DEB"/>
    <w:rsid w:val="0043263E"/>
    <w:rsid w:val="00436B51"/>
    <w:rsid w:val="00446B29"/>
    <w:rsid w:val="00453F9A"/>
    <w:rsid w:val="00455CE5"/>
    <w:rsid w:val="004618A9"/>
    <w:rsid w:val="00462CEC"/>
    <w:rsid w:val="00466708"/>
    <w:rsid w:val="004672B1"/>
    <w:rsid w:val="00471E91"/>
    <w:rsid w:val="00474675"/>
    <w:rsid w:val="0047470C"/>
    <w:rsid w:val="00485BDC"/>
    <w:rsid w:val="00492D95"/>
    <w:rsid w:val="00492FDB"/>
    <w:rsid w:val="00493BC3"/>
    <w:rsid w:val="004942A8"/>
    <w:rsid w:val="0049613A"/>
    <w:rsid w:val="004969B2"/>
    <w:rsid w:val="004A35F9"/>
    <w:rsid w:val="004B15D8"/>
    <w:rsid w:val="004B24C1"/>
    <w:rsid w:val="004B6742"/>
    <w:rsid w:val="004C292F"/>
    <w:rsid w:val="004C5C89"/>
    <w:rsid w:val="004C711D"/>
    <w:rsid w:val="004D21C1"/>
    <w:rsid w:val="004D4F0A"/>
    <w:rsid w:val="004D56B9"/>
    <w:rsid w:val="004E3212"/>
    <w:rsid w:val="004E6E6F"/>
    <w:rsid w:val="004F0D37"/>
    <w:rsid w:val="004F49A3"/>
    <w:rsid w:val="004F49F6"/>
    <w:rsid w:val="004F5D3F"/>
    <w:rsid w:val="005008F7"/>
    <w:rsid w:val="00501F7B"/>
    <w:rsid w:val="00510280"/>
    <w:rsid w:val="00512F3E"/>
    <w:rsid w:val="00513D73"/>
    <w:rsid w:val="00514A43"/>
    <w:rsid w:val="00516C20"/>
    <w:rsid w:val="005174E5"/>
    <w:rsid w:val="00522393"/>
    <w:rsid w:val="00522620"/>
    <w:rsid w:val="00525656"/>
    <w:rsid w:val="0053046D"/>
    <w:rsid w:val="00532043"/>
    <w:rsid w:val="00532518"/>
    <w:rsid w:val="00534C02"/>
    <w:rsid w:val="00535E75"/>
    <w:rsid w:val="00540BCD"/>
    <w:rsid w:val="00541D7D"/>
    <w:rsid w:val="0054264B"/>
    <w:rsid w:val="00543786"/>
    <w:rsid w:val="0054387C"/>
    <w:rsid w:val="005533D7"/>
    <w:rsid w:val="00556F27"/>
    <w:rsid w:val="00557D42"/>
    <w:rsid w:val="00564C39"/>
    <w:rsid w:val="00565624"/>
    <w:rsid w:val="00570354"/>
    <w:rsid w:val="005703DE"/>
    <w:rsid w:val="00570CF6"/>
    <w:rsid w:val="0057196D"/>
    <w:rsid w:val="0057501A"/>
    <w:rsid w:val="00575F5E"/>
    <w:rsid w:val="00581128"/>
    <w:rsid w:val="0058464E"/>
    <w:rsid w:val="0058610C"/>
    <w:rsid w:val="0059030D"/>
    <w:rsid w:val="00593B48"/>
    <w:rsid w:val="00596272"/>
    <w:rsid w:val="005A01CB"/>
    <w:rsid w:val="005A0D62"/>
    <w:rsid w:val="005A58FF"/>
    <w:rsid w:val="005A5EAF"/>
    <w:rsid w:val="005A64C0"/>
    <w:rsid w:val="005A7487"/>
    <w:rsid w:val="005B0023"/>
    <w:rsid w:val="005B0A4B"/>
    <w:rsid w:val="005B1E4E"/>
    <w:rsid w:val="005B3C11"/>
    <w:rsid w:val="005B4FF9"/>
    <w:rsid w:val="005B582D"/>
    <w:rsid w:val="005B5A19"/>
    <w:rsid w:val="005B651D"/>
    <w:rsid w:val="005C1706"/>
    <w:rsid w:val="005C1C28"/>
    <w:rsid w:val="005C53B2"/>
    <w:rsid w:val="005C541E"/>
    <w:rsid w:val="005C6DB5"/>
    <w:rsid w:val="005C74FE"/>
    <w:rsid w:val="005C777B"/>
    <w:rsid w:val="005D39B7"/>
    <w:rsid w:val="005D5B7C"/>
    <w:rsid w:val="005E19E7"/>
    <w:rsid w:val="005E232A"/>
    <w:rsid w:val="005E259F"/>
    <w:rsid w:val="005E562B"/>
    <w:rsid w:val="005E5744"/>
    <w:rsid w:val="005E59DE"/>
    <w:rsid w:val="005E60CE"/>
    <w:rsid w:val="005F0D35"/>
    <w:rsid w:val="005F3A96"/>
    <w:rsid w:val="005F7640"/>
    <w:rsid w:val="005F7E9E"/>
    <w:rsid w:val="0060413E"/>
    <w:rsid w:val="006046A9"/>
    <w:rsid w:val="00604B74"/>
    <w:rsid w:val="00607EC9"/>
    <w:rsid w:val="006126C0"/>
    <w:rsid w:val="006128E9"/>
    <w:rsid w:val="006149F1"/>
    <w:rsid w:val="0061716C"/>
    <w:rsid w:val="00620D38"/>
    <w:rsid w:val="006243A1"/>
    <w:rsid w:val="006278EC"/>
    <w:rsid w:val="0063162D"/>
    <w:rsid w:val="00631E62"/>
    <w:rsid w:val="00632E56"/>
    <w:rsid w:val="00633103"/>
    <w:rsid w:val="00635CBA"/>
    <w:rsid w:val="006377C5"/>
    <w:rsid w:val="006407B5"/>
    <w:rsid w:val="0064338B"/>
    <w:rsid w:val="00644F98"/>
    <w:rsid w:val="00646542"/>
    <w:rsid w:val="006504F4"/>
    <w:rsid w:val="0065062E"/>
    <w:rsid w:val="006507F4"/>
    <w:rsid w:val="00654BC9"/>
    <w:rsid w:val="006552CA"/>
    <w:rsid w:val="006552FD"/>
    <w:rsid w:val="00655F4D"/>
    <w:rsid w:val="00663AF3"/>
    <w:rsid w:val="00666B6C"/>
    <w:rsid w:val="00666CA2"/>
    <w:rsid w:val="0066776B"/>
    <w:rsid w:val="0066799C"/>
    <w:rsid w:val="00676405"/>
    <w:rsid w:val="00682682"/>
    <w:rsid w:val="00682702"/>
    <w:rsid w:val="00682CAE"/>
    <w:rsid w:val="00684333"/>
    <w:rsid w:val="00692368"/>
    <w:rsid w:val="00693782"/>
    <w:rsid w:val="00693C38"/>
    <w:rsid w:val="00696B14"/>
    <w:rsid w:val="006A0055"/>
    <w:rsid w:val="006A01CA"/>
    <w:rsid w:val="006A2EBC"/>
    <w:rsid w:val="006A5EA0"/>
    <w:rsid w:val="006A783B"/>
    <w:rsid w:val="006A7B33"/>
    <w:rsid w:val="006B204A"/>
    <w:rsid w:val="006B230C"/>
    <w:rsid w:val="006B4E13"/>
    <w:rsid w:val="006B75DD"/>
    <w:rsid w:val="006C08B7"/>
    <w:rsid w:val="006C67E0"/>
    <w:rsid w:val="006C68D3"/>
    <w:rsid w:val="006C7ABA"/>
    <w:rsid w:val="006D0D60"/>
    <w:rsid w:val="006D1122"/>
    <w:rsid w:val="006D2F81"/>
    <w:rsid w:val="006D3C00"/>
    <w:rsid w:val="006D6CF4"/>
    <w:rsid w:val="006E05BB"/>
    <w:rsid w:val="006E11C4"/>
    <w:rsid w:val="006E2AF4"/>
    <w:rsid w:val="006E3675"/>
    <w:rsid w:val="006E431E"/>
    <w:rsid w:val="006E4A7F"/>
    <w:rsid w:val="006E59DB"/>
    <w:rsid w:val="006F5451"/>
    <w:rsid w:val="00701D24"/>
    <w:rsid w:val="00704DF6"/>
    <w:rsid w:val="0070651C"/>
    <w:rsid w:val="007132A3"/>
    <w:rsid w:val="00713C9D"/>
    <w:rsid w:val="0071447D"/>
    <w:rsid w:val="00716421"/>
    <w:rsid w:val="0072211B"/>
    <w:rsid w:val="00724EFB"/>
    <w:rsid w:val="00726FFE"/>
    <w:rsid w:val="007334E0"/>
    <w:rsid w:val="007419C3"/>
    <w:rsid w:val="0074261B"/>
    <w:rsid w:val="00744814"/>
    <w:rsid w:val="00744F22"/>
    <w:rsid w:val="007454DE"/>
    <w:rsid w:val="00745EE3"/>
    <w:rsid w:val="007467A7"/>
    <w:rsid w:val="007469DD"/>
    <w:rsid w:val="0074741B"/>
    <w:rsid w:val="0074759E"/>
    <w:rsid w:val="007478EA"/>
    <w:rsid w:val="0075415C"/>
    <w:rsid w:val="007549D1"/>
    <w:rsid w:val="00756A6C"/>
    <w:rsid w:val="00762B7C"/>
    <w:rsid w:val="00763502"/>
    <w:rsid w:val="00764C2C"/>
    <w:rsid w:val="0076531A"/>
    <w:rsid w:val="00766ABD"/>
    <w:rsid w:val="007744A9"/>
    <w:rsid w:val="00774FCA"/>
    <w:rsid w:val="007823C1"/>
    <w:rsid w:val="007913AB"/>
    <w:rsid w:val="007914F7"/>
    <w:rsid w:val="007972CC"/>
    <w:rsid w:val="00797409"/>
    <w:rsid w:val="007A6D6B"/>
    <w:rsid w:val="007B0C55"/>
    <w:rsid w:val="007B1625"/>
    <w:rsid w:val="007B5A52"/>
    <w:rsid w:val="007B65F0"/>
    <w:rsid w:val="007B6C5B"/>
    <w:rsid w:val="007B706E"/>
    <w:rsid w:val="007B71EB"/>
    <w:rsid w:val="007B7457"/>
    <w:rsid w:val="007C257A"/>
    <w:rsid w:val="007C6205"/>
    <w:rsid w:val="007C6359"/>
    <w:rsid w:val="007C686A"/>
    <w:rsid w:val="007C728E"/>
    <w:rsid w:val="007D2C53"/>
    <w:rsid w:val="007D3D60"/>
    <w:rsid w:val="007D66C9"/>
    <w:rsid w:val="007E1980"/>
    <w:rsid w:val="007E1EEB"/>
    <w:rsid w:val="007E4B76"/>
    <w:rsid w:val="007E5EA8"/>
    <w:rsid w:val="007E6EB0"/>
    <w:rsid w:val="007F052A"/>
    <w:rsid w:val="007F0CF1"/>
    <w:rsid w:val="007F12A5"/>
    <w:rsid w:val="007F1923"/>
    <w:rsid w:val="007F26FD"/>
    <w:rsid w:val="007F4CF1"/>
    <w:rsid w:val="007F758D"/>
    <w:rsid w:val="007F7D52"/>
    <w:rsid w:val="00801608"/>
    <w:rsid w:val="00802672"/>
    <w:rsid w:val="0080654C"/>
    <w:rsid w:val="00806796"/>
    <w:rsid w:val="008071C6"/>
    <w:rsid w:val="008077A3"/>
    <w:rsid w:val="008127A2"/>
    <w:rsid w:val="00813900"/>
    <w:rsid w:val="00814471"/>
    <w:rsid w:val="00815D7E"/>
    <w:rsid w:val="00817A00"/>
    <w:rsid w:val="0082108D"/>
    <w:rsid w:val="00821CAE"/>
    <w:rsid w:val="008265DF"/>
    <w:rsid w:val="008305A8"/>
    <w:rsid w:val="00831AA2"/>
    <w:rsid w:val="00832FD9"/>
    <w:rsid w:val="00835DB3"/>
    <w:rsid w:val="0083617B"/>
    <w:rsid w:val="008370D2"/>
    <w:rsid w:val="008371BD"/>
    <w:rsid w:val="008406E4"/>
    <w:rsid w:val="0084297F"/>
    <w:rsid w:val="008446E3"/>
    <w:rsid w:val="008447FF"/>
    <w:rsid w:val="008504A8"/>
    <w:rsid w:val="0085202D"/>
    <w:rsid w:val="00852108"/>
    <w:rsid w:val="0085282E"/>
    <w:rsid w:val="00855EF4"/>
    <w:rsid w:val="008652BC"/>
    <w:rsid w:val="0086734E"/>
    <w:rsid w:val="0087198C"/>
    <w:rsid w:val="0087249A"/>
    <w:rsid w:val="00872C1F"/>
    <w:rsid w:val="008735C6"/>
    <w:rsid w:val="00873B42"/>
    <w:rsid w:val="00873F6C"/>
    <w:rsid w:val="008768B0"/>
    <w:rsid w:val="00883159"/>
    <w:rsid w:val="00885446"/>
    <w:rsid w:val="008856D8"/>
    <w:rsid w:val="0089069C"/>
    <w:rsid w:val="00892E82"/>
    <w:rsid w:val="00893D49"/>
    <w:rsid w:val="00896411"/>
    <w:rsid w:val="008A1536"/>
    <w:rsid w:val="008A236D"/>
    <w:rsid w:val="008A3B7C"/>
    <w:rsid w:val="008A753A"/>
    <w:rsid w:val="008B276C"/>
    <w:rsid w:val="008B563E"/>
    <w:rsid w:val="008C06EB"/>
    <w:rsid w:val="008C1B4A"/>
    <w:rsid w:val="008C1B58"/>
    <w:rsid w:val="008C39AE"/>
    <w:rsid w:val="008C590D"/>
    <w:rsid w:val="008C6624"/>
    <w:rsid w:val="008C67C7"/>
    <w:rsid w:val="008D0215"/>
    <w:rsid w:val="008D2FAF"/>
    <w:rsid w:val="008D564F"/>
    <w:rsid w:val="008D565B"/>
    <w:rsid w:val="008D6781"/>
    <w:rsid w:val="008D758F"/>
    <w:rsid w:val="008E031B"/>
    <w:rsid w:val="008E059C"/>
    <w:rsid w:val="008E1C59"/>
    <w:rsid w:val="008E5E48"/>
    <w:rsid w:val="008E7029"/>
    <w:rsid w:val="008E7749"/>
    <w:rsid w:val="008E7EF6"/>
    <w:rsid w:val="008F1F98"/>
    <w:rsid w:val="008F4675"/>
    <w:rsid w:val="008F650E"/>
    <w:rsid w:val="008F6758"/>
    <w:rsid w:val="008F692D"/>
    <w:rsid w:val="008F716A"/>
    <w:rsid w:val="00900195"/>
    <w:rsid w:val="00900275"/>
    <w:rsid w:val="00901937"/>
    <w:rsid w:val="009040DD"/>
    <w:rsid w:val="00904828"/>
    <w:rsid w:val="00905B47"/>
    <w:rsid w:val="00911190"/>
    <w:rsid w:val="0091331C"/>
    <w:rsid w:val="00913C85"/>
    <w:rsid w:val="00915E33"/>
    <w:rsid w:val="0092513A"/>
    <w:rsid w:val="009279DE"/>
    <w:rsid w:val="00930116"/>
    <w:rsid w:val="00930D34"/>
    <w:rsid w:val="00933FB7"/>
    <w:rsid w:val="00935495"/>
    <w:rsid w:val="009357C5"/>
    <w:rsid w:val="009361CD"/>
    <w:rsid w:val="0094212C"/>
    <w:rsid w:val="009438A2"/>
    <w:rsid w:val="009468EF"/>
    <w:rsid w:val="009543BE"/>
    <w:rsid w:val="00954689"/>
    <w:rsid w:val="009617C9"/>
    <w:rsid w:val="00961C93"/>
    <w:rsid w:val="00962EA7"/>
    <w:rsid w:val="00963DD4"/>
    <w:rsid w:val="00965324"/>
    <w:rsid w:val="0097091E"/>
    <w:rsid w:val="009739DE"/>
    <w:rsid w:val="009760D3"/>
    <w:rsid w:val="009770CC"/>
    <w:rsid w:val="00977132"/>
    <w:rsid w:val="009805EA"/>
    <w:rsid w:val="00981A4B"/>
    <w:rsid w:val="00982501"/>
    <w:rsid w:val="00986B9C"/>
    <w:rsid w:val="009877D3"/>
    <w:rsid w:val="00987806"/>
    <w:rsid w:val="00987D50"/>
    <w:rsid w:val="00990471"/>
    <w:rsid w:val="0099200F"/>
    <w:rsid w:val="009939DD"/>
    <w:rsid w:val="00994E0E"/>
    <w:rsid w:val="00994E8F"/>
    <w:rsid w:val="009951DC"/>
    <w:rsid w:val="009959BB"/>
    <w:rsid w:val="009960DE"/>
    <w:rsid w:val="00997158"/>
    <w:rsid w:val="009A1324"/>
    <w:rsid w:val="009A2D72"/>
    <w:rsid w:val="009A3A7C"/>
    <w:rsid w:val="009A6F7F"/>
    <w:rsid w:val="009B2293"/>
    <w:rsid w:val="009B2ADB"/>
    <w:rsid w:val="009B5825"/>
    <w:rsid w:val="009B603A"/>
    <w:rsid w:val="009C0DF3"/>
    <w:rsid w:val="009C109C"/>
    <w:rsid w:val="009C2D0E"/>
    <w:rsid w:val="009C3DAC"/>
    <w:rsid w:val="009C42E0"/>
    <w:rsid w:val="009D206E"/>
    <w:rsid w:val="009D42F1"/>
    <w:rsid w:val="009D4A27"/>
    <w:rsid w:val="009D51A1"/>
    <w:rsid w:val="009D5362"/>
    <w:rsid w:val="009E1415"/>
    <w:rsid w:val="009E4D58"/>
    <w:rsid w:val="009E60F2"/>
    <w:rsid w:val="009E6116"/>
    <w:rsid w:val="009F096B"/>
    <w:rsid w:val="009F14AB"/>
    <w:rsid w:val="009F31C5"/>
    <w:rsid w:val="00A020A7"/>
    <w:rsid w:val="00A02E43"/>
    <w:rsid w:val="00A05ACB"/>
    <w:rsid w:val="00A065F9"/>
    <w:rsid w:val="00A07F34"/>
    <w:rsid w:val="00A12C64"/>
    <w:rsid w:val="00A16306"/>
    <w:rsid w:val="00A22044"/>
    <w:rsid w:val="00A22154"/>
    <w:rsid w:val="00A24CA6"/>
    <w:rsid w:val="00A25C38"/>
    <w:rsid w:val="00A27CA2"/>
    <w:rsid w:val="00A31C69"/>
    <w:rsid w:val="00A3328C"/>
    <w:rsid w:val="00A3475F"/>
    <w:rsid w:val="00A3589E"/>
    <w:rsid w:val="00A3618A"/>
    <w:rsid w:val="00A36B07"/>
    <w:rsid w:val="00A36BBE"/>
    <w:rsid w:val="00A40DA4"/>
    <w:rsid w:val="00A42404"/>
    <w:rsid w:val="00A4307A"/>
    <w:rsid w:val="00A45884"/>
    <w:rsid w:val="00A47EBB"/>
    <w:rsid w:val="00A51890"/>
    <w:rsid w:val="00A51CDD"/>
    <w:rsid w:val="00A54FD3"/>
    <w:rsid w:val="00A6457A"/>
    <w:rsid w:val="00A66513"/>
    <w:rsid w:val="00A6730D"/>
    <w:rsid w:val="00A7086D"/>
    <w:rsid w:val="00A70B14"/>
    <w:rsid w:val="00A71625"/>
    <w:rsid w:val="00A71B9B"/>
    <w:rsid w:val="00A751C7"/>
    <w:rsid w:val="00A769E6"/>
    <w:rsid w:val="00A77E57"/>
    <w:rsid w:val="00A8178C"/>
    <w:rsid w:val="00A81974"/>
    <w:rsid w:val="00A836A4"/>
    <w:rsid w:val="00A84816"/>
    <w:rsid w:val="00A86922"/>
    <w:rsid w:val="00A873DE"/>
    <w:rsid w:val="00A87798"/>
    <w:rsid w:val="00A87844"/>
    <w:rsid w:val="00A87ED0"/>
    <w:rsid w:val="00AA038C"/>
    <w:rsid w:val="00AA3705"/>
    <w:rsid w:val="00AA7A09"/>
    <w:rsid w:val="00AA7B02"/>
    <w:rsid w:val="00AB3095"/>
    <w:rsid w:val="00AB3235"/>
    <w:rsid w:val="00AB3B50"/>
    <w:rsid w:val="00AB5E69"/>
    <w:rsid w:val="00AB78F9"/>
    <w:rsid w:val="00AC05B1"/>
    <w:rsid w:val="00AC08AB"/>
    <w:rsid w:val="00AC5220"/>
    <w:rsid w:val="00AC63DF"/>
    <w:rsid w:val="00AD356C"/>
    <w:rsid w:val="00AD5177"/>
    <w:rsid w:val="00AD7634"/>
    <w:rsid w:val="00AD7D5B"/>
    <w:rsid w:val="00AE0EE4"/>
    <w:rsid w:val="00AE1F9B"/>
    <w:rsid w:val="00AE2914"/>
    <w:rsid w:val="00AE375D"/>
    <w:rsid w:val="00AE4FD7"/>
    <w:rsid w:val="00AE6D15"/>
    <w:rsid w:val="00AF28B2"/>
    <w:rsid w:val="00B00E13"/>
    <w:rsid w:val="00B017DA"/>
    <w:rsid w:val="00B02CB7"/>
    <w:rsid w:val="00B04182"/>
    <w:rsid w:val="00B05887"/>
    <w:rsid w:val="00B07AE3"/>
    <w:rsid w:val="00B07CCD"/>
    <w:rsid w:val="00B11430"/>
    <w:rsid w:val="00B11D69"/>
    <w:rsid w:val="00B23A10"/>
    <w:rsid w:val="00B23A84"/>
    <w:rsid w:val="00B242BD"/>
    <w:rsid w:val="00B26FAF"/>
    <w:rsid w:val="00B353EB"/>
    <w:rsid w:val="00B3550C"/>
    <w:rsid w:val="00B435AA"/>
    <w:rsid w:val="00B439C4"/>
    <w:rsid w:val="00B4535E"/>
    <w:rsid w:val="00B50CE7"/>
    <w:rsid w:val="00B52554"/>
    <w:rsid w:val="00B52A8C"/>
    <w:rsid w:val="00B53D41"/>
    <w:rsid w:val="00B57EF4"/>
    <w:rsid w:val="00B60B5F"/>
    <w:rsid w:val="00B61351"/>
    <w:rsid w:val="00B61764"/>
    <w:rsid w:val="00B636A8"/>
    <w:rsid w:val="00B665C6"/>
    <w:rsid w:val="00B71E88"/>
    <w:rsid w:val="00B805AF"/>
    <w:rsid w:val="00B869EC"/>
    <w:rsid w:val="00B86DC7"/>
    <w:rsid w:val="00B9199E"/>
    <w:rsid w:val="00B93704"/>
    <w:rsid w:val="00B9397A"/>
    <w:rsid w:val="00B9633D"/>
    <w:rsid w:val="00BA0447"/>
    <w:rsid w:val="00BA0B75"/>
    <w:rsid w:val="00BA2EBE"/>
    <w:rsid w:val="00BA64F4"/>
    <w:rsid w:val="00BA6D23"/>
    <w:rsid w:val="00BB0E1E"/>
    <w:rsid w:val="00BB0F28"/>
    <w:rsid w:val="00BB2F33"/>
    <w:rsid w:val="00BB458A"/>
    <w:rsid w:val="00BB610A"/>
    <w:rsid w:val="00BC6A9F"/>
    <w:rsid w:val="00BD00D3"/>
    <w:rsid w:val="00BD1659"/>
    <w:rsid w:val="00BD3AA9"/>
    <w:rsid w:val="00BD4A18"/>
    <w:rsid w:val="00BD5ABE"/>
    <w:rsid w:val="00BD69A8"/>
    <w:rsid w:val="00BD6DB2"/>
    <w:rsid w:val="00BE11CF"/>
    <w:rsid w:val="00BE21AB"/>
    <w:rsid w:val="00BE55CB"/>
    <w:rsid w:val="00BF617A"/>
    <w:rsid w:val="00BF6FCE"/>
    <w:rsid w:val="00C012F7"/>
    <w:rsid w:val="00C0379D"/>
    <w:rsid w:val="00C038E9"/>
    <w:rsid w:val="00C03931"/>
    <w:rsid w:val="00C03CA5"/>
    <w:rsid w:val="00C04233"/>
    <w:rsid w:val="00C04D89"/>
    <w:rsid w:val="00C05A76"/>
    <w:rsid w:val="00C05FE3"/>
    <w:rsid w:val="00C0714D"/>
    <w:rsid w:val="00C114B9"/>
    <w:rsid w:val="00C147B1"/>
    <w:rsid w:val="00C153C6"/>
    <w:rsid w:val="00C2136D"/>
    <w:rsid w:val="00C214EE"/>
    <w:rsid w:val="00C2314B"/>
    <w:rsid w:val="00C24971"/>
    <w:rsid w:val="00C26BE5"/>
    <w:rsid w:val="00C26E4D"/>
    <w:rsid w:val="00C27357"/>
    <w:rsid w:val="00C27909"/>
    <w:rsid w:val="00C27B03"/>
    <w:rsid w:val="00C3076F"/>
    <w:rsid w:val="00C30D69"/>
    <w:rsid w:val="00C314E1"/>
    <w:rsid w:val="00C3173E"/>
    <w:rsid w:val="00C34397"/>
    <w:rsid w:val="00C34927"/>
    <w:rsid w:val="00C34E41"/>
    <w:rsid w:val="00C361CD"/>
    <w:rsid w:val="00C3788B"/>
    <w:rsid w:val="00C4095D"/>
    <w:rsid w:val="00C447C4"/>
    <w:rsid w:val="00C4529D"/>
    <w:rsid w:val="00C47D1A"/>
    <w:rsid w:val="00C52254"/>
    <w:rsid w:val="00C52272"/>
    <w:rsid w:val="00C601D2"/>
    <w:rsid w:val="00C65BCC"/>
    <w:rsid w:val="00C65FBC"/>
    <w:rsid w:val="00C66970"/>
    <w:rsid w:val="00C72C98"/>
    <w:rsid w:val="00C732CC"/>
    <w:rsid w:val="00C74886"/>
    <w:rsid w:val="00C8340D"/>
    <w:rsid w:val="00C85A67"/>
    <w:rsid w:val="00C8691C"/>
    <w:rsid w:val="00C8772C"/>
    <w:rsid w:val="00C92D85"/>
    <w:rsid w:val="00C97F28"/>
    <w:rsid w:val="00CA0C6E"/>
    <w:rsid w:val="00CA15B9"/>
    <w:rsid w:val="00CA168A"/>
    <w:rsid w:val="00CA3025"/>
    <w:rsid w:val="00CA357E"/>
    <w:rsid w:val="00CA44F9"/>
    <w:rsid w:val="00CA49C9"/>
    <w:rsid w:val="00CA4A69"/>
    <w:rsid w:val="00CA60B8"/>
    <w:rsid w:val="00CA755C"/>
    <w:rsid w:val="00CB2D56"/>
    <w:rsid w:val="00CB6799"/>
    <w:rsid w:val="00CB6968"/>
    <w:rsid w:val="00CB6E9C"/>
    <w:rsid w:val="00CC3E0C"/>
    <w:rsid w:val="00CC4599"/>
    <w:rsid w:val="00CC56E2"/>
    <w:rsid w:val="00CC58D3"/>
    <w:rsid w:val="00CC6BC3"/>
    <w:rsid w:val="00CC784D"/>
    <w:rsid w:val="00CD11F7"/>
    <w:rsid w:val="00CE095F"/>
    <w:rsid w:val="00CE2DDE"/>
    <w:rsid w:val="00CE50BB"/>
    <w:rsid w:val="00CE5BF1"/>
    <w:rsid w:val="00CE7211"/>
    <w:rsid w:val="00CF2C7A"/>
    <w:rsid w:val="00CF425A"/>
    <w:rsid w:val="00CF4B8D"/>
    <w:rsid w:val="00CF50A6"/>
    <w:rsid w:val="00CF5580"/>
    <w:rsid w:val="00D00C42"/>
    <w:rsid w:val="00D01A9E"/>
    <w:rsid w:val="00D02467"/>
    <w:rsid w:val="00D0337B"/>
    <w:rsid w:val="00D04DD5"/>
    <w:rsid w:val="00D079B2"/>
    <w:rsid w:val="00D114E9"/>
    <w:rsid w:val="00D116CD"/>
    <w:rsid w:val="00D17A82"/>
    <w:rsid w:val="00D258AB"/>
    <w:rsid w:val="00D30301"/>
    <w:rsid w:val="00D324D3"/>
    <w:rsid w:val="00D362A9"/>
    <w:rsid w:val="00D42827"/>
    <w:rsid w:val="00D429C6"/>
    <w:rsid w:val="00D47748"/>
    <w:rsid w:val="00D54CC3"/>
    <w:rsid w:val="00D57710"/>
    <w:rsid w:val="00D603DE"/>
    <w:rsid w:val="00D6041A"/>
    <w:rsid w:val="00D60F41"/>
    <w:rsid w:val="00D62B03"/>
    <w:rsid w:val="00D633EB"/>
    <w:rsid w:val="00D650D8"/>
    <w:rsid w:val="00D66B2B"/>
    <w:rsid w:val="00D81822"/>
    <w:rsid w:val="00D82FF7"/>
    <w:rsid w:val="00D847FE"/>
    <w:rsid w:val="00D87922"/>
    <w:rsid w:val="00D9055F"/>
    <w:rsid w:val="00D9070D"/>
    <w:rsid w:val="00D9262C"/>
    <w:rsid w:val="00D9303B"/>
    <w:rsid w:val="00D964EA"/>
    <w:rsid w:val="00D966D0"/>
    <w:rsid w:val="00DA0C59"/>
    <w:rsid w:val="00DA3991"/>
    <w:rsid w:val="00DA40E3"/>
    <w:rsid w:val="00DA79E0"/>
    <w:rsid w:val="00DB0990"/>
    <w:rsid w:val="00DB2C4C"/>
    <w:rsid w:val="00DB7A00"/>
    <w:rsid w:val="00DB7E6C"/>
    <w:rsid w:val="00DC296C"/>
    <w:rsid w:val="00DD17E6"/>
    <w:rsid w:val="00DD4A93"/>
    <w:rsid w:val="00DD4DEA"/>
    <w:rsid w:val="00DD5A29"/>
    <w:rsid w:val="00DD5D9D"/>
    <w:rsid w:val="00DD6CAC"/>
    <w:rsid w:val="00DD7BD3"/>
    <w:rsid w:val="00DE35CB"/>
    <w:rsid w:val="00DF19EC"/>
    <w:rsid w:val="00DF21E9"/>
    <w:rsid w:val="00E0018E"/>
    <w:rsid w:val="00E00F14"/>
    <w:rsid w:val="00E0104C"/>
    <w:rsid w:val="00E01E5D"/>
    <w:rsid w:val="00E01FFC"/>
    <w:rsid w:val="00E0302E"/>
    <w:rsid w:val="00E06386"/>
    <w:rsid w:val="00E117D0"/>
    <w:rsid w:val="00E15072"/>
    <w:rsid w:val="00E214BC"/>
    <w:rsid w:val="00E24B93"/>
    <w:rsid w:val="00E24EB4"/>
    <w:rsid w:val="00E26AB3"/>
    <w:rsid w:val="00E320ED"/>
    <w:rsid w:val="00E32C33"/>
    <w:rsid w:val="00E33AFB"/>
    <w:rsid w:val="00E34218"/>
    <w:rsid w:val="00E36530"/>
    <w:rsid w:val="00E44E1F"/>
    <w:rsid w:val="00E46282"/>
    <w:rsid w:val="00E5216E"/>
    <w:rsid w:val="00E67142"/>
    <w:rsid w:val="00E7378A"/>
    <w:rsid w:val="00E73E16"/>
    <w:rsid w:val="00E7509E"/>
    <w:rsid w:val="00E807F5"/>
    <w:rsid w:val="00E81D77"/>
    <w:rsid w:val="00E82344"/>
    <w:rsid w:val="00E84C82"/>
    <w:rsid w:val="00E84D64"/>
    <w:rsid w:val="00E85520"/>
    <w:rsid w:val="00E86E3C"/>
    <w:rsid w:val="00E87408"/>
    <w:rsid w:val="00E914C4"/>
    <w:rsid w:val="00E934F5"/>
    <w:rsid w:val="00E95524"/>
    <w:rsid w:val="00E96961"/>
    <w:rsid w:val="00E96FF8"/>
    <w:rsid w:val="00E978C6"/>
    <w:rsid w:val="00EA3C1C"/>
    <w:rsid w:val="00EA72EC"/>
    <w:rsid w:val="00EB11CB"/>
    <w:rsid w:val="00EB275A"/>
    <w:rsid w:val="00EB29A1"/>
    <w:rsid w:val="00EB468B"/>
    <w:rsid w:val="00EB6345"/>
    <w:rsid w:val="00EB786A"/>
    <w:rsid w:val="00EC1578"/>
    <w:rsid w:val="00EC1C72"/>
    <w:rsid w:val="00EC2543"/>
    <w:rsid w:val="00EC385A"/>
    <w:rsid w:val="00EC3CC9"/>
    <w:rsid w:val="00EC6047"/>
    <w:rsid w:val="00EC680A"/>
    <w:rsid w:val="00EC72CD"/>
    <w:rsid w:val="00ED14EF"/>
    <w:rsid w:val="00ED35D0"/>
    <w:rsid w:val="00ED532B"/>
    <w:rsid w:val="00ED7999"/>
    <w:rsid w:val="00EE2BED"/>
    <w:rsid w:val="00EE374B"/>
    <w:rsid w:val="00EE430A"/>
    <w:rsid w:val="00EE62B1"/>
    <w:rsid w:val="00EE7AF7"/>
    <w:rsid w:val="00EF1500"/>
    <w:rsid w:val="00EF508D"/>
    <w:rsid w:val="00EF76AB"/>
    <w:rsid w:val="00F04D4C"/>
    <w:rsid w:val="00F067BA"/>
    <w:rsid w:val="00F11BB5"/>
    <w:rsid w:val="00F12B73"/>
    <w:rsid w:val="00F1417B"/>
    <w:rsid w:val="00F2605B"/>
    <w:rsid w:val="00F327DD"/>
    <w:rsid w:val="00F328CE"/>
    <w:rsid w:val="00F34311"/>
    <w:rsid w:val="00F34B99"/>
    <w:rsid w:val="00F3612E"/>
    <w:rsid w:val="00F363DC"/>
    <w:rsid w:val="00F40985"/>
    <w:rsid w:val="00F42F3E"/>
    <w:rsid w:val="00F44DB6"/>
    <w:rsid w:val="00F47529"/>
    <w:rsid w:val="00F512B5"/>
    <w:rsid w:val="00F51DFB"/>
    <w:rsid w:val="00F52D73"/>
    <w:rsid w:val="00F52DAB"/>
    <w:rsid w:val="00F5325B"/>
    <w:rsid w:val="00F543F0"/>
    <w:rsid w:val="00F60887"/>
    <w:rsid w:val="00F61A57"/>
    <w:rsid w:val="00F63464"/>
    <w:rsid w:val="00F63DB1"/>
    <w:rsid w:val="00F72932"/>
    <w:rsid w:val="00F74DC5"/>
    <w:rsid w:val="00F77003"/>
    <w:rsid w:val="00F77DB4"/>
    <w:rsid w:val="00F81675"/>
    <w:rsid w:val="00F81D29"/>
    <w:rsid w:val="00F84A0E"/>
    <w:rsid w:val="00F85769"/>
    <w:rsid w:val="00F8694B"/>
    <w:rsid w:val="00F86CA1"/>
    <w:rsid w:val="00F91C4D"/>
    <w:rsid w:val="00F91F6B"/>
    <w:rsid w:val="00F92FD9"/>
    <w:rsid w:val="00FA190C"/>
    <w:rsid w:val="00FA2BE5"/>
    <w:rsid w:val="00FA46F4"/>
    <w:rsid w:val="00FA489D"/>
    <w:rsid w:val="00FA6684"/>
    <w:rsid w:val="00FA731E"/>
    <w:rsid w:val="00FB034C"/>
    <w:rsid w:val="00FB0F2B"/>
    <w:rsid w:val="00FB1F60"/>
    <w:rsid w:val="00FB2B38"/>
    <w:rsid w:val="00FC6358"/>
    <w:rsid w:val="00FD01CF"/>
    <w:rsid w:val="00FD229E"/>
    <w:rsid w:val="00FD320D"/>
    <w:rsid w:val="00FD6DDF"/>
    <w:rsid w:val="00FE1C50"/>
    <w:rsid w:val="00FE23DE"/>
    <w:rsid w:val="00FE7FBA"/>
    <w:rsid w:val="00FF04A9"/>
    <w:rsid w:val="00FF1BF4"/>
    <w:rsid w:val="01D454A1"/>
    <w:rsid w:val="02396C22"/>
    <w:rsid w:val="024E06A7"/>
    <w:rsid w:val="02634A6F"/>
    <w:rsid w:val="02DF463D"/>
    <w:rsid w:val="038E59FE"/>
    <w:rsid w:val="03922815"/>
    <w:rsid w:val="039338FF"/>
    <w:rsid w:val="039A2FD7"/>
    <w:rsid w:val="03B307FB"/>
    <w:rsid w:val="03EF3C24"/>
    <w:rsid w:val="04002C06"/>
    <w:rsid w:val="04237387"/>
    <w:rsid w:val="0438222C"/>
    <w:rsid w:val="04512615"/>
    <w:rsid w:val="0514322D"/>
    <w:rsid w:val="06734B80"/>
    <w:rsid w:val="067F1B81"/>
    <w:rsid w:val="0766083D"/>
    <w:rsid w:val="07EF0236"/>
    <w:rsid w:val="081601FB"/>
    <w:rsid w:val="08287C14"/>
    <w:rsid w:val="0897212F"/>
    <w:rsid w:val="08B07D5B"/>
    <w:rsid w:val="08E106CC"/>
    <w:rsid w:val="097E3E88"/>
    <w:rsid w:val="0A6A2811"/>
    <w:rsid w:val="0A981185"/>
    <w:rsid w:val="0B061659"/>
    <w:rsid w:val="0B8E48F8"/>
    <w:rsid w:val="0D1C7D1F"/>
    <w:rsid w:val="0D3F3539"/>
    <w:rsid w:val="0D513137"/>
    <w:rsid w:val="0DD34FE1"/>
    <w:rsid w:val="0E3645C4"/>
    <w:rsid w:val="0E3F49E4"/>
    <w:rsid w:val="0E4A5185"/>
    <w:rsid w:val="0ED65CAC"/>
    <w:rsid w:val="10142172"/>
    <w:rsid w:val="10967DE9"/>
    <w:rsid w:val="10F13DF2"/>
    <w:rsid w:val="110F22A1"/>
    <w:rsid w:val="1166233A"/>
    <w:rsid w:val="11A3396C"/>
    <w:rsid w:val="11D61136"/>
    <w:rsid w:val="12503FC7"/>
    <w:rsid w:val="125664A3"/>
    <w:rsid w:val="125C471A"/>
    <w:rsid w:val="137072A9"/>
    <w:rsid w:val="13D403F0"/>
    <w:rsid w:val="14330E06"/>
    <w:rsid w:val="14692095"/>
    <w:rsid w:val="14C87B1E"/>
    <w:rsid w:val="14DF599A"/>
    <w:rsid w:val="151B1FA2"/>
    <w:rsid w:val="153214E5"/>
    <w:rsid w:val="15B8471D"/>
    <w:rsid w:val="15EA2BCB"/>
    <w:rsid w:val="1606710D"/>
    <w:rsid w:val="16554514"/>
    <w:rsid w:val="16AD0964"/>
    <w:rsid w:val="178B7830"/>
    <w:rsid w:val="17906514"/>
    <w:rsid w:val="17D15BAA"/>
    <w:rsid w:val="17E21B65"/>
    <w:rsid w:val="1A223073"/>
    <w:rsid w:val="1ABA551B"/>
    <w:rsid w:val="1ADD5702"/>
    <w:rsid w:val="1AF95FF4"/>
    <w:rsid w:val="1AFC264B"/>
    <w:rsid w:val="1B167C44"/>
    <w:rsid w:val="1BD46CC5"/>
    <w:rsid w:val="1C2838BF"/>
    <w:rsid w:val="1C5A5F9F"/>
    <w:rsid w:val="1C601E50"/>
    <w:rsid w:val="1C713F56"/>
    <w:rsid w:val="1CA55A16"/>
    <w:rsid w:val="1D5726AE"/>
    <w:rsid w:val="1D597DCA"/>
    <w:rsid w:val="1D81597C"/>
    <w:rsid w:val="1DE11FCD"/>
    <w:rsid w:val="1E69731F"/>
    <w:rsid w:val="1F504A81"/>
    <w:rsid w:val="1FA90FD2"/>
    <w:rsid w:val="20AE082C"/>
    <w:rsid w:val="20CD70E4"/>
    <w:rsid w:val="21DF2C54"/>
    <w:rsid w:val="21EB2F10"/>
    <w:rsid w:val="21F77FBB"/>
    <w:rsid w:val="22070B98"/>
    <w:rsid w:val="22911916"/>
    <w:rsid w:val="23E748F7"/>
    <w:rsid w:val="24937FDB"/>
    <w:rsid w:val="249A6DF1"/>
    <w:rsid w:val="25310801"/>
    <w:rsid w:val="253908EB"/>
    <w:rsid w:val="259A75DB"/>
    <w:rsid w:val="25A0189A"/>
    <w:rsid w:val="25DD1BAB"/>
    <w:rsid w:val="26A93565"/>
    <w:rsid w:val="278C73F8"/>
    <w:rsid w:val="27D01D95"/>
    <w:rsid w:val="27D51443"/>
    <w:rsid w:val="27DD0D39"/>
    <w:rsid w:val="282E3F1F"/>
    <w:rsid w:val="29401FE9"/>
    <w:rsid w:val="29D64125"/>
    <w:rsid w:val="2A8D74C4"/>
    <w:rsid w:val="2AAB656F"/>
    <w:rsid w:val="2B2C0ADD"/>
    <w:rsid w:val="2B8E1990"/>
    <w:rsid w:val="2B9807A0"/>
    <w:rsid w:val="2BA411B4"/>
    <w:rsid w:val="2C336597"/>
    <w:rsid w:val="2C533448"/>
    <w:rsid w:val="2CC318C1"/>
    <w:rsid w:val="2CF6472B"/>
    <w:rsid w:val="2D282EF4"/>
    <w:rsid w:val="2D311B34"/>
    <w:rsid w:val="2D8F247F"/>
    <w:rsid w:val="2E083FE4"/>
    <w:rsid w:val="2EA8435B"/>
    <w:rsid w:val="2EC8340B"/>
    <w:rsid w:val="2FCF2577"/>
    <w:rsid w:val="2FE37DD1"/>
    <w:rsid w:val="30A33E7B"/>
    <w:rsid w:val="30DE7DF6"/>
    <w:rsid w:val="313528AE"/>
    <w:rsid w:val="31E376C7"/>
    <w:rsid w:val="32537490"/>
    <w:rsid w:val="32D30E85"/>
    <w:rsid w:val="33251C93"/>
    <w:rsid w:val="338A1A9A"/>
    <w:rsid w:val="33C70135"/>
    <w:rsid w:val="346E2674"/>
    <w:rsid w:val="34CC7F6F"/>
    <w:rsid w:val="34CD7E2F"/>
    <w:rsid w:val="353B59DD"/>
    <w:rsid w:val="35B9279E"/>
    <w:rsid w:val="35BB4A4D"/>
    <w:rsid w:val="35E67147"/>
    <w:rsid w:val="37121F14"/>
    <w:rsid w:val="374F55BE"/>
    <w:rsid w:val="375F62CB"/>
    <w:rsid w:val="37B54387"/>
    <w:rsid w:val="37C4022A"/>
    <w:rsid w:val="37D31AE1"/>
    <w:rsid w:val="38951EDA"/>
    <w:rsid w:val="38AE2A7B"/>
    <w:rsid w:val="398F27FC"/>
    <w:rsid w:val="39CB75B8"/>
    <w:rsid w:val="3AA20FB4"/>
    <w:rsid w:val="3B58191F"/>
    <w:rsid w:val="3B590718"/>
    <w:rsid w:val="3B5F511A"/>
    <w:rsid w:val="3B644CED"/>
    <w:rsid w:val="3BB76053"/>
    <w:rsid w:val="3C12217F"/>
    <w:rsid w:val="3C196069"/>
    <w:rsid w:val="3C371BD0"/>
    <w:rsid w:val="3C936C1A"/>
    <w:rsid w:val="3D2F601A"/>
    <w:rsid w:val="3D8C1AA8"/>
    <w:rsid w:val="3E3811DC"/>
    <w:rsid w:val="3E646581"/>
    <w:rsid w:val="3E9909DD"/>
    <w:rsid w:val="3E9D4299"/>
    <w:rsid w:val="3FE10645"/>
    <w:rsid w:val="3FFC4467"/>
    <w:rsid w:val="4023709F"/>
    <w:rsid w:val="40852CEB"/>
    <w:rsid w:val="40C64E87"/>
    <w:rsid w:val="40D7128C"/>
    <w:rsid w:val="40DC3E44"/>
    <w:rsid w:val="41285339"/>
    <w:rsid w:val="41EC753D"/>
    <w:rsid w:val="43251339"/>
    <w:rsid w:val="434D02A6"/>
    <w:rsid w:val="43577BBB"/>
    <w:rsid w:val="438C2053"/>
    <w:rsid w:val="43937AE5"/>
    <w:rsid w:val="43A85162"/>
    <w:rsid w:val="44C63AF1"/>
    <w:rsid w:val="44D2693A"/>
    <w:rsid w:val="44ED3CA5"/>
    <w:rsid w:val="458B47D0"/>
    <w:rsid w:val="4590011C"/>
    <w:rsid w:val="45D40DD9"/>
    <w:rsid w:val="45FE5C68"/>
    <w:rsid w:val="47327F63"/>
    <w:rsid w:val="47613FA5"/>
    <w:rsid w:val="47F1561E"/>
    <w:rsid w:val="486316BD"/>
    <w:rsid w:val="48BE227F"/>
    <w:rsid w:val="48EC5C6C"/>
    <w:rsid w:val="49CF55AF"/>
    <w:rsid w:val="4AD93E52"/>
    <w:rsid w:val="4AFA3B96"/>
    <w:rsid w:val="4B127E81"/>
    <w:rsid w:val="4B5B2108"/>
    <w:rsid w:val="4D0B6C7F"/>
    <w:rsid w:val="4D5712D7"/>
    <w:rsid w:val="4DF735CF"/>
    <w:rsid w:val="4E077993"/>
    <w:rsid w:val="4E0F0CF6"/>
    <w:rsid w:val="4F391364"/>
    <w:rsid w:val="4F3C6FED"/>
    <w:rsid w:val="4F5A3192"/>
    <w:rsid w:val="506B612A"/>
    <w:rsid w:val="50AF0C4D"/>
    <w:rsid w:val="512978E2"/>
    <w:rsid w:val="51831269"/>
    <w:rsid w:val="51C9407C"/>
    <w:rsid w:val="52331739"/>
    <w:rsid w:val="53403525"/>
    <w:rsid w:val="539C1995"/>
    <w:rsid w:val="545804DE"/>
    <w:rsid w:val="5540169E"/>
    <w:rsid w:val="5548408A"/>
    <w:rsid w:val="56460A90"/>
    <w:rsid w:val="56561BFB"/>
    <w:rsid w:val="567C7A2D"/>
    <w:rsid w:val="56F56366"/>
    <w:rsid w:val="570219CD"/>
    <w:rsid w:val="57906E86"/>
    <w:rsid w:val="57A57D44"/>
    <w:rsid w:val="58152BDA"/>
    <w:rsid w:val="59CC05A4"/>
    <w:rsid w:val="5A7A3F4F"/>
    <w:rsid w:val="5BDA69DC"/>
    <w:rsid w:val="5C2F0BFF"/>
    <w:rsid w:val="5C5B411D"/>
    <w:rsid w:val="5CDD7676"/>
    <w:rsid w:val="5CEA5527"/>
    <w:rsid w:val="5D6A7433"/>
    <w:rsid w:val="5D8E04C0"/>
    <w:rsid w:val="5DC42740"/>
    <w:rsid w:val="5DD12FD7"/>
    <w:rsid w:val="5E1536F6"/>
    <w:rsid w:val="5E343D6A"/>
    <w:rsid w:val="5E575E77"/>
    <w:rsid w:val="5E5A377B"/>
    <w:rsid w:val="5EE67042"/>
    <w:rsid w:val="5F550E87"/>
    <w:rsid w:val="5F7C32D2"/>
    <w:rsid w:val="5FE5356E"/>
    <w:rsid w:val="60086D38"/>
    <w:rsid w:val="603651B7"/>
    <w:rsid w:val="612D3A27"/>
    <w:rsid w:val="62E96ED1"/>
    <w:rsid w:val="62F55B64"/>
    <w:rsid w:val="62FF4946"/>
    <w:rsid w:val="638612C5"/>
    <w:rsid w:val="63AC7EFE"/>
    <w:rsid w:val="648275DD"/>
    <w:rsid w:val="648C28F7"/>
    <w:rsid w:val="64D852BC"/>
    <w:rsid w:val="64F60C2B"/>
    <w:rsid w:val="64FD7C8C"/>
    <w:rsid w:val="65C41EF8"/>
    <w:rsid w:val="673B1CAF"/>
    <w:rsid w:val="678C42CF"/>
    <w:rsid w:val="67937FA4"/>
    <w:rsid w:val="67CE264D"/>
    <w:rsid w:val="67E24EE7"/>
    <w:rsid w:val="67FB439B"/>
    <w:rsid w:val="69220B2A"/>
    <w:rsid w:val="692627AF"/>
    <w:rsid w:val="69426034"/>
    <w:rsid w:val="69AB1384"/>
    <w:rsid w:val="6A803F06"/>
    <w:rsid w:val="6B526E64"/>
    <w:rsid w:val="6B923E7E"/>
    <w:rsid w:val="6C16778C"/>
    <w:rsid w:val="6E1119D2"/>
    <w:rsid w:val="6E2340FA"/>
    <w:rsid w:val="6E847C6A"/>
    <w:rsid w:val="6EAF079B"/>
    <w:rsid w:val="6F6B772F"/>
    <w:rsid w:val="6F9560D3"/>
    <w:rsid w:val="6FD3249D"/>
    <w:rsid w:val="700745F9"/>
    <w:rsid w:val="71C42CC5"/>
    <w:rsid w:val="72165EEF"/>
    <w:rsid w:val="725A63D9"/>
    <w:rsid w:val="725B7D61"/>
    <w:rsid w:val="726C5359"/>
    <w:rsid w:val="72AA589A"/>
    <w:rsid w:val="72F378F8"/>
    <w:rsid w:val="74A470FC"/>
    <w:rsid w:val="75534E6C"/>
    <w:rsid w:val="757F7724"/>
    <w:rsid w:val="75AB640D"/>
    <w:rsid w:val="75C46B61"/>
    <w:rsid w:val="76C35E68"/>
    <w:rsid w:val="77910CC6"/>
    <w:rsid w:val="780A6B7C"/>
    <w:rsid w:val="785B3F75"/>
    <w:rsid w:val="786C25B0"/>
    <w:rsid w:val="79176148"/>
    <w:rsid w:val="79524340"/>
    <w:rsid w:val="79CB0C87"/>
    <w:rsid w:val="79EC3A44"/>
    <w:rsid w:val="7A3B41FD"/>
    <w:rsid w:val="7ABB3432"/>
    <w:rsid w:val="7AD33910"/>
    <w:rsid w:val="7B552FFC"/>
    <w:rsid w:val="7B7B3363"/>
    <w:rsid w:val="7CF36D95"/>
    <w:rsid w:val="7CFC5320"/>
    <w:rsid w:val="7D37727A"/>
    <w:rsid w:val="7D58558B"/>
    <w:rsid w:val="7D9D19B9"/>
    <w:rsid w:val="7DBD5646"/>
    <w:rsid w:val="7E1925EC"/>
    <w:rsid w:val="7E2255FE"/>
    <w:rsid w:val="7EA321D2"/>
    <w:rsid w:val="7EAF6879"/>
    <w:rsid w:val="7EEE6F22"/>
    <w:rsid w:val="7F62200C"/>
    <w:rsid w:val="7FE10EAF"/>
    <w:rsid w:val="7FF32C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iPriority="99"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45"/>
    <w:unhideWhenUsed/>
    <w:qFormat/>
    <w:uiPriority w:val="9"/>
    <w:pPr>
      <w:keepNext/>
      <w:keepLines/>
      <w:spacing w:before="260" w:after="260" w:line="416" w:lineRule="auto"/>
      <w:outlineLvl w:val="1"/>
    </w:pPr>
    <w:rPr>
      <w:rFonts w:ascii="Cambria" w:hAnsi="Cambria"/>
      <w:b/>
      <w:bCs/>
      <w:sz w:val="32"/>
      <w:szCs w:val="32"/>
      <w:lang w:val="zh-CN"/>
    </w:rPr>
  </w:style>
  <w:style w:type="paragraph" w:styleId="4">
    <w:name w:val="heading 3"/>
    <w:basedOn w:val="1"/>
    <w:next w:val="1"/>
    <w:link w:val="146"/>
    <w:unhideWhenUsed/>
    <w:qFormat/>
    <w:uiPriority w:val="9"/>
    <w:pPr>
      <w:keepNext/>
      <w:keepLines/>
      <w:spacing w:before="260" w:after="260" w:line="416" w:lineRule="auto"/>
      <w:outlineLvl w:val="2"/>
    </w:pPr>
    <w:rPr>
      <w:rFonts w:ascii="Calibri" w:hAnsi="Calibri"/>
      <w:b/>
      <w:bCs/>
      <w:sz w:val="32"/>
      <w:szCs w:val="32"/>
      <w:lang w:val="zh-CN"/>
    </w:rPr>
  </w:style>
  <w:style w:type="paragraph" w:styleId="5">
    <w:name w:val="heading 4"/>
    <w:basedOn w:val="1"/>
    <w:next w:val="1"/>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paragraph" w:styleId="6">
    <w:name w:val="heading 5"/>
    <w:basedOn w:val="1"/>
    <w:next w:val="1"/>
    <w:qFormat/>
    <w:uiPriority w:val="0"/>
    <w:pPr>
      <w:keepNext/>
      <w:keepLines/>
      <w:outlineLvl w:val="4"/>
    </w:pPr>
    <w:rPr>
      <w:rFonts w:ascii="黑体" w:hAnsi="黑体" w:eastAsia="黑体"/>
      <w:bCs/>
      <w:szCs w:val="30"/>
    </w:rPr>
  </w:style>
  <w:style w:type="character" w:default="1" w:styleId="40">
    <w:name w:val="Default Paragraph Font"/>
    <w:semiHidden/>
    <w:unhideWhenUsed/>
    <w:qFormat/>
    <w:uiPriority w:val="1"/>
  </w:style>
  <w:style w:type="table" w:default="1" w:styleId="38">
    <w:name w:val="Normal Table"/>
    <w:semiHidden/>
    <w:unhideWhenUsed/>
    <w:uiPriority w:val="99"/>
    <w:tblPr>
      <w:tblCellMar>
        <w:top w:w="0" w:type="dxa"/>
        <w:left w:w="108" w:type="dxa"/>
        <w:bottom w:w="0" w:type="dxa"/>
        <w:right w:w="108" w:type="dxa"/>
      </w:tblCellMar>
    </w:tblPr>
  </w:style>
  <w:style w:type="paragraph" w:styleId="7">
    <w:name w:val="toc 7"/>
    <w:basedOn w:val="1"/>
    <w:next w:val="1"/>
    <w:semiHidden/>
    <w:qFormat/>
    <w:uiPriority w:val="0"/>
    <w:pPr>
      <w:tabs>
        <w:tab w:val="right" w:leader="dot" w:pos="9241"/>
      </w:tabs>
      <w:ind w:firstLine="500" w:firstLineChars="500"/>
      <w:jc w:val="left"/>
    </w:pPr>
    <w:rPr>
      <w:rFonts w:ascii="宋体"/>
      <w:szCs w:val="21"/>
    </w:rPr>
  </w:style>
  <w:style w:type="paragraph" w:styleId="8">
    <w:name w:val="index 8"/>
    <w:basedOn w:val="1"/>
    <w:next w:val="1"/>
    <w:qFormat/>
    <w:uiPriority w:val="0"/>
    <w:pPr>
      <w:ind w:left="1680" w:hanging="210"/>
      <w:jc w:val="left"/>
    </w:pPr>
    <w:rPr>
      <w:rFonts w:ascii="Calibri" w:hAnsi="Calibri"/>
      <w:sz w:val="20"/>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index 5"/>
    <w:basedOn w:val="1"/>
    <w:next w:val="1"/>
    <w:qFormat/>
    <w:uiPriority w:val="0"/>
    <w:pPr>
      <w:ind w:left="1050" w:hanging="210"/>
      <w:jc w:val="left"/>
    </w:pPr>
    <w:rPr>
      <w:rFonts w:ascii="Calibri" w:hAnsi="Calibri"/>
      <w:sz w:val="20"/>
      <w:szCs w:val="20"/>
    </w:rPr>
  </w:style>
  <w:style w:type="paragraph" w:styleId="11">
    <w:name w:val="Document Map"/>
    <w:basedOn w:val="1"/>
    <w:semiHidden/>
    <w:qFormat/>
    <w:uiPriority w:val="0"/>
    <w:pPr>
      <w:shd w:val="clear" w:color="auto" w:fill="000080"/>
    </w:pPr>
  </w:style>
  <w:style w:type="paragraph" w:styleId="12">
    <w:name w:val="annotation text"/>
    <w:basedOn w:val="1"/>
    <w:link w:val="171"/>
    <w:unhideWhenUsed/>
    <w:qFormat/>
    <w:uiPriority w:val="99"/>
    <w:pPr>
      <w:jc w:val="left"/>
    </w:pPr>
  </w:style>
  <w:style w:type="paragraph" w:styleId="13">
    <w:name w:val="index 6"/>
    <w:basedOn w:val="1"/>
    <w:next w:val="1"/>
    <w:qFormat/>
    <w:uiPriority w:val="0"/>
    <w:pPr>
      <w:ind w:left="1260" w:hanging="210"/>
      <w:jc w:val="left"/>
    </w:pPr>
    <w:rPr>
      <w:rFonts w:ascii="Calibri" w:hAnsi="Calibri"/>
      <w:sz w:val="20"/>
      <w:szCs w:val="20"/>
    </w:rPr>
  </w:style>
  <w:style w:type="paragraph" w:styleId="14">
    <w:name w:val="Body Text"/>
    <w:basedOn w:val="1"/>
    <w:qFormat/>
    <w:uiPriority w:val="0"/>
    <w:pPr>
      <w:autoSpaceDE w:val="0"/>
      <w:autoSpaceDN w:val="0"/>
      <w:ind w:left="228"/>
      <w:jc w:val="left"/>
    </w:pPr>
    <w:rPr>
      <w:rFonts w:ascii="Arial Unicode MS" w:hAnsi="Arial Unicode MS" w:eastAsia="Arial Unicode MS" w:cs="Arial Unicode MS"/>
      <w:kern w:val="0"/>
      <w:sz w:val="20"/>
      <w:szCs w:val="20"/>
      <w:lang w:val="zh-CN" w:bidi="zh-CN"/>
    </w:rPr>
  </w:style>
  <w:style w:type="paragraph" w:styleId="15">
    <w:name w:val="index 4"/>
    <w:basedOn w:val="1"/>
    <w:next w:val="1"/>
    <w:qFormat/>
    <w:uiPriority w:val="0"/>
    <w:pPr>
      <w:ind w:left="840" w:hanging="210"/>
      <w:jc w:val="left"/>
    </w:pPr>
    <w:rPr>
      <w:rFonts w:ascii="Calibri" w:hAnsi="Calibri"/>
      <w:sz w:val="20"/>
      <w:szCs w:val="20"/>
    </w:rPr>
  </w:style>
  <w:style w:type="paragraph" w:styleId="16">
    <w:name w:val="toc 5"/>
    <w:basedOn w:val="1"/>
    <w:next w:val="1"/>
    <w:semiHidden/>
    <w:qFormat/>
    <w:uiPriority w:val="0"/>
    <w:pPr>
      <w:tabs>
        <w:tab w:val="right" w:leader="dot" w:pos="9241"/>
      </w:tabs>
      <w:ind w:firstLine="300" w:firstLineChars="300"/>
      <w:jc w:val="left"/>
    </w:pPr>
    <w:rPr>
      <w:rFonts w:ascii="宋体"/>
      <w:szCs w:val="21"/>
    </w:rPr>
  </w:style>
  <w:style w:type="paragraph" w:styleId="17">
    <w:name w:val="toc 3"/>
    <w:basedOn w:val="1"/>
    <w:next w:val="1"/>
    <w:qFormat/>
    <w:uiPriority w:val="39"/>
    <w:pPr>
      <w:tabs>
        <w:tab w:val="right" w:leader="dot" w:pos="9241"/>
      </w:tabs>
      <w:ind w:firstLine="100" w:firstLineChars="100"/>
      <w:jc w:val="left"/>
    </w:pPr>
    <w:rPr>
      <w:rFonts w:ascii="宋体"/>
      <w:szCs w:val="21"/>
    </w:rPr>
  </w:style>
  <w:style w:type="paragraph" w:styleId="18">
    <w:name w:val="toc 8"/>
    <w:basedOn w:val="1"/>
    <w:next w:val="1"/>
    <w:semiHidden/>
    <w:qFormat/>
    <w:uiPriority w:val="0"/>
    <w:pPr>
      <w:tabs>
        <w:tab w:val="right" w:leader="dot" w:pos="9241"/>
      </w:tabs>
      <w:ind w:firstLine="607" w:firstLineChars="600"/>
      <w:jc w:val="left"/>
    </w:pPr>
    <w:rPr>
      <w:rFonts w:ascii="宋体"/>
      <w:szCs w:val="21"/>
    </w:rPr>
  </w:style>
  <w:style w:type="paragraph" w:styleId="19">
    <w:name w:val="index 3"/>
    <w:basedOn w:val="1"/>
    <w:next w:val="1"/>
    <w:qFormat/>
    <w:uiPriority w:val="0"/>
    <w:pPr>
      <w:ind w:left="630" w:hanging="210"/>
      <w:jc w:val="left"/>
    </w:pPr>
    <w:rPr>
      <w:rFonts w:ascii="Calibri" w:hAnsi="Calibri"/>
      <w:sz w:val="20"/>
      <w:szCs w:val="20"/>
    </w:rPr>
  </w:style>
  <w:style w:type="paragraph" w:styleId="20">
    <w:name w:val="endnote text"/>
    <w:basedOn w:val="1"/>
    <w:semiHidden/>
    <w:qFormat/>
    <w:uiPriority w:val="0"/>
    <w:pPr>
      <w:snapToGrid w:val="0"/>
      <w:jc w:val="left"/>
    </w:pPr>
  </w:style>
  <w:style w:type="paragraph" w:styleId="21">
    <w:name w:val="Balloon Text"/>
    <w:basedOn w:val="1"/>
    <w:link w:val="147"/>
    <w:qFormat/>
    <w:uiPriority w:val="0"/>
    <w:rPr>
      <w:sz w:val="18"/>
      <w:szCs w:val="18"/>
    </w:rPr>
  </w:style>
  <w:style w:type="paragraph" w:styleId="22">
    <w:name w:val="footer"/>
    <w:basedOn w:val="1"/>
    <w:qFormat/>
    <w:uiPriority w:val="0"/>
    <w:pPr>
      <w:snapToGrid w:val="0"/>
      <w:ind w:right="210" w:rightChars="100"/>
      <w:jc w:val="right"/>
    </w:pPr>
    <w:rPr>
      <w:sz w:val="18"/>
      <w:szCs w:val="18"/>
    </w:rPr>
  </w:style>
  <w:style w:type="paragraph" w:styleId="23">
    <w:name w:val="header"/>
    <w:basedOn w:val="1"/>
    <w:qFormat/>
    <w:uiPriority w:val="0"/>
    <w:pPr>
      <w:snapToGrid w:val="0"/>
      <w:jc w:val="left"/>
    </w:pPr>
    <w:rPr>
      <w:sz w:val="18"/>
      <w:szCs w:val="18"/>
    </w:rPr>
  </w:style>
  <w:style w:type="paragraph" w:styleId="24">
    <w:name w:val="toc 1"/>
    <w:basedOn w:val="1"/>
    <w:next w:val="1"/>
    <w:qFormat/>
    <w:uiPriority w:val="39"/>
    <w:pPr>
      <w:tabs>
        <w:tab w:val="right" w:leader="dot" w:pos="9242"/>
      </w:tabs>
      <w:spacing w:beforeLines="25" w:afterLines="25"/>
      <w:jc w:val="left"/>
    </w:pPr>
    <w:rPr>
      <w:rFonts w:ascii="宋体"/>
      <w:szCs w:val="21"/>
    </w:rPr>
  </w:style>
  <w:style w:type="paragraph" w:styleId="25">
    <w:name w:val="toc 4"/>
    <w:basedOn w:val="1"/>
    <w:next w:val="1"/>
    <w:semiHidden/>
    <w:qFormat/>
    <w:uiPriority w:val="0"/>
    <w:pPr>
      <w:tabs>
        <w:tab w:val="right" w:leader="dot" w:pos="9241"/>
      </w:tabs>
      <w:ind w:firstLine="200" w:firstLineChars="200"/>
      <w:jc w:val="left"/>
    </w:pPr>
    <w:rPr>
      <w:rFonts w:ascii="宋体"/>
      <w:szCs w:val="21"/>
    </w:rPr>
  </w:style>
  <w:style w:type="paragraph" w:styleId="26">
    <w:name w:val="index heading"/>
    <w:basedOn w:val="1"/>
    <w:next w:val="27"/>
    <w:qFormat/>
    <w:uiPriority w:val="0"/>
    <w:pPr>
      <w:spacing w:before="120" w:after="120"/>
      <w:jc w:val="center"/>
    </w:pPr>
    <w:rPr>
      <w:rFonts w:ascii="Calibri" w:hAnsi="Calibri"/>
      <w:b/>
      <w:bCs/>
      <w:iCs/>
      <w:szCs w:val="20"/>
    </w:rPr>
  </w:style>
  <w:style w:type="paragraph" w:styleId="27">
    <w:name w:val="index 1"/>
    <w:basedOn w:val="1"/>
    <w:next w:val="28"/>
    <w:qFormat/>
    <w:uiPriority w:val="0"/>
    <w:pPr>
      <w:tabs>
        <w:tab w:val="right" w:leader="dot" w:pos="9299"/>
      </w:tabs>
      <w:jc w:val="left"/>
    </w:pPr>
    <w:rPr>
      <w:rFonts w:ascii="宋体"/>
      <w:szCs w:val="21"/>
    </w:rPr>
  </w:style>
  <w:style w:type="paragraph" w:customStyle="1" w:styleId="28">
    <w:name w:val="段"/>
    <w:link w:val="4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9">
    <w:name w:val="footnote text"/>
    <w:basedOn w:val="1"/>
    <w:qFormat/>
    <w:uiPriority w:val="0"/>
    <w:pPr>
      <w:numPr>
        <w:ilvl w:val="0"/>
        <w:numId w:val="1"/>
      </w:numPr>
      <w:snapToGrid w:val="0"/>
      <w:jc w:val="left"/>
    </w:pPr>
    <w:rPr>
      <w:rFonts w:ascii="宋体"/>
      <w:sz w:val="18"/>
      <w:szCs w:val="18"/>
    </w:rPr>
  </w:style>
  <w:style w:type="paragraph" w:styleId="30">
    <w:name w:val="toc 6"/>
    <w:basedOn w:val="1"/>
    <w:next w:val="1"/>
    <w:semiHidden/>
    <w:qFormat/>
    <w:uiPriority w:val="0"/>
    <w:pPr>
      <w:tabs>
        <w:tab w:val="right" w:leader="dot" w:pos="9241"/>
      </w:tabs>
      <w:ind w:firstLine="400" w:firstLineChars="400"/>
      <w:jc w:val="left"/>
    </w:pPr>
    <w:rPr>
      <w:rFonts w:ascii="宋体"/>
      <w:szCs w:val="21"/>
    </w:rPr>
  </w:style>
  <w:style w:type="paragraph" w:styleId="31">
    <w:name w:val="index 7"/>
    <w:basedOn w:val="1"/>
    <w:next w:val="1"/>
    <w:qFormat/>
    <w:uiPriority w:val="0"/>
    <w:pPr>
      <w:ind w:left="1470" w:hanging="210"/>
      <w:jc w:val="left"/>
    </w:pPr>
    <w:rPr>
      <w:rFonts w:ascii="Calibri" w:hAnsi="Calibri"/>
      <w:sz w:val="20"/>
      <w:szCs w:val="20"/>
    </w:rPr>
  </w:style>
  <w:style w:type="paragraph" w:styleId="32">
    <w:name w:val="index 9"/>
    <w:basedOn w:val="1"/>
    <w:next w:val="1"/>
    <w:qFormat/>
    <w:uiPriority w:val="0"/>
    <w:pPr>
      <w:ind w:left="1890" w:hanging="210"/>
      <w:jc w:val="left"/>
    </w:pPr>
    <w:rPr>
      <w:rFonts w:ascii="Calibri" w:hAnsi="Calibri"/>
      <w:sz w:val="20"/>
      <w:szCs w:val="20"/>
    </w:rPr>
  </w:style>
  <w:style w:type="paragraph" w:styleId="33">
    <w:name w:val="toc 2"/>
    <w:basedOn w:val="1"/>
    <w:next w:val="1"/>
    <w:qFormat/>
    <w:uiPriority w:val="39"/>
    <w:pPr>
      <w:tabs>
        <w:tab w:val="right" w:leader="dot" w:pos="9242"/>
      </w:tabs>
      <w:ind w:left="100" w:leftChars="100"/>
    </w:pPr>
    <w:rPr>
      <w:rFonts w:ascii="宋体"/>
      <w:szCs w:val="21"/>
    </w:rPr>
  </w:style>
  <w:style w:type="paragraph" w:styleId="34">
    <w:name w:val="toc 9"/>
    <w:basedOn w:val="1"/>
    <w:next w:val="1"/>
    <w:semiHidden/>
    <w:qFormat/>
    <w:uiPriority w:val="0"/>
    <w:pPr>
      <w:ind w:left="1470"/>
      <w:jc w:val="left"/>
    </w:pPr>
    <w:rPr>
      <w:sz w:val="20"/>
      <w:szCs w:val="20"/>
    </w:rPr>
  </w:style>
  <w:style w:type="paragraph" w:styleId="3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6">
    <w:name w:val="index 2"/>
    <w:basedOn w:val="1"/>
    <w:next w:val="1"/>
    <w:qFormat/>
    <w:uiPriority w:val="0"/>
    <w:pPr>
      <w:ind w:left="420" w:hanging="210"/>
      <w:jc w:val="left"/>
    </w:pPr>
    <w:rPr>
      <w:rFonts w:ascii="Calibri" w:hAnsi="Calibri"/>
      <w:sz w:val="20"/>
      <w:szCs w:val="20"/>
    </w:rPr>
  </w:style>
  <w:style w:type="paragraph" w:styleId="37">
    <w:name w:val="annotation subject"/>
    <w:basedOn w:val="12"/>
    <w:next w:val="12"/>
    <w:link w:val="172"/>
    <w:semiHidden/>
    <w:unhideWhenUsed/>
    <w:qFormat/>
    <w:uiPriority w:val="0"/>
    <w:rPr>
      <w:b/>
      <w:bCs/>
    </w:rPr>
  </w:style>
  <w:style w:type="table" w:styleId="39">
    <w:name w:val="Table Grid"/>
    <w:basedOn w:val="38"/>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1">
    <w:name w:val="Strong"/>
    <w:basedOn w:val="40"/>
    <w:qFormat/>
    <w:uiPriority w:val="22"/>
    <w:rPr>
      <w:b/>
      <w:bCs/>
    </w:rPr>
  </w:style>
  <w:style w:type="character" w:styleId="42">
    <w:name w:val="endnote reference"/>
    <w:semiHidden/>
    <w:qFormat/>
    <w:uiPriority w:val="0"/>
    <w:rPr>
      <w:vertAlign w:val="superscript"/>
    </w:rPr>
  </w:style>
  <w:style w:type="character" w:styleId="43">
    <w:name w:val="page number"/>
    <w:qFormat/>
    <w:uiPriority w:val="0"/>
    <w:rPr>
      <w:rFonts w:ascii="Times New Roman" w:hAnsi="Times New Roman" w:eastAsia="宋体"/>
      <w:sz w:val="18"/>
    </w:rPr>
  </w:style>
  <w:style w:type="character" w:styleId="44">
    <w:name w:val="Hyperlink"/>
    <w:qFormat/>
    <w:uiPriority w:val="99"/>
    <w:rPr>
      <w:color w:val="0000FF"/>
      <w:spacing w:val="0"/>
      <w:w w:val="100"/>
      <w:szCs w:val="21"/>
      <w:u w:val="single"/>
    </w:rPr>
  </w:style>
  <w:style w:type="character" w:styleId="45">
    <w:name w:val="annotation reference"/>
    <w:basedOn w:val="40"/>
    <w:unhideWhenUsed/>
    <w:qFormat/>
    <w:uiPriority w:val="99"/>
    <w:rPr>
      <w:sz w:val="21"/>
      <w:szCs w:val="21"/>
    </w:rPr>
  </w:style>
  <w:style w:type="character" w:styleId="46">
    <w:name w:val="footnote reference"/>
    <w:semiHidden/>
    <w:qFormat/>
    <w:uiPriority w:val="0"/>
    <w:rPr>
      <w:vertAlign w:val="superscript"/>
    </w:rPr>
  </w:style>
  <w:style w:type="character" w:customStyle="1" w:styleId="47">
    <w:name w:val="段 Char"/>
    <w:link w:val="28"/>
    <w:qFormat/>
    <w:uiPriority w:val="0"/>
    <w:rPr>
      <w:rFonts w:ascii="宋体"/>
      <w:sz w:val="21"/>
      <w:lang w:val="en-US" w:eastAsia="zh-CN" w:bidi="ar-SA"/>
    </w:rPr>
  </w:style>
  <w:style w:type="paragraph" w:customStyle="1" w:styleId="48">
    <w:name w:val="一级条标题"/>
    <w:next w:val="28"/>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4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1">
    <w:name w:val="章标题"/>
    <w:next w:val="28"/>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52">
    <w:name w:val="二级条标题"/>
    <w:basedOn w:val="48"/>
    <w:next w:val="28"/>
    <w:qFormat/>
    <w:uiPriority w:val="0"/>
    <w:pPr>
      <w:numPr>
        <w:ilvl w:val="2"/>
      </w:numPr>
      <w:outlineLvl w:val="3"/>
    </w:pPr>
  </w:style>
  <w:style w:type="paragraph" w:customStyle="1" w:styleId="53">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54">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5">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6">
    <w:name w:val="目次、标准名称标题"/>
    <w:basedOn w:val="1"/>
    <w:next w:val="28"/>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7">
    <w:name w:val="三级条标题"/>
    <w:basedOn w:val="52"/>
    <w:next w:val="28"/>
    <w:qFormat/>
    <w:uiPriority w:val="0"/>
    <w:pPr>
      <w:numPr>
        <w:ilvl w:val="3"/>
      </w:numPr>
      <w:spacing w:before="156" w:after="156"/>
      <w:outlineLvl w:val="4"/>
    </w:pPr>
    <w:rPr>
      <w:rFonts w:asciiTheme="minorEastAsia" w:hAnsiTheme="minorEastAsia"/>
    </w:rPr>
  </w:style>
  <w:style w:type="paragraph" w:customStyle="1" w:styleId="58">
    <w:name w:val="示例"/>
    <w:next w:val="59"/>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59">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60">
    <w:name w:val="数字编号列项（二级）"/>
    <w:qFormat/>
    <w:uiPriority w:val="0"/>
    <w:pPr>
      <w:numPr>
        <w:ilvl w:val="1"/>
        <w:numId w:val="5"/>
      </w:numPr>
      <w:tabs>
        <w:tab w:val="left" w:pos="840"/>
      </w:tabs>
      <w:jc w:val="both"/>
    </w:pPr>
    <w:rPr>
      <w:rFonts w:ascii="宋体" w:hAnsi="Times New Roman" w:eastAsia="宋体" w:cs="Times New Roman"/>
      <w:sz w:val="21"/>
      <w:lang w:val="en-US" w:eastAsia="zh-CN" w:bidi="ar-SA"/>
    </w:rPr>
  </w:style>
  <w:style w:type="paragraph" w:customStyle="1" w:styleId="61">
    <w:name w:val="四级条标题"/>
    <w:basedOn w:val="57"/>
    <w:next w:val="28"/>
    <w:qFormat/>
    <w:uiPriority w:val="0"/>
    <w:pPr>
      <w:numPr>
        <w:ilvl w:val="4"/>
      </w:numPr>
      <w:outlineLvl w:val="5"/>
    </w:pPr>
  </w:style>
  <w:style w:type="paragraph" w:customStyle="1" w:styleId="62">
    <w:name w:val="五级条标题"/>
    <w:basedOn w:val="61"/>
    <w:next w:val="28"/>
    <w:qFormat/>
    <w:uiPriority w:val="0"/>
    <w:pPr>
      <w:numPr>
        <w:ilvl w:val="5"/>
      </w:numPr>
      <w:spacing w:before="50" w:after="50"/>
      <w:outlineLvl w:val="6"/>
    </w:pPr>
  </w:style>
  <w:style w:type="paragraph" w:customStyle="1" w:styleId="63">
    <w:name w:val="注："/>
    <w:next w:val="28"/>
    <w:qFormat/>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64">
    <w:name w:val="注×："/>
    <w:qFormat/>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65">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66">
    <w:name w:val="列项◆（三级）"/>
    <w:basedOn w:val="1"/>
    <w:qFormat/>
    <w:uiPriority w:val="0"/>
    <w:pPr>
      <w:numPr>
        <w:ilvl w:val="2"/>
        <w:numId w:val="3"/>
      </w:numPr>
    </w:pPr>
    <w:rPr>
      <w:rFonts w:ascii="宋体"/>
      <w:szCs w:val="21"/>
    </w:rPr>
  </w:style>
  <w:style w:type="paragraph" w:customStyle="1" w:styleId="67">
    <w:name w:val="编号列项（三级）"/>
    <w:qFormat/>
    <w:uiPriority w:val="0"/>
    <w:rPr>
      <w:rFonts w:ascii="宋体" w:hAnsi="Times New Roman" w:eastAsia="宋体" w:cs="Times New Roman"/>
      <w:sz w:val="21"/>
      <w:lang w:val="en-US" w:eastAsia="zh-CN" w:bidi="ar-SA"/>
    </w:rPr>
  </w:style>
  <w:style w:type="paragraph" w:customStyle="1" w:styleId="68">
    <w:name w:val="示例×："/>
    <w:basedOn w:val="51"/>
    <w:qFormat/>
    <w:uiPriority w:val="0"/>
    <w:pPr>
      <w:numPr>
        <w:ilvl w:val="0"/>
        <w:numId w:val="8"/>
      </w:numPr>
      <w:spacing w:beforeLines="0" w:afterLines="0"/>
      <w:outlineLvl w:val="9"/>
    </w:pPr>
    <w:rPr>
      <w:rFonts w:ascii="宋体" w:eastAsia="宋体"/>
      <w:sz w:val="18"/>
      <w:szCs w:val="18"/>
    </w:rPr>
  </w:style>
  <w:style w:type="paragraph" w:customStyle="1" w:styleId="69">
    <w:name w:val="五级无标题条"/>
    <w:basedOn w:val="62"/>
    <w:qFormat/>
    <w:uiPriority w:val="0"/>
    <w:pPr>
      <w:spacing w:beforeLines="0" w:afterLines="0"/>
    </w:pPr>
    <w:rPr>
      <w:rFonts w:eastAsiaTheme="minorEastAsia"/>
    </w:rPr>
  </w:style>
  <w:style w:type="paragraph" w:customStyle="1" w:styleId="70">
    <w:name w:val="注：（正文）"/>
    <w:basedOn w:val="63"/>
    <w:next w:val="28"/>
    <w:qFormat/>
    <w:uiPriority w:val="0"/>
    <w:pPr>
      <w:numPr>
        <w:ilvl w:val="0"/>
        <w:numId w:val="9"/>
      </w:numPr>
    </w:pPr>
  </w:style>
  <w:style w:type="paragraph" w:customStyle="1" w:styleId="71">
    <w:name w:val="注×：（正文）"/>
    <w:qFormat/>
    <w:uiPriority w:val="0"/>
    <w:pPr>
      <w:numPr>
        <w:ilvl w:val="0"/>
        <w:numId w:val="10"/>
      </w:numPr>
      <w:jc w:val="both"/>
    </w:pPr>
    <w:rPr>
      <w:rFonts w:ascii="宋体" w:hAnsi="Times New Roman" w:eastAsia="宋体" w:cs="Times New Roman"/>
      <w:sz w:val="18"/>
      <w:szCs w:val="18"/>
      <w:lang w:val="en-US" w:eastAsia="zh-CN" w:bidi="ar-SA"/>
    </w:rPr>
  </w:style>
  <w:style w:type="paragraph" w:customStyle="1" w:styleId="72">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4">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5">
    <w:name w:val="标准书眉_偶数页"/>
    <w:basedOn w:val="50"/>
    <w:next w:val="1"/>
    <w:qFormat/>
    <w:uiPriority w:val="0"/>
    <w:pPr>
      <w:jc w:val="left"/>
    </w:pPr>
  </w:style>
  <w:style w:type="paragraph" w:customStyle="1" w:styleId="76">
    <w:name w:val="标准书眉一"/>
    <w:qFormat/>
    <w:uiPriority w:val="0"/>
    <w:pPr>
      <w:jc w:val="both"/>
    </w:pPr>
    <w:rPr>
      <w:rFonts w:ascii="Times New Roman" w:hAnsi="Times New Roman" w:eastAsia="宋体" w:cs="Times New Roman"/>
      <w:lang w:val="en-US" w:eastAsia="zh-CN" w:bidi="ar-SA"/>
    </w:rPr>
  </w:style>
  <w:style w:type="paragraph" w:customStyle="1" w:styleId="77">
    <w:name w:val="参考文献"/>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8">
    <w:name w:val="参考文献、索引标题"/>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79">
    <w:name w:val="发布"/>
    <w:qFormat/>
    <w:uiPriority w:val="0"/>
    <w:rPr>
      <w:rFonts w:ascii="黑体" w:eastAsia="黑体"/>
      <w:spacing w:val="85"/>
      <w:w w:val="100"/>
      <w:position w:val="3"/>
      <w:sz w:val="28"/>
      <w:szCs w:val="28"/>
    </w:rPr>
  </w:style>
  <w:style w:type="paragraph" w:customStyle="1" w:styleId="80">
    <w:name w:val="发布部门"/>
    <w:next w:val="2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2">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8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5">
    <w:name w:val="封面标准英文名称"/>
    <w:basedOn w:val="84"/>
    <w:qFormat/>
    <w:uiPriority w:val="0"/>
    <w:pPr>
      <w:framePr w:wrap="around"/>
      <w:spacing w:before="370" w:line="400" w:lineRule="exact"/>
    </w:pPr>
    <w:rPr>
      <w:rFonts w:ascii="Times New Roman"/>
      <w:sz w:val="28"/>
      <w:szCs w:val="28"/>
    </w:rPr>
  </w:style>
  <w:style w:type="paragraph" w:customStyle="1" w:styleId="86">
    <w:name w:val="封面一致性程度标识"/>
    <w:basedOn w:val="85"/>
    <w:qFormat/>
    <w:uiPriority w:val="0"/>
    <w:pPr>
      <w:framePr w:wrap="around"/>
      <w:spacing w:before="440"/>
    </w:pPr>
    <w:rPr>
      <w:rFonts w:ascii="宋体" w:eastAsia="宋体"/>
    </w:rPr>
  </w:style>
  <w:style w:type="paragraph" w:customStyle="1" w:styleId="87">
    <w:name w:val="封面标准文稿类别"/>
    <w:basedOn w:val="86"/>
    <w:qFormat/>
    <w:uiPriority w:val="0"/>
    <w:pPr>
      <w:framePr w:wrap="around"/>
      <w:spacing w:after="160" w:line="240" w:lineRule="auto"/>
    </w:pPr>
    <w:rPr>
      <w:sz w:val="24"/>
    </w:rPr>
  </w:style>
  <w:style w:type="paragraph" w:customStyle="1" w:styleId="88">
    <w:name w:val="封面标准文稿编辑信息"/>
    <w:basedOn w:val="87"/>
    <w:qFormat/>
    <w:uiPriority w:val="0"/>
    <w:pPr>
      <w:framePr w:wrap="around"/>
      <w:spacing w:before="180" w:line="180" w:lineRule="exact"/>
    </w:pPr>
    <w:rPr>
      <w:sz w:val="21"/>
    </w:rPr>
  </w:style>
  <w:style w:type="paragraph" w:customStyle="1" w:styleId="89">
    <w:name w:val="封面正文"/>
    <w:qFormat/>
    <w:uiPriority w:val="0"/>
    <w:pPr>
      <w:jc w:val="both"/>
    </w:pPr>
    <w:rPr>
      <w:rFonts w:ascii="Times New Roman" w:hAnsi="Times New Roman" w:eastAsia="宋体" w:cs="Times New Roman"/>
      <w:lang w:val="en-US" w:eastAsia="zh-CN" w:bidi="ar-SA"/>
    </w:rPr>
  </w:style>
  <w:style w:type="paragraph" w:customStyle="1" w:styleId="90">
    <w:name w:val="附录标识"/>
    <w:basedOn w:val="1"/>
    <w:next w:val="28"/>
    <w:qFormat/>
    <w:uiPriority w:val="0"/>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1">
    <w:name w:val="附录标题"/>
    <w:basedOn w:val="28"/>
    <w:next w:val="28"/>
    <w:qFormat/>
    <w:uiPriority w:val="0"/>
    <w:pPr>
      <w:ind w:firstLine="0" w:firstLineChars="0"/>
      <w:jc w:val="center"/>
    </w:pPr>
    <w:rPr>
      <w:rFonts w:ascii="黑体" w:eastAsia="黑体"/>
    </w:rPr>
  </w:style>
  <w:style w:type="paragraph" w:customStyle="1" w:styleId="92">
    <w:name w:val="附录表标号"/>
    <w:basedOn w:val="1"/>
    <w:next w:val="28"/>
    <w:qFormat/>
    <w:uiPriority w:val="0"/>
    <w:pPr>
      <w:numPr>
        <w:ilvl w:val="0"/>
        <w:numId w:val="11"/>
      </w:numPr>
      <w:spacing w:line="14" w:lineRule="exact"/>
      <w:ind w:left="811" w:hanging="448"/>
      <w:jc w:val="center"/>
      <w:outlineLvl w:val="0"/>
    </w:pPr>
    <w:rPr>
      <w:color w:val="FFFFFF"/>
    </w:rPr>
  </w:style>
  <w:style w:type="paragraph" w:customStyle="1" w:styleId="93">
    <w:name w:val="附录表标题"/>
    <w:basedOn w:val="1"/>
    <w:next w:val="28"/>
    <w:qFormat/>
    <w:uiPriority w:val="0"/>
    <w:pPr>
      <w:numPr>
        <w:ilvl w:val="1"/>
        <w:numId w:val="11"/>
      </w:numPr>
      <w:tabs>
        <w:tab w:val="left" w:pos="180"/>
      </w:tabs>
      <w:spacing w:beforeLines="50" w:afterLines="50"/>
      <w:ind w:left="0" w:firstLine="0"/>
      <w:jc w:val="center"/>
    </w:pPr>
    <w:rPr>
      <w:rFonts w:ascii="黑体" w:eastAsia="黑体"/>
      <w:szCs w:val="21"/>
    </w:rPr>
  </w:style>
  <w:style w:type="paragraph" w:customStyle="1" w:styleId="94">
    <w:name w:val="附录二级条标题"/>
    <w:basedOn w:val="1"/>
    <w:next w:val="28"/>
    <w:qFormat/>
    <w:uiPriority w:val="0"/>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5">
    <w:name w:val="附录二级无"/>
    <w:basedOn w:val="94"/>
    <w:qFormat/>
    <w:uiPriority w:val="0"/>
    <w:pPr>
      <w:tabs>
        <w:tab w:val="clear" w:pos="360"/>
      </w:tabs>
      <w:spacing w:beforeLines="0" w:afterLines="0"/>
    </w:pPr>
    <w:rPr>
      <w:rFonts w:ascii="宋体" w:eastAsia="宋体"/>
      <w:szCs w:val="21"/>
    </w:rPr>
  </w:style>
  <w:style w:type="paragraph" w:customStyle="1" w:styleId="96">
    <w:name w:val="附录公式"/>
    <w:basedOn w:val="28"/>
    <w:next w:val="28"/>
    <w:link w:val="97"/>
    <w:qFormat/>
    <w:uiPriority w:val="0"/>
  </w:style>
  <w:style w:type="character" w:customStyle="1" w:styleId="97">
    <w:name w:val="附录公式 Char"/>
    <w:basedOn w:val="47"/>
    <w:link w:val="96"/>
    <w:qFormat/>
    <w:uiPriority w:val="0"/>
    <w:rPr>
      <w:rFonts w:ascii="宋体"/>
      <w:sz w:val="21"/>
      <w:lang w:val="en-US" w:eastAsia="zh-CN" w:bidi="ar-SA"/>
    </w:rPr>
  </w:style>
  <w:style w:type="paragraph" w:customStyle="1" w:styleId="98">
    <w:name w:val="附录公式编号制表符"/>
    <w:basedOn w:val="1"/>
    <w:next w:val="28"/>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附录三级条标题"/>
    <w:basedOn w:val="94"/>
    <w:next w:val="28"/>
    <w:qFormat/>
    <w:uiPriority w:val="0"/>
    <w:pPr>
      <w:outlineLvl w:val="4"/>
    </w:pPr>
  </w:style>
  <w:style w:type="paragraph" w:customStyle="1" w:styleId="100">
    <w:name w:val="附录三级无"/>
    <w:basedOn w:val="99"/>
    <w:qFormat/>
    <w:uiPriority w:val="0"/>
    <w:pPr>
      <w:tabs>
        <w:tab w:val="clear" w:pos="360"/>
      </w:tabs>
      <w:spacing w:beforeLines="0" w:afterLines="0"/>
    </w:pPr>
    <w:rPr>
      <w:rFonts w:ascii="宋体" w:eastAsia="宋体"/>
      <w:szCs w:val="21"/>
    </w:rPr>
  </w:style>
  <w:style w:type="paragraph" w:customStyle="1" w:styleId="101">
    <w:name w:val="附录数字编号列项（二级）"/>
    <w:qFormat/>
    <w:uiPriority w:val="0"/>
    <w:pPr>
      <w:numPr>
        <w:ilvl w:val="1"/>
        <w:numId w:val="12"/>
      </w:numPr>
    </w:pPr>
    <w:rPr>
      <w:rFonts w:ascii="宋体" w:hAnsi="Times New Roman" w:eastAsia="宋体" w:cs="Times New Roman"/>
      <w:sz w:val="21"/>
      <w:lang w:val="en-US" w:eastAsia="zh-CN" w:bidi="ar-SA"/>
    </w:rPr>
  </w:style>
  <w:style w:type="paragraph" w:customStyle="1" w:styleId="102">
    <w:name w:val="附录四级条标题"/>
    <w:basedOn w:val="99"/>
    <w:next w:val="28"/>
    <w:qFormat/>
    <w:uiPriority w:val="0"/>
    <w:pPr>
      <w:outlineLvl w:val="5"/>
    </w:pPr>
  </w:style>
  <w:style w:type="paragraph" w:customStyle="1" w:styleId="103">
    <w:name w:val="附录四级无"/>
    <w:basedOn w:val="102"/>
    <w:qFormat/>
    <w:uiPriority w:val="0"/>
    <w:pPr>
      <w:tabs>
        <w:tab w:val="clear" w:pos="360"/>
      </w:tabs>
      <w:spacing w:beforeLines="0" w:afterLines="0"/>
    </w:pPr>
    <w:rPr>
      <w:rFonts w:ascii="宋体" w:eastAsia="宋体"/>
      <w:szCs w:val="21"/>
    </w:rPr>
  </w:style>
  <w:style w:type="paragraph" w:customStyle="1" w:styleId="104">
    <w:name w:val="附录图标号"/>
    <w:basedOn w:val="1"/>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05">
    <w:name w:val="附录图标题"/>
    <w:basedOn w:val="1"/>
    <w:next w:val="28"/>
    <w:qFormat/>
    <w:uiPriority w:val="0"/>
    <w:pPr>
      <w:numPr>
        <w:ilvl w:val="1"/>
        <w:numId w:val="13"/>
      </w:numPr>
      <w:tabs>
        <w:tab w:val="left" w:pos="363"/>
      </w:tabs>
      <w:spacing w:beforeLines="50" w:afterLines="50"/>
      <w:ind w:left="0" w:firstLine="0"/>
      <w:jc w:val="center"/>
    </w:pPr>
    <w:rPr>
      <w:rFonts w:ascii="黑体" w:eastAsia="黑体"/>
      <w:szCs w:val="21"/>
    </w:rPr>
  </w:style>
  <w:style w:type="paragraph" w:customStyle="1" w:styleId="106">
    <w:name w:val="附录五级条标题"/>
    <w:basedOn w:val="102"/>
    <w:next w:val="28"/>
    <w:qFormat/>
    <w:uiPriority w:val="0"/>
    <w:pPr>
      <w:outlineLvl w:val="6"/>
    </w:pPr>
  </w:style>
  <w:style w:type="paragraph" w:customStyle="1" w:styleId="107">
    <w:name w:val="附录五级无"/>
    <w:basedOn w:val="106"/>
    <w:qFormat/>
    <w:uiPriority w:val="0"/>
    <w:pPr>
      <w:tabs>
        <w:tab w:val="clear" w:pos="360"/>
      </w:tabs>
      <w:spacing w:beforeLines="0" w:afterLines="0"/>
    </w:pPr>
    <w:rPr>
      <w:rFonts w:ascii="宋体" w:eastAsia="宋体"/>
      <w:szCs w:val="21"/>
    </w:rPr>
  </w:style>
  <w:style w:type="paragraph" w:customStyle="1" w:styleId="108">
    <w:name w:val="附录章标题"/>
    <w:next w:val="28"/>
    <w:qFormat/>
    <w:uiPriority w:val="0"/>
    <w:p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09">
    <w:name w:val="附录一级条标题"/>
    <w:basedOn w:val="108"/>
    <w:next w:val="28"/>
    <w:qFormat/>
    <w:uiPriority w:val="0"/>
    <w:pPr>
      <w:autoSpaceDN w:val="0"/>
      <w:spacing w:beforeLines="50" w:afterLines="50"/>
      <w:outlineLvl w:val="2"/>
    </w:pPr>
  </w:style>
  <w:style w:type="paragraph" w:customStyle="1" w:styleId="110">
    <w:name w:val="附录一级无"/>
    <w:basedOn w:val="109"/>
    <w:qFormat/>
    <w:uiPriority w:val="0"/>
    <w:pPr>
      <w:tabs>
        <w:tab w:val="clear" w:pos="360"/>
      </w:tabs>
      <w:spacing w:beforeLines="0" w:afterLines="0"/>
    </w:pPr>
    <w:rPr>
      <w:rFonts w:ascii="宋体" w:eastAsia="宋体"/>
      <w:szCs w:val="21"/>
    </w:rPr>
  </w:style>
  <w:style w:type="paragraph" w:customStyle="1" w:styleId="111">
    <w:name w:val="附录字母编号列项（一级）"/>
    <w:qFormat/>
    <w:uiPriority w:val="0"/>
    <w:pPr>
      <w:numPr>
        <w:ilvl w:val="0"/>
        <w:numId w:val="12"/>
      </w:numPr>
    </w:pPr>
    <w:rPr>
      <w:rFonts w:ascii="宋体" w:hAnsi="Times New Roman" w:eastAsia="宋体" w:cs="Times New Roman"/>
      <w:sz w:val="21"/>
      <w:lang w:val="en-US" w:eastAsia="zh-CN" w:bidi="ar-SA"/>
    </w:rPr>
  </w:style>
  <w:style w:type="paragraph" w:customStyle="1" w:styleId="112">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3">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15">
    <w:name w:val="其他标准标志"/>
    <w:basedOn w:val="72"/>
    <w:qFormat/>
    <w:uiPriority w:val="0"/>
    <w:pPr>
      <w:framePr w:w="6101" w:wrap="around" w:vAnchor="page" w:hAnchor="page" w:x="4673" w:y="942"/>
    </w:pPr>
    <w:rPr>
      <w:w w:val="130"/>
    </w:rPr>
  </w:style>
  <w:style w:type="paragraph" w:customStyle="1" w:styleId="11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7">
    <w:name w:val="其他发布部门"/>
    <w:basedOn w:val="80"/>
    <w:qFormat/>
    <w:uiPriority w:val="0"/>
    <w:pPr>
      <w:framePr w:wrap="around" w:y="15310"/>
      <w:spacing w:line="0" w:lineRule="atLeast"/>
    </w:pPr>
    <w:rPr>
      <w:rFonts w:ascii="黑体" w:eastAsia="黑体"/>
      <w:b w:val="0"/>
    </w:rPr>
  </w:style>
  <w:style w:type="paragraph" w:customStyle="1" w:styleId="118">
    <w:name w:val="前言、引言标题"/>
    <w:next w:val="28"/>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9">
    <w:name w:val="三级无标题条"/>
    <w:basedOn w:val="57"/>
    <w:qFormat/>
    <w:uiPriority w:val="0"/>
    <w:pPr>
      <w:spacing w:beforeLines="0" w:afterLines="0"/>
    </w:pPr>
    <w:rPr>
      <w:rFonts w:eastAsiaTheme="minorEastAsia"/>
    </w:rPr>
  </w:style>
  <w:style w:type="paragraph" w:customStyle="1" w:styleId="120">
    <w:name w:val="实施日期"/>
    <w:basedOn w:val="81"/>
    <w:qFormat/>
    <w:uiPriority w:val="0"/>
    <w:pPr>
      <w:framePr w:wrap="around" w:vAnchor="page" w:hAnchor="text"/>
      <w:jc w:val="right"/>
    </w:pPr>
  </w:style>
  <w:style w:type="paragraph" w:customStyle="1" w:styleId="121">
    <w:name w:val="示例后文字"/>
    <w:basedOn w:val="28"/>
    <w:next w:val="28"/>
    <w:qFormat/>
    <w:uiPriority w:val="0"/>
    <w:pPr>
      <w:ind w:firstLine="360"/>
    </w:pPr>
    <w:rPr>
      <w:sz w:val="18"/>
    </w:rPr>
  </w:style>
  <w:style w:type="paragraph" w:customStyle="1" w:styleId="122">
    <w:name w:val="首示例"/>
    <w:next w:val="28"/>
    <w:link w:val="123"/>
    <w:qFormat/>
    <w:uiPriority w:val="0"/>
    <w:pPr>
      <w:numPr>
        <w:ilvl w:val="0"/>
        <w:numId w:val="14"/>
      </w:numPr>
      <w:tabs>
        <w:tab w:val="left" w:pos="360"/>
      </w:tabs>
      <w:ind w:firstLine="0"/>
    </w:pPr>
    <w:rPr>
      <w:rFonts w:ascii="宋体" w:hAnsi="宋体" w:eastAsia="宋体" w:cs="Times New Roman"/>
      <w:kern w:val="2"/>
      <w:sz w:val="18"/>
      <w:szCs w:val="18"/>
      <w:lang w:val="en-US" w:eastAsia="zh-CN" w:bidi="ar-SA"/>
    </w:rPr>
  </w:style>
  <w:style w:type="character" w:customStyle="1" w:styleId="123">
    <w:name w:val="首示例 Char"/>
    <w:link w:val="122"/>
    <w:qFormat/>
    <w:uiPriority w:val="0"/>
    <w:rPr>
      <w:rFonts w:ascii="宋体" w:hAnsi="宋体"/>
      <w:kern w:val="2"/>
      <w:sz w:val="18"/>
      <w:szCs w:val="18"/>
    </w:rPr>
  </w:style>
  <w:style w:type="paragraph" w:customStyle="1" w:styleId="124">
    <w:name w:val="四级无"/>
    <w:basedOn w:val="61"/>
    <w:qFormat/>
    <w:uiPriority w:val="0"/>
    <w:pPr>
      <w:numPr>
        <w:numId w:val="15"/>
      </w:numPr>
      <w:spacing w:beforeLines="0" w:afterLines="0"/>
    </w:pPr>
    <w:rPr>
      <w:rFonts w:ascii="宋体" w:eastAsia="宋体"/>
    </w:rPr>
  </w:style>
  <w:style w:type="paragraph" w:customStyle="1" w:styleId="125">
    <w:name w:val="条文脚注"/>
    <w:basedOn w:val="29"/>
    <w:qFormat/>
    <w:uiPriority w:val="0"/>
    <w:pPr>
      <w:numPr>
        <w:numId w:val="0"/>
      </w:numPr>
      <w:jc w:val="both"/>
    </w:pPr>
  </w:style>
  <w:style w:type="paragraph" w:customStyle="1" w:styleId="126">
    <w:name w:val="图标脚注说明"/>
    <w:basedOn w:val="28"/>
    <w:qFormat/>
    <w:uiPriority w:val="0"/>
    <w:pPr>
      <w:ind w:left="840" w:hanging="420" w:firstLineChars="0"/>
    </w:pPr>
    <w:rPr>
      <w:sz w:val="18"/>
      <w:szCs w:val="18"/>
    </w:rPr>
  </w:style>
  <w:style w:type="paragraph" w:customStyle="1" w:styleId="127">
    <w:name w:val="图表脚注说明"/>
    <w:basedOn w:val="1"/>
    <w:qFormat/>
    <w:uiPriority w:val="0"/>
    <w:pPr>
      <w:numPr>
        <w:ilvl w:val="0"/>
        <w:numId w:val="16"/>
      </w:numPr>
    </w:pPr>
    <w:rPr>
      <w:rFonts w:ascii="宋体"/>
      <w:sz w:val="18"/>
      <w:szCs w:val="18"/>
    </w:rPr>
  </w:style>
  <w:style w:type="paragraph" w:customStyle="1" w:styleId="128">
    <w:name w:val="图的脚注"/>
    <w:next w:val="2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9">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0">
    <w:name w:val="五级无"/>
    <w:basedOn w:val="62"/>
    <w:qFormat/>
    <w:uiPriority w:val="0"/>
    <w:pPr>
      <w:numPr>
        <w:numId w:val="15"/>
      </w:numPr>
      <w:spacing w:beforeLines="0" w:afterLines="0"/>
    </w:pPr>
    <w:rPr>
      <w:rFonts w:ascii="宋体" w:eastAsia="宋体"/>
    </w:rPr>
  </w:style>
  <w:style w:type="paragraph" w:customStyle="1" w:styleId="131">
    <w:name w:val="四级无标题条"/>
    <w:basedOn w:val="61"/>
    <w:qFormat/>
    <w:uiPriority w:val="0"/>
    <w:pPr>
      <w:spacing w:beforeLines="0" w:afterLines="0"/>
    </w:pPr>
    <w:rPr>
      <w:rFonts w:eastAsiaTheme="minorEastAsia"/>
    </w:rPr>
  </w:style>
  <w:style w:type="character" w:customStyle="1" w:styleId="132">
    <w:name w:val="已访问的超链接1"/>
    <w:qFormat/>
    <w:uiPriority w:val="0"/>
    <w:rPr>
      <w:color w:val="800080"/>
      <w:u w:val="single"/>
    </w:rPr>
  </w:style>
  <w:style w:type="paragraph" w:customStyle="1" w:styleId="133">
    <w:name w:val="正文表标题"/>
    <w:next w:val="28"/>
    <w:qFormat/>
    <w:uiPriority w:val="0"/>
    <w:pPr>
      <w:numPr>
        <w:ilvl w:val="0"/>
        <w:numId w:val="17"/>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4">
    <w:name w:val="正文公式编号制表符"/>
    <w:basedOn w:val="28"/>
    <w:next w:val="28"/>
    <w:qFormat/>
    <w:uiPriority w:val="0"/>
    <w:pPr>
      <w:ind w:firstLine="0" w:firstLineChars="0"/>
    </w:pPr>
  </w:style>
  <w:style w:type="paragraph" w:customStyle="1" w:styleId="135">
    <w:name w:val="正文图标题"/>
    <w:next w:val="28"/>
    <w:qFormat/>
    <w:uiPriority w:val="0"/>
    <w:pPr>
      <w:numPr>
        <w:ilvl w:val="0"/>
        <w:numId w:val="18"/>
      </w:numPr>
      <w:spacing w:beforeLines="50" w:afterLines="50"/>
      <w:jc w:val="center"/>
    </w:pPr>
    <w:rPr>
      <w:rFonts w:ascii="黑体" w:hAnsi="Times New Roman" w:eastAsia="黑体" w:cs="Times New Roman"/>
      <w:sz w:val="21"/>
      <w:lang w:val="en-US" w:eastAsia="zh-CN" w:bidi="ar-SA"/>
    </w:rPr>
  </w:style>
  <w:style w:type="paragraph" w:customStyle="1" w:styleId="136">
    <w:name w:val="终结线"/>
    <w:basedOn w:val="1"/>
    <w:qFormat/>
    <w:uiPriority w:val="0"/>
    <w:pPr>
      <w:framePr w:hSpace="181" w:vSpace="181" w:wrap="around" w:vAnchor="text" w:hAnchor="margin" w:xAlign="center" w:y="285"/>
    </w:pPr>
  </w:style>
  <w:style w:type="paragraph" w:customStyle="1" w:styleId="137">
    <w:name w:val="其他发布日期"/>
    <w:basedOn w:val="81"/>
    <w:qFormat/>
    <w:uiPriority w:val="0"/>
    <w:pPr>
      <w:framePr w:wrap="around" w:vAnchor="page" w:hAnchor="text" w:x="1419"/>
    </w:pPr>
  </w:style>
  <w:style w:type="paragraph" w:customStyle="1" w:styleId="138">
    <w:name w:val="其他实施日期"/>
    <w:basedOn w:val="120"/>
    <w:qFormat/>
    <w:uiPriority w:val="0"/>
    <w:pPr>
      <w:framePr w:wrap="around"/>
    </w:pPr>
  </w:style>
  <w:style w:type="paragraph" w:customStyle="1" w:styleId="139">
    <w:name w:val="封面标准名称2"/>
    <w:basedOn w:val="84"/>
    <w:qFormat/>
    <w:uiPriority w:val="0"/>
    <w:pPr>
      <w:framePr w:wrap="around" w:y="4469"/>
      <w:spacing w:beforeLines="630"/>
    </w:pPr>
  </w:style>
  <w:style w:type="paragraph" w:customStyle="1" w:styleId="140">
    <w:name w:val="封面标准英文名称2"/>
    <w:basedOn w:val="85"/>
    <w:qFormat/>
    <w:uiPriority w:val="0"/>
    <w:pPr>
      <w:framePr w:wrap="around" w:y="4469"/>
    </w:pPr>
  </w:style>
  <w:style w:type="paragraph" w:customStyle="1" w:styleId="141">
    <w:name w:val="封面一致性程度标识2"/>
    <w:basedOn w:val="86"/>
    <w:qFormat/>
    <w:uiPriority w:val="0"/>
    <w:pPr>
      <w:framePr w:wrap="around" w:y="4469"/>
    </w:pPr>
  </w:style>
  <w:style w:type="paragraph" w:customStyle="1" w:styleId="142">
    <w:name w:val="封面标准文稿类别2"/>
    <w:basedOn w:val="87"/>
    <w:qFormat/>
    <w:uiPriority w:val="0"/>
    <w:pPr>
      <w:framePr w:wrap="around" w:y="4469"/>
    </w:pPr>
  </w:style>
  <w:style w:type="paragraph" w:customStyle="1" w:styleId="143">
    <w:name w:val="封面标准文稿编辑信息2"/>
    <w:basedOn w:val="88"/>
    <w:qFormat/>
    <w:uiPriority w:val="0"/>
    <w:pPr>
      <w:framePr w:wrap="around" w:y="4469"/>
    </w:pPr>
  </w:style>
  <w:style w:type="paragraph" w:customStyle="1" w:styleId="144">
    <w:name w:val="列出段落1"/>
    <w:basedOn w:val="1"/>
    <w:qFormat/>
    <w:uiPriority w:val="34"/>
    <w:pPr>
      <w:ind w:firstLine="420" w:firstLineChars="200"/>
    </w:pPr>
    <w:rPr>
      <w:rFonts w:ascii="Calibri" w:hAnsi="Calibri"/>
      <w:sz w:val="28"/>
      <w:szCs w:val="22"/>
    </w:rPr>
  </w:style>
  <w:style w:type="character" w:customStyle="1" w:styleId="145">
    <w:name w:val="标题 2 字符"/>
    <w:link w:val="3"/>
    <w:qFormat/>
    <w:uiPriority w:val="9"/>
    <w:rPr>
      <w:rFonts w:ascii="Cambria" w:hAnsi="Cambria" w:eastAsia="宋体" w:cs="Times New Roman"/>
      <w:b/>
      <w:bCs/>
      <w:kern w:val="2"/>
      <w:sz w:val="32"/>
      <w:szCs w:val="32"/>
    </w:rPr>
  </w:style>
  <w:style w:type="character" w:customStyle="1" w:styleId="146">
    <w:name w:val="标题 3 字符"/>
    <w:link w:val="4"/>
    <w:qFormat/>
    <w:uiPriority w:val="9"/>
    <w:rPr>
      <w:rFonts w:ascii="Calibri" w:hAnsi="Calibri" w:eastAsia="宋体" w:cs="Times New Roman"/>
      <w:b/>
      <w:bCs/>
      <w:kern w:val="2"/>
      <w:sz w:val="32"/>
      <w:szCs w:val="32"/>
    </w:rPr>
  </w:style>
  <w:style w:type="character" w:customStyle="1" w:styleId="147">
    <w:name w:val="批注框文本 字符"/>
    <w:link w:val="21"/>
    <w:qFormat/>
    <w:uiPriority w:val="0"/>
    <w:rPr>
      <w:kern w:val="2"/>
      <w:sz w:val="18"/>
      <w:szCs w:val="18"/>
    </w:rPr>
  </w:style>
  <w:style w:type="character" w:customStyle="1" w:styleId="148">
    <w:name w:val="标题 1 字符"/>
    <w:link w:val="2"/>
    <w:qFormat/>
    <w:uiPriority w:val="0"/>
    <w:rPr>
      <w:b/>
      <w:bCs/>
      <w:kern w:val="44"/>
      <w:sz w:val="44"/>
      <w:szCs w:val="44"/>
    </w:rPr>
  </w:style>
  <w:style w:type="paragraph" w:customStyle="1" w:styleId="149">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50">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51">
    <w:name w:val="一级无标题条"/>
    <w:basedOn w:val="48"/>
    <w:qFormat/>
    <w:uiPriority w:val="0"/>
    <w:pPr>
      <w:spacing w:beforeLines="0" w:afterLines="0"/>
    </w:pPr>
    <w:rPr>
      <w:rFonts w:asciiTheme="majorEastAsia" w:hAnsiTheme="majorEastAsia" w:eastAsiaTheme="majorEastAsia"/>
    </w:rPr>
  </w:style>
  <w:style w:type="paragraph" w:customStyle="1" w:styleId="152">
    <w:name w:val="二级无标题条"/>
    <w:basedOn w:val="52"/>
    <w:qFormat/>
    <w:uiPriority w:val="0"/>
    <w:pPr>
      <w:spacing w:beforeLines="0" w:afterLines="0"/>
    </w:pPr>
    <w:rPr>
      <w:rFonts w:asciiTheme="minorEastAsia" w:hAnsiTheme="minorEastAsia" w:eastAsiaTheme="minorEastAsia"/>
    </w:rPr>
  </w:style>
  <w:style w:type="paragraph" w:customStyle="1" w:styleId="153">
    <w:name w:val="术语"/>
    <w:basedOn w:val="28"/>
    <w:next w:val="28"/>
    <w:qFormat/>
    <w:uiPriority w:val="0"/>
    <w:rPr>
      <w:rFonts w:ascii="黑体" w:hAnsi="黑体" w:eastAsia="黑体"/>
      <w:color w:val="000000" w:themeColor="text1"/>
      <w14:textFill>
        <w14:solidFill>
          <w14:schemeClr w14:val="tx1"/>
        </w14:solidFill>
      </w14:textFill>
    </w:rPr>
  </w:style>
  <w:style w:type="paragraph" w:customStyle="1" w:styleId="154">
    <w:name w:val="参考文献正文"/>
    <w:basedOn w:val="28"/>
    <w:qFormat/>
    <w:uiPriority w:val="0"/>
    <w:pPr>
      <w:numPr>
        <w:ilvl w:val="1"/>
        <w:numId w:val="19"/>
      </w:numPr>
      <w:tabs>
        <w:tab w:val="clear" w:pos="4201"/>
        <w:tab w:val="clear" w:pos="9298"/>
      </w:tabs>
      <w:ind w:left="0" w:firstLine="420"/>
      <w:jc w:val="left"/>
    </w:pPr>
  </w:style>
  <w:style w:type="paragraph" w:styleId="155">
    <w:name w:val="List Paragraph"/>
    <w:basedOn w:val="1"/>
    <w:qFormat/>
    <w:uiPriority w:val="34"/>
    <w:pPr>
      <w:widowControl/>
      <w:ind w:firstLine="420" w:firstLineChars="200"/>
      <w:jc w:val="left"/>
    </w:pPr>
    <w:rPr>
      <w:rFonts w:ascii="宋体" w:hAnsi="宋体" w:cs="宋体"/>
      <w:kern w:val="0"/>
      <w:sz w:val="24"/>
    </w:rPr>
  </w:style>
  <w:style w:type="character" w:styleId="156">
    <w:name w:val="Placeholder Text"/>
    <w:basedOn w:val="40"/>
    <w:semiHidden/>
    <w:qFormat/>
    <w:uiPriority w:val="99"/>
    <w:rPr>
      <w:color w:val="808080"/>
    </w:rPr>
  </w:style>
  <w:style w:type="paragraph" w:customStyle="1" w:styleId="157">
    <w:name w:val="附录章无标题"/>
    <w:qFormat/>
    <w:uiPriority w:val="0"/>
    <w:rPr>
      <w:rFonts w:ascii="宋体" w:hAnsi="Times New Roman" w:eastAsia="宋体" w:cs="Times New Roman"/>
      <w:sz w:val="21"/>
      <w:lang w:val="en-US" w:eastAsia="zh-CN" w:bidi="ar-SA"/>
    </w:rPr>
  </w:style>
  <w:style w:type="paragraph" w:customStyle="1" w:styleId="15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9">
    <w:name w:val="标准文件_术语条一"/>
    <w:basedOn w:val="160"/>
    <w:next w:val="158"/>
    <w:qFormat/>
    <w:uiPriority w:val="0"/>
  </w:style>
  <w:style w:type="paragraph" w:customStyle="1" w:styleId="160">
    <w:name w:val="标准文件_一级无标题"/>
    <w:basedOn w:val="161"/>
    <w:qFormat/>
    <w:uiPriority w:val="0"/>
    <w:pPr>
      <w:spacing w:beforeLines="0" w:afterLines="0"/>
      <w:outlineLvl w:val="9"/>
    </w:pPr>
    <w:rPr>
      <w:rFonts w:ascii="宋体" w:eastAsia="宋体"/>
    </w:rPr>
  </w:style>
  <w:style w:type="paragraph" w:customStyle="1" w:styleId="161">
    <w:name w:val="标准文件_一级条标题"/>
    <w:basedOn w:val="162"/>
    <w:next w:val="158"/>
    <w:qFormat/>
    <w:uiPriority w:val="0"/>
    <w:pPr>
      <w:numPr>
        <w:ilvl w:val="2"/>
      </w:numPr>
      <w:spacing w:beforeLines="50" w:afterLines="50"/>
      <w:outlineLvl w:val="1"/>
    </w:pPr>
  </w:style>
  <w:style w:type="paragraph" w:customStyle="1" w:styleId="162">
    <w:name w:val="标准文件_章标题"/>
    <w:next w:val="158"/>
    <w:qFormat/>
    <w:uiPriority w:val="0"/>
    <w:pPr>
      <w:numPr>
        <w:ilvl w:val="1"/>
        <w:numId w:val="20"/>
      </w:numPr>
      <w:spacing w:beforeLines="100" w:afterLines="100"/>
      <w:jc w:val="both"/>
      <w:outlineLvl w:val="0"/>
    </w:pPr>
    <w:rPr>
      <w:rFonts w:ascii="黑体" w:hAnsi="Times New Roman" w:eastAsia="黑体" w:cs="Times New Roman"/>
      <w:sz w:val="21"/>
      <w:lang w:val="en-US" w:eastAsia="zh-CN" w:bidi="ar-SA"/>
    </w:rPr>
  </w:style>
  <w:style w:type="paragraph" w:customStyle="1" w:styleId="163">
    <w:name w:val="标准文件_二级无标题"/>
    <w:basedOn w:val="164"/>
    <w:qFormat/>
    <w:uiPriority w:val="0"/>
    <w:pPr>
      <w:spacing w:beforeLines="0" w:afterLines="0"/>
      <w:outlineLvl w:val="9"/>
    </w:pPr>
    <w:rPr>
      <w:rFonts w:ascii="宋体" w:eastAsia="宋体"/>
    </w:rPr>
  </w:style>
  <w:style w:type="paragraph" w:customStyle="1" w:styleId="164">
    <w:name w:val="标准文件_二级条标题"/>
    <w:next w:val="158"/>
    <w:qFormat/>
    <w:uiPriority w:val="0"/>
    <w:pPr>
      <w:widowControl w:val="0"/>
      <w:numPr>
        <w:ilvl w:val="3"/>
        <w:numId w:val="20"/>
      </w:numPr>
      <w:spacing w:beforeLines="50" w:afterLines="50"/>
      <w:jc w:val="both"/>
      <w:outlineLvl w:val="2"/>
    </w:pPr>
    <w:rPr>
      <w:rFonts w:ascii="黑体" w:hAnsi="Times New Roman" w:eastAsia="黑体" w:cs="Times New Roman"/>
      <w:sz w:val="21"/>
      <w:lang w:val="en-US" w:eastAsia="zh-CN" w:bidi="ar-SA"/>
    </w:rPr>
  </w:style>
  <w:style w:type="paragraph" w:customStyle="1" w:styleId="165">
    <w:name w:val="标准文件_附录标识"/>
    <w:next w:val="158"/>
    <w:qFormat/>
    <w:uiPriority w:val="0"/>
    <w:pPr>
      <w:numPr>
        <w:ilvl w:val="0"/>
        <w:numId w:val="21"/>
      </w:numPr>
      <w:shd w:val="clear" w:color="FFFFFF" w:fill="FFFFFF"/>
      <w:spacing w:beforeLines="25" w:afterLines="50"/>
      <w:jc w:val="center"/>
      <w:outlineLvl w:val="0"/>
    </w:pPr>
    <w:rPr>
      <w:rFonts w:ascii="黑体" w:hAnsi="Times New Roman" w:eastAsia="黑体" w:cs="Times New Roman"/>
      <w:sz w:val="21"/>
      <w:lang w:val="en-US" w:eastAsia="zh-CN" w:bidi="ar-SA"/>
    </w:rPr>
  </w:style>
  <w:style w:type="paragraph" w:customStyle="1" w:styleId="166">
    <w:name w:val="标准文件_附录一级条标题"/>
    <w:next w:val="158"/>
    <w:qFormat/>
    <w:uiPriority w:val="0"/>
    <w:pPr>
      <w:widowControl w:val="0"/>
      <w:numPr>
        <w:ilvl w:val="1"/>
        <w:numId w:val="21"/>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167">
    <w:name w:val="标准文件_附录二级条标题"/>
    <w:basedOn w:val="166"/>
    <w:next w:val="158"/>
    <w:qFormat/>
    <w:uiPriority w:val="0"/>
    <w:pPr>
      <w:widowControl/>
      <w:numPr>
        <w:ilvl w:val="2"/>
      </w:numPr>
      <w:wordWrap w:val="0"/>
      <w:overflowPunct w:val="0"/>
      <w:autoSpaceDE w:val="0"/>
      <w:autoSpaceDN w:val="0"/>
      <w:textAlignment w:val="baseline"/>
      <w:outlineLvl w:val="3"/>
    </w:pPr>
  </w:style>
  <w:style w:type="paragraph" w:customStyle="1" w:styleId="168">
    <w:name w:val="标准文件_三级无标题"/>
    <w:basedOn w:val="169"/>
    <w:qFormat/>
    <w:uiPriority w:val="0"/>
    <w:pPr>
      <w:spacing w:beforeLines="0" w:afterLines="0"/>
      <w:outlineLvl w:val="9"/>
    </w:pPr>
    <w:rPr>
      <w:rFonts w:ascii="宋体" w:eastAsia="宋体"/>
    </w:rPr>
  </w:style>
  <w:style w:type="paragraph" w:customStyle="1" w:styleId="169">
    <w:name w:val="标准文件_三级条标题"/>
    <w:basedOn w:val="164"/>
    <w:next w:val="158"/>
    <w:qFormat/>
    <w:uiPriority w:val="0"/>
    <w:pPr>
      <w:widowControl/>
      <w:numPr>
        <w:ilvl w:val="4"/>
      </w:numPr>
      <w:outlineLvl w:val="3"/>
    </w:pPr>
  </w:style>
  <w:style w:type="paragraph" w:customStyle="1" w:styleId="170">
    <w:name w:val="样式 仿宋_GB2312 三号1"/>
    <w:basedOn w:val="1"/>
    <w:qFormat/>
    <w:uiPriority w:val="99"/>
    <w:pPr>
      <w:ind w:firstLine="622" w:firstLineChars="200"/>
    </w:pPr>
    <w:rPr>
      <w:rFonts w:eastAsia="仿宋_GB2312" w:cs="宋体"/>
      <w:sz w:val="32"/>
      <w:szCs w:val="20"/>
      <w:lang w:bidi="en-US"/>
    </w:rPr>
  </w:style>
  <w:style w:type="character" w:customStyle="1" w:styleId="171">
    <w:name w:val="批注文字 字符"/>
    <w:basedOn w:val="40"/>
    <w:link w:val="12"/>
    <w:qFormat/>
    <w:uiPriority w:val="99"/>
    <w:rPr>
      <w:kern w:val="2"/>
      <w:sz w:val="21"/>
      <w:szCs w:val="24"/>
    </w:rPr>
  </w:style>
  <w:style w:type="character" w:customStyle="1" w:styleId="172">
    <w:name w:val="批注主题 字符"/>
    <w:basedOn w:val="171"/>
    <w:link w:val="37"/>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7827;&#21271;&#30465;&#22320;&#26041;&#26631;&#20934;&#65288;&#24066;&#22330;&#23616;%202020&#29256;&#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dk1"/>
        </a:lnRef>
        <a:fillRef idx="1">
          <a:schemeClr val="lt1"/>
        </a:fillRef>
        <a:effectRef idx="0">
          <a:schemeClr val="dk1"/>
        </a:effectRef>
        <a:fontRef idx="minor">
          <a:schemeClr val="dk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903B03-1B5F-47FA-821D-DD0FCF3A9A39}">
  <ds:schemaRefs/>
</ds:datastoreItem>
</file>

<file path=docProps/app.xml><?xml version="1.0" encoding="utf-8"?>
<Properties xmlns="http://schemas.openxmlformats.org/officeDocument/2006/extended-properties" xmlns:vt="http://schemas.openxmlformats.org/officeDocument/2006/docPropsVTypes">
  <Template>河北省地方标准（市场局 2020版）</Template>
  <Pages>12</Pages>
  <Words>1860</Words>
  <Characters>2342</Characters>
  <Lines>78</Lines>
  <Paragraphs>22</Paragraphs>
  <TotalTime>2</TotalTime>
  <ScaleCrop>false</ScaleCrop>
  <LinksUpToDate>false</LinksUpToDate>
  <CharactersWithSpaces>2600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2026-03-23T06:45:00Z</dcterms:created>
  <dc:creator>笙歌绝，何以笙箫默</dc:creator>
  <cp:lastModifiedBy>think</cp:lastModifiedBy>
  <cp:lastPrinted>2025-04-21T06:55:00Z</cp:lastPrinted>
  <dcterms:modified xsi:type="dcterms:W3CDTF">2026-03-25T02:15:30Z</dcterms:modified>
  <dc:title>标准名称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70B713A5C9B94A7D97C53CC4DE894408_13</vt:lpwstr>
  </property>
</Properties>
</file>