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DDF196">
      <w:pPr>
        <w:pStyle w:val="79"/>
        <w:jc w:val="both"/>
        <w:rPr>
          <w:sz w:val="21"/>
          <w:szCs w:val="21"/>
        </w:rPr>
      </w:pPr>
      <w:bookmarkStart w:id="416" w:name="_GoBack"/>
      <w:bookmarkEnd w:id="416"/>
      <w:bookmarkStart w:id="0" w:name="_Toc204389102"/>
      <w:bookmarkStart w:id="1" w:name="_Toc218656356"/>
      <w:bookmarkStart w:id="2" w:name="_Toc225205328"/>
      <w:r>
        <w:rPr>
          <w:rFonts w:hint="eastAsia"/>
          <w:sz w:val="21"/>
          <w:szCs w:val="21"/>
        </w:rPr>
        <w:t>ICS XX.XX</w:t>
      </w:r>
      <w:bookmarkEnd w:id="0"/>
      <w:bookmarkEnd w:id="1"/>
      <w:bookmarkEnd w:id="2"/>
    </w:p>
    <w:p w14:paraId="0489EEF9">
      <w:pPr>
        <w:pStyle w:val="39"/>
        <w:ind w:firstLine="0" w:firstLineChars="0"/>
      </w:pPr>
      <w:r>
        <w:rPr>
          <w:rFonts w:hint="eastAsia"/>
        </w:rPr>
        <w:t>XXX</w:t>
      </w:r>
    </w:p>
    <w:p w14:paraId="3AA17404">
      <w:pPr>
        <w:pStyle w:val="39"/>
        <w:ind w:firstLine="0" w:firstLineChars="0"/>
        <w:jc w:val="distribute"/>
        <w:rPr>
          <w:rFonts w:hint="eastAsia" w:ascii="黑体" w:hAnsi="黑体" w:eastAsia="黑体"/>
          <w:sz w:val="48"/>
          <w:szCs w:val="48"/>
        </w:rPr>
      </w:pPr>
      <w:r>
        <w:rPr>
          <w:rFonts w:hint="eastAsia" w:ascii="黑体" w:hAnsi="黑体" w:eastAsia="黑体"/>
          <w:sz w:val="48"/>
          <w:szCs w:val="48"/>
        </w:rPr>
        <w:t>团体标准</w:t>
      </w:r>
    </w:p>
    <w:p w14:paraId="5EEC81B6">
      <w:pPr>
        <w:pStyle w:val="39"/>
        <w:wordWrap w:val="0"/>
        <w:ind w:firstLine="0" w:firstLineChars="0"/>
        <w:jc w:val="right"/>
        <w:rPr>
          <w:rFonts w:hint="eastAsia" w:hAnsi="宋体"/>
          <w:sz w:val="28"/>
          <w:szCs w:val="28"/>
        </w:rPr>
      </w:pPr>
      <w:r>
        <w:rPr>
          <w:rFonts w:ascii="Times New Roman"/>
          <w:sz w:val="28"/>
          <w:szCs w:val="28"/>
        </w:rPr>
        <w:t>T/</w:t>
      </w:r>
      <w:r>
        <w:rPr>
          <w:rFonts w:hint="eastAsia" w:ascii="Times New Roman"/>
          <w:sz w:val="28"/>
          <w:szCs w:val="28"/>
        </w:rPr>
        <w:t xml:space="preserve">CAGHPER </w:t>
      </w:r>
      <w:r>
        <w:rPr>
          <w:rFonts w:hint="eastAsia" w:hAnsi="宋体"/>
          <w:sz w:val="28"/>
          <w:szCs w:val="28"/>
        </w:rPr>
        <w:t>XXX—XXXX</w:t>
      </w:r>
    </w:p>
    <w:p w14:paraId="32390F2A">
      <w:pPr>
        <w:pStyle w:val="39"/>
        <w:ind w:firstLine="0" w:firstLineChars="0"/>
        <w:jc w:val="right"/>
        <w:rPr>
          <w:rFonts w:ascii="Times New Roman"/>
          <w:szCs w:val="21"/>
        </w:rPr>
      </w:pPr>
    </w:p>
    <w:tbl>
      <w:tblPr>
        <w:tblStyle w:val="15"/>
        <w:tblW w:w="0" w:type="auto"/>
        <w:tblInd w:w="0" w:type="dxa"/>
        <w:tblBorders>
          <w:top w:val="single" w:color="000000" w:sz="4"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571"/>
      </w:tblGrid>
      <w:tr w14:paraId="07F58DAC">
        <w:tblPrEx>
          <w:tblBorders>
            <w:top w:val="single" w:color="000000"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1" w:type="dxa"/>
          </w:tcPr>
          <w:p w14:paraId="52079540">
            <w:pPr>
              <w:pStyle w:val="39"/>
              <w:ind w:firstLine="0" w:firstLineChars="0"/>
              <w:rPr>
                <w:rFonts w:hint="eastAsia" w:ascii="黑体" w:hAnsi="黑体" w:eastAsia="黑体"/>
                <w:sz w:val="48"/>
                <w:szCs w:val="48"/>
              </w:rPr>
            </w:pPr>
          </w:p>
        </w:tc>
      </w:tr>
    </w:tbl>
    <w:p w14:paraId="7248B5A8">
      <w:pPr>
        <w:pStyle w:val="39"/>
        <w:ind w:firstLine="0" w:firstLineChars="0"/>
        <w:jc w:val="distribute"/>
        <w:rPr>
          <w:rFonts w:hint="eastAsia" w:ascii="黑体" w:hAnsi="黑体" w:eastAsia="黑体"/>
          <w:sz w:val="48"/>
          <w:szCs w:val="48"/>
        </w:rPr>
      </w:pPr>
    </w:p>
    <w:p w14:paraId="6A6DD462">
      <w:pPr>
        <w:pStyle w:val="39"/>
        <w:ind w:firstLine="0" w:firstLineChars="0"/>
        <w:jc w:val="distribute"/>
        <w:rPr>
          <w:rFonts w:hint="eastAsia" w:ascii="黑体" w:hAnsi="黑体" w:eastAsia="黑体"/>
          <w:sz w:val="48"/>
          <w:szCs w:val="48"/>
        </w:rPr>
      </w:pPr>
    </w:p>
    <w:p w14:paraId="1279923D">
      <w:pPr>
        <w:pStyle w:val="39"/>
        <w:ind w:firstLine="0" w:firstLineChars="0"/>
        <w:jc w:val="center"/>
        <w:rPr>
          <w:rFonts w:hint="eastAsia" w:ascii="黑体" w:hAnsi="黑体" w:eastAsia="黑体"/>
          <w:sz w:val="52"/>
          <w:szCs w:val="52"/>
        </w:rPr>
      </w:pPr>
      <w:r>
        <w:rPr>
          <w:rFonts w:hint="eastAsia" w:ascii="黑体" w:hAnsi="黑体" w:eastAsia="黑体"/>
          <w:sz w:val="52"/>
          <w:szCs w:val="52"/>
        </w:rPr>
        <w:t>生产矿山生态环境监测技术规范</w:t>
      </w:r>
    </w:p>
    <w:p w14:paraId="5CEBF172">
      <w:pPr>
        <w:pStyle w:val="39"/>
        <w:ind w:firstLine="0" w:firstLineChars="0"/>
        <w:jc w:val="center"/>
        <w:rPr>
          <w:rFonts w:hint="eastAsia" w:ascii="黑体" w:hAnsi="黑体" w:eastAsia="黑体"/>
          <w:sz w:val="52"/>
          <w:szCs w:val="52"/>
        </w:rPr>
      </w:pPr>
      <w:r>
        <w:rPr>
          <w:rFonts w:hint="eastAsia" w:ascii="黑体" w:hAnsi="黑体" w:eastAsia="黑体"/>
          <w:sz w:val="52"/>
          <w:szCs w:val="52"/>
        </w:rPr>
        <w:t>（稀土矿山）</w:t>
      </w:r>
    </w:p>
    <w:p w14:paraId="629A8099">
      <w:pPr>
        <w:pStyle w:val="39"/>
        <w:ind w:firstLine="0" w:firstLineChars="0"/>
        <w:jc w:val="center"/>
        <w:rPr>
          <w:rFonts w:ascii="Times New Roman"/>
          <w:sz w:val="28"/>
          <w:szCs w:val="28"/>
        </w:rPr>
      </w:pPr>
      <w:r>
        <w:rPr>
          <w:rFonts w:ascii="黑体" w:hAnsi="黑体" w:eastAsia="黑体"/>
          <w:sz w:val="28"/>
          <w:szCs w:val="28"/>
        </w:rPr>
        <w:t>Technical Specification for Ecological Environment Monitoring of Production Mines (Rare Earth Mines)</w:t>
      </w:r>
    </w:p>
    <w:p w14:paraId="5C4453C8">
      <w:pPr>
        <w:pStyle w:val="39"/>
        <w:ind w:firstLine="0" w:firstLineChars="0"/>
        <w:jc w:val="center"/>
        <w:rPr>
          <w:rFonts w:hint="eastAsia" w:hAnsi="宋体"/>
          <w:szCs w:val="21"/>
        </w:rPr>
      </w:pPr>
      <w:r>
        <w:rPr>
          <w:rFonts w:hint="eastAsia" w:hAnsi="宋体"/>
          <w:szCs w:val="21"/>
        </w:rPr>
        <w:t>（征求意见稿）</w:t>
      </w:r>
    </w:p>
    <w:p w14:paraId="444F1691">
      <w:pPr>
        <w:pStyle w:val="39"/>
        <w:ind w:firstLine="0" w:firstLineChars="0"/>
        <w:jc w:val="center"/>
        <w:rPr>
          <w:rFonts w:ascii="Times New Roman" w:eastAsia="黑体"/>
          <w:sz w:val="28"/>
          <w:szCs w:val="28"/>
        </w:rPr>
      </w:pPr>
    </w:p>
    <w:p w14:paraId="29219CA2">
      <w:pPr>
        <w:pStyle w:val="39"/>
        <w:ind w:firstLine="0" w:firstLineChars="0"/>
        <w:jc w:val="center"/>
        <w:rPr>
          <w:rFonts w:ascii="Times New Roman" w:eastAsia="黑体"/>
          <w:sz w:val="28"/>
          <w:szCs w:val="28"/>
        </w:rPr>
      </w:pPr>
    </w:p>
    <w:p w14:paraId="0982B22B">
      <w:pPr>
        <w:pStyle w:val="39"/>
        <w:ind w:firstLine="0" w:firstLineChars="0"/>
        <w:jc w:val="center"/>
        <w:rPr>
          <w:rFonts w:ascii="Times New Roman" w:eastAsia="黑体"/>
          <w:sz w:val="28"/>
          <w:szCs w:val="28"/>
        </w:rPr>
      </w:pPr>
    </w:p>
    <w:p w14:paraId="75F9E1C0">
      <w:pPr>
        <w:pStyle w:val="39"/>
        <w:ind w:firstLine="0" w:firstLineChars="0"/>
        <w:jc w:val="center"/>
        <w:rPr>
          <w:rFonts w:ascii="Times New Roman" w:eastAsia="黑体"/>
          <w:sz w:val="28"/>
          <w:szCs w:val="28"/>
        </w:rPr>
      </w:pPr>
    </w:p>
    <w:p w14:paraId="0E56838E">
      <w:pPr>
        <w:pStyle w:val="39"/>
        <w:ind w:firstLine="0" w:firstLineChars="0"/>
        <w:jc w:val="center"/>
        <w:rPr>
          <w:rFonts w:ascii="Times New Roman" w:eastAsia="黑体"/>
          <w:sz w:val="28"/>
          <w:szCs w:val="28"/>
        </w:rPr>
      </w:pPr>
    </w:p>
    <w:p w14:paraId="28019B5B">
      <w:pPr>
        <w:pStyle w:val="39"/>
        <w:ind w:firstLine="0" w:firstLineChars="0"/>
        <w:rPr>
          <w:rFonts w:ascii="Times New Roman" w:eastAsia="黑体"/>
          <w:sz w:val="28"/>
          <w:szCs w:val="28"/>
        </w:rPr>
      </w:pPr>
    </w:p>
    <w:tbl>
      <w:tblPr>
        <w:tblStyle w:val="15"/>
        <w:tblW w:w="0" w:type="auto"/>
        <w:tblInd w:w="0" w:type="dxa"/>
        <w:tblBorders>
          <w:top w:val="none" w:color="auto" w:sz="0" w:space="0"/>
          <w:left w:val="none" w:color="auto" w:sz="0" w:space="0"/>
          <w:bottom w:val="single" w:color="000000"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571"/>
      </w:tblGrid>
      <w:tr w14:paraId="1BF155E2">
        <w:tblPrEx>
          <w:tblBorders>
            <w:top w:val="none" w:color="auto" w:sz="0"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1" w:type="dxa"/>
          </w:tcPr>
          <w:p w14:paraId="60B1B172">
            <w:pPr>
              <w:pStyle w:val="39"/>
              <w:ind w:firstLine="0" w:firstLineChars="0"/>
              <w:rPr>
                <w:rFonts w:hint="eastAsia" w:ascii="黑体" w:hAnsi="黑体" w:eastAsia="黑体"/>
                <w:sz w:val="28"/>
                <w:szCs w:val="28"/>
              </w:rPr>
            </w:pPr>
            <w:r>
              <w:rPr>
                <w:rFonts w:hint="eastAsia" w:ascii="黑体" w:hAnsi="黑体" w:eastAsia="黑体"/>
                <w:sz w:val="28"/>
                <w:szCs w:val="28"/>
              </w:rPr>
              <w:t xml:space="preserve">XXXX-XX-XX发布 </w:t>
            </w:r>
            <w:r>
              <w:rPr>
                <w:rFonts w:ascii="黑体" w:hAnsi="黑体" w:eastAsia="黑体"/>
                <w:sz w:val="28"/>
                <w:szCs w:val="28"/>
              </w:rPr>
              <w:t xml:space="preserve">          </w:t>
            </w:r>
            <w:r>
              <w:rPr>
                <w:rFonts w:hint="eastAsia" w:ascii="黑体" w:hAnsi="黑体" w:eastAsia="黑体"/>
                <w:sz w:val="28"/>
                <w:szCs w:val="28"/>
              </w:rPr>
              <w:t xml:space="preserve">                           XXXX-XX-XX实施</w:t>
            </w:r>
          </w:p>
        </w:tc>
      </w:tr>
    </w:tbl>
    <w:p w14:paraId="14786F0F">
      <w:pPr>
        <w:pStyle w:val="39"/>
        <w:ind w:firstLine="560"/>
        <w:jc w:val="center"/>
      </w:pPr>
      <w:r>
        <w:rPr>
          <w:rFonts w:hint="eastAsia" w:ascii="Times New Roman" w:eastAsia="黑体"/>
          <w:sz w:val="28"/>
          <w:szCs w:val="28"/>
        </w:rPr>
        <w:t>中国地质灾害防治与生态修复协会  发布</w:t>
      </w:r>
    </w:p>
    <w:p w14:paraId="6B494F83">
      <w:pPr>
        <w:tabs>
          <w:tab w:val="left" w:pos="3528"/>
        </w:tabs>
        <w:rPr>
          <w:rFonts w:hint="eastAsia"/>
        </w:rPr>
        <w:sectPr>
          <w:headerReference r:id="rId5" w:type="first"/>
          <w:footerReference r:id="rId8" w:type="first"/>
          <w:headerReference r:id="rId3" w:type="default"/>
          <w:footerReference r:id="rId6" w:type="default"/>
          <w:headerReference r:id="rId4" w:type="even"/>
          <w:footerReference r:id="rId7" w:type="even"/>
          <w:pgSz w:w="11906" w:h="16838"/>
          <w:pgMar w:top="1029" w:right="1416" w:bottom="1440" w:left="1134" w:header="1418" w:footer="372" w:gutter="0"/>
          <w:cols w:space="425" w:num="1"/>
          <w:formProt w:val="0"/>
          <w:docGrid w:type="lines" w:linePitch="312" w:charSpace="0"/>
        </w:sectPr>
      </w:pPr>
    </w:p>
    <w:p w14:paraId="767C5636">
      <w:pPr>
        <w:pStyle w:val="79"/>
      </w:pPr>
      <w:bookmarkStart w:id="3" w:name="_Toc104298528"/>
      <w:bookmarkStart w:id="4" w:name="_Toc104327278"/>
      <w:bookmarkStart w:id="5" w:name="_Toc152342160"/>
      <w:bookmarkStart w:id="6" w:name="_Toc218656357"/>
      <w:bookmarkStart w:id="7" w:name="_Toc225205329"/>
      <w:bookmarkStart w:id="8" w:name="_Toc204389103"/>
      <w:r>
        <w:rPr>
          <w:rFonts w:hint="eastAsia"/>
        </w:rPr>
        <w:t xml:space="preserve">目  </w:t>
      </w:r>
      <w:r>
        <w:t xml:space="preserve">  </w:t>
      </w:r>
      <w:r>
        <w:rPr>
          <w:rFonts w:hint="eastAsia"/>
        </w:rPr>
        <w:t>次</w:t>
      </w:r>
      <w:bookmarkEnd w:id="3"/>
      <w:bookmarkEnd w:id="4"/>
      <w:bookmarkEnd w:id="5"/>
      <w:bookmarkEnd w:id="6"/>
      <w:bookmarkEnd w:id="7"/>
      <w:bookmarkEnd w:id="8"/>
    </w:p>
    <w:sdt>
      <w:sdtPr>
        <w:rPr>
          <w:lang w:val="zh-CN"/>
        </w:rPr>
        <w:id w:val="1582181200"/>
        <w:docPartObj>
          <w:docPartGallery w:val="Table of Contents"/>
          <w:docPartUnique/>
        </w:docPartObj>
      </w:sdtPr>
      <w:sdtEndPr>
        <w:rPr>
          <w:b/>
          <w:bCs/>
          <w:lang w:val="zh-CN"/>
        </w:rPr>
      </w:sdtEndPr>
      <w:sdtContent>
        <w:p w14:paraId="330DAD9C">
          <w:pPr>
            <w:pStyle w:val="12"/>
            <w:ind w:firstLine="420" w:firstLineChars="200"/>
            <w:rPr>
              <w:rFonts w:hint="eastAsia"/>
              <w14:ligatures w14:val="standardContextual"/>
            </w:rPr>
          </w:pPr>
          <w:r>
            <w:rPr>
              <w:rFonts w:asciiTheme="majorHAnsi" w:hAnsiTheme="majorHAnsi" w:eastAsiaTheme="majorEastAsia" w:cstheme="majorBidi"/>
              <w:color w:val="2E75B6" w:themeColor="accent1" w:themeShade="BF"/>
              <w:kern w:val="0"/>
            </w:rPr>
            <w:fldChar w:fldCharType="begin"/>
          </w:r>
          <w:r>
            <w:instrText xml:space="preserve"> TOC \o "1-3" \h \z \u </w:instrText>
          </w:r>
          <w:r>
            <w:rPr>
              <w:rFonts w:asciiTheme="majorHAnsi" w:hAnsiTheme="majorHAnsi" w:eastAsiaTheme="majorEastAsia" w:cstheme="majorBidi"/>
              <w:color w:val="2E75B6" w:themeColor="accent1" w:themeShade="BF"/>
              <w:kern w:val="0"/>
            </w:rPr>
            <w:fldChar w:fldCharType="separate"/>
          </w:r>
          <w:r>
            <w:fldChar w:fldCharType="begin"/>
          </w:r>
          <w:r>
            <w:instrText xml:space="preserve"> HYPERLINK \l "_Toc225205330" </w:instrText>
          </w:r>
          <w:r>
            <w:fldChar w:fldCharType="separate"/>
          </w:r>
          <w:r>
            <w:rPr>
              <w:rStyle w:val="17"/>
              <w:rFonts w:hint="eastAsia"/>
              <w:szCs w:val="21"/>
            </w:rPr>
            <w:t>前言</w:t>
          </w:r>
          <w:r>
            <w:rPr>
              <w:rFonts w:hint="eastAsia"/>
            </w:rPr>
            <w:tab/>
          </w:r>
          <w:r>
            <w:rPr>
              <w:rFonts w:hint="eastAsia"/>
            </w:rPr>
            <w:fldChar w:fldCharType="begin"/>
          </w:r>
          <w:r>
            <w:rPr>
              <w:rFonts w:hint="eastAsia"/>
            </w:rPr>
            <w:instrText xml:space="preserve"> </w:instrText>
          </w:r>
          <w:r>
            <w:instrText xml:space="preserve">PAGEREF _Toc225205330 \h</w:instrText>
          </w:r>
          <w:r>
            <w:rPr>
              <w:rFonts w:hint="eastAsia"/>
            </w:rPr>
            <w:instrText xml:space="preserve"> </w:instrText>
          </w:r>
          <w:r>
            <w:rPr>
              <w:rFonts w:hint="eastAsia"/>
            </w:rPr>
            <w:fldChar w:fldCharType="separate"/>
          </w:r>
          <w:r>
            <w:rPr>
              <w:rFonts w:hint="eastAsia"/>
            </w:rPr>
            <w:t>1</w:t>
          </w:r>
          <w:r>
            <w:rPr>
              <w:rFonts w:hint="eastAsia"/>
            </w:rPr>
            <w:fldChar w:fldCharType="end"/>
          </w:r>
          <w:r>
            <w:rPr>
              <w:rFonts w:hint="eastAsia"/>
            </w:rPr>
            <w:fldChar w:fldCharType="end"/>
          </w:r>
        </w:p>
        <w:p w14:paraId="2EC9F58A">
          <w:pPr>
            <w:pStyle w:val="12"/>
            <w:ind w:firstLine="420" w:firstLineChars="200"/>
            <w:rPr>
              <w:rFonts w:hint="eastAsia"/>
              <w14:ligatures w14:val="standardContextual"/>
            </w:rPr>
          </w:pPr>
          <w:r>
            <w:fldChar w:fldCharType="begin"/>
          </w:r>
          <w:r>
            <w:instrText xml:space="preserve"> HYPERLINK \l "_Toc225205331" </w:instrText>
          </w:r>
          <w:r>
            <w:fldChar w:fldCharType="separate"/>
          </w:r>
          <w:r>
            <w:rPr>
              <w:rStyle w:val="17"/>
              <w:rFonts w:hint="eastAsia"/>
              <w:szCs w:val="21"/>
            </w:rPr>
            <w:t>引言</w:t>
          </w:r>
          <w:r>
            <w:rPr>
              <w:rFonts w:hint="eastAsia"/>
            </w:rPr>
            <w:tab/>
          </w:r>
          <w:r>
            <w:rPr>
              <w:rFonts w:hint="eastAsia"/>
            </w:rPr>
            <w:fldChar w:fldCharType="begin"/>
          </w:r>
          <w:r>
            <w:rPr>
              <w:rFonts w:hint="eastAsia"/>
            </w:rPr>
            <w:instrText xml:space="preserve"> </w:instrText>
          </w:r>
          <w:r>
            <w:instrText xml:space="preserve">PAGEREF _Toc225205331 \h</w:instrText>
          </w:r>
          <w:r>
            <w:rPr>
              <w:rFonts w:hint="eastAsia"/>
            </w:rPr>
            <w:instrText xml:space="preserve"> </w:instrText>
          </w:r>
          <w:r>
            <w:rPr>
              <w:rFonts w:hint="eastAsia"/>
            </w:rPr>
            <w:fldChar w:fldCharType="separate"/>
          </w:r>
          <w:r>
            <w:rPr>
              <w:rFonts w:hint="eastAsia"/>
            </w:rPr>
            <w:t>2</w:t>
          </w:r>
          <w:r>
            <w:rPr>
              <w:rFonts w:hint="eastAsia"/>
            </w:rPr>
            <w:fldChar w:fldCharType="end"/>
          </w:r>
          <w:r>
            <w:rPr>
              <w:rFonts w:hint="eastAsia"/>
            </w:rPr>
            <w:fldChar w:fldCharType="end"/>
          </w:r>
        </w:p>
        <w:p w14:paraId="129D2178">
          <w:pPr>
            <w:pStyle w:val="13"/>
            <w:tabs>
              <w:tab w:val="left" w:pos="630"/>
              <w:tab w:val="right" w:leader="dot" w:pos="9345"/>
            </w:tabs>
            <w:rPr>
              <w:rFonts w:hint="eastAsia"/>
              <w:szCs w:val="21"/>
              <w14:ligatures w14:val="standardContextual"/>
            </w:rPr>
          </w:pPr>
          <w:r>
            <w:fldChar w:fldCharType="begin"/>
          </w:r>
          <w:r>
            <w:instrText xml:space="preserve"> HYPERLINK \l "_Toc225205333" </w:instrText>
          </w:r>
          <w:r>
            <w:fldChar w:fldCharType="separate"/>
          </w:r>
          <w:r>
            <w:rPr>
              <w:rStyle w:val="17"/>
              <w:rFonts w:hint="eastAsia"/>
              <w:szCs w:val="21"/>
            </w:rPr>
            <w:t>1</w:t>
          </w:r>
          <w:r>
            <w:rPr>
              <w:rFonts w:hint="eastAsia"/>
              <w:szCs w:val="21"/>
              <w14:ligatures w14:val="standardContextual"/>
            </w:rPr>
            <w:tab/>
          </w:r>
          <w:r>
            <w:rPr>
              <w:rStyle w:val="17"/>
              <w:rFonts w:hint="eastAsia"/>
              <w:szCs w:val="21"/>
            </w:rPr>
            <w:t>范围</w:t>
          </w:r>
          <w:r>
            <w:rPr>
              <w:rFonts w:hint="eastAsia"/>
              <w:szCs w:val="21"/>
            </w:rPr>
            <w:tab/>
          </w:r>
          <w:r>
            <w:rPr>
              <w:rFonts w:hint="eastAsia"/>
              <w:szCs w:val="21"/>
            </w:rPr>
            <w:fldChar w:fldCharType="begin"/>
          </w:r>
          <w:r>
            <w:rPr>
              <w:rFonts w:hint="eastAsia"/>
              <w:szCs w:val="21"/>
            </w:rPr>
            <w:instrText xml:space="preserve"> </w:instrText>
          </w:r>
          <w:r>
            <w:rPr>
              <w:szCs w:val="21"/>
            </w:rPr>
            <w:instrText xml:space="preserve">PAGEREF _Toc225205333 \h</w:instrText>
          </w:r>
          <w:r>
            <w:rPr>
              <w:rFonts w:hint="eastAsia"/>
              <w:szCs w:val="21"/>
            </w:rPr>
            <w:instrText xml:space="preserve"> </w:instrText>
          </w:r>
          <w:r>
            <w:rPr>
              <w:rFonts w:hint="eastAsia"/>
              <w:szCs w:val="21"/>
            </w:rPr>
            <w:fldChar w:fldCharType="separate"/>
          </w:r>
          <w:r>
            <w:rPr>
              <w:rFonts w:hint="eastAsia"/>
              <w:szCs w:val="21"/>
            </w:rPr>
            <w:t>3</w:t>
          </w:r>
          <w:r>
            <w:rPr>
              <w:rFonts w:hint="eastAsia"/>
              <w:szCs w:val="21"/>
            </w:rPr>
            <w:fldChar w:fldCharType="end"/>
          </w:r>
          <w:r>
            <w:rPr>
              <w:rFonts w:hint="eastAsia"/>
              <w:szCs w:val="21"/>
            </w:rPr>
            <w:fldChar w:fldCharType="end"/>
          </w:r>
        </w:p>
        <w:p w14:paraId="3119A40E">
          <w:pPr>
            <w:pStyle w:val="13"/>
            <w:tabs>
              <w:tab w:val="left" w:pos="630"/>
              <w:tab w:val="right" w:leader="dot" w:pos="9345"/>
            </w:tabs>
            <w:rPr>
              <w:rFonts w:hint="eastAsia"/>
              <w:szCs w:val="21"/>
              <w14:ligatures w14:val="standardContextual"/>
            </w:rPr>
          </w:pPr>
          <w:r>
            <w:fldChar w:fldCharType="begin"/>
          </w:r>
          <w:r>
            <w:instrText xml:space="preserve"> HYPERLINK \l "_Toc225205334" </w:instrText>
          </w:r>
          <w:r>
            <w:fldChar w:fldCharType="separate"/>
          </w:r>
          <w:r>
            <w:rPr>
              <w:rStyle w:val="17"/>
              <w:rFonts w:hint="eastAsia"/>
              <w:szCs w:val="21"/>
            </w:rPr>
            <w:t>2</w:t>
          </w:r>
          <w:r>
            <w:rPr>
              <w:rFonts w:hint="eastAsia"/>
              <w:szCs w:val="21"/>
              <w14:ligatures w14:val="standardContextual"/>
            </w:rPr>
            <w:tab/>
          </w:r>
          <w:r>
            <w:rPr>
              <w:rStyle w:val="17"/>
              <w:rFonts w:hint="eastAsia"/>
              <w:szCs w:val="21"/>
            </w:rPr>
            <w:t>规范性引用文件</w:t>
          </w:r>
          <w:r>
            <w:rPr>
              <w:rFonts w:hint="eastAsia"/>
              <w:szCs w:val="21"/>
            </w:rPr>
            <w:tab/>
          </w:r>
          <w:r>
            <w:rPr>
              <w:rFonts w:hint="eastAsia"/>
              <w:szCs w:val="21"/>
            </w:rPr>
            <w:fldChar w:fldCharType="begin"/>
          </w:r>
          <w:r>
            <w:rPr>
              <w:rFonts w:hint="eastAsia"/>
              <w:szCs w:val="21"/>
            </w:rPr>
            <w:instrText xml:space="preserve"> </w:instrText>
          </w:r>
          <w:r>
            <w:rPr>
              <w:szCs w:val="21"/>
            </w:rPr>
            <w:instrText xml:space="preserve">PAGEREF _Toc225205334 \h</w:instrText>
          </w:r>
          <w:r>
            <w:rPr>
              <w:rFonts w:hint="eastAsia"/>
              <w:szCs w:val="21"/>
            </w:rPr>
            <w:instrText xml:space="preserve"> </w:instrText>
          </w:r>
          <w:r>
            <w:rPr>
              <w:rFonts w:hint="eastAsia"/>
              <w:szCs w:val="21"/>
            </w:rPr>
            <w:fldChar w:fldCharType="separate"/>
          </w:r>
          <w:r>
            <w:rPr>
              <w:rFonts w:hint="eastAsia"/>
              <w:szCs w:val="21"/>
            </w:rPr>
            <w:t>3</w:t>
          </w:r>
          <w:r>
            <w:rPr>
              <w:rFonts w:hint="eastAsia"/>
              <w:szCs w:val="21"/>
            </w:rPr>
            <w:fldChar w:fldCharType="end"/>
          </w:r>
          <w:r>
            <w:rPr>
              <w:rFonts w:hint="eastAsia"/>
              <w:szCs w:val="21"/>
            </w:rPr>
            <w:fldChar w:fldCharType="end"/>
          </w:r>
        </w:p>
        <w:p w14:paraId="3FB76E0D">
          <w:pPr>
            <w:pStyle w:val="13"/>
            <w:tabs>
              <w:tab w:val="left" w:pos="630"/>
              <w:tab w:val="right" w:leader="dot" w:pos="9345"/>
            </w:tabs>
            <w:rPr>
              <w:rFonts w:hint="eastAsia"/>
              <w:szCs w:val="21"/>
              <w14:ligatures w14:val="standardContextual"/>
            </w:rPr>
          </w:pPr>
          <w:r>
            <w:fldChar w:fldCharType="begin"/>
          </w:r>
          <w:r>
            <w:instrText xml:space="preserve"> HYPERLINK \l "_Toc225205335" </w:instrText>
          </w:r>
          <w:r>
            <w:fldChar w:fldCharType="separate"/>
          </w:r>
          <w:r>
            <w:rPr>
              <w:rStyle w:val="17"/>
              <w:rFonts w:hint="eastAsia"/>
              <w:szCs w:val="21"/>
            </w:rPr>
            <w:t>3</w:t>
          </w:r>
          <w:r>
            <w:rPr>
              <w:rFonts w:hint="eastAsia"/>
              <w:szCs w:val="21"/>
              <w14:ligatures w14:val="standardContextual"/>
            </w:rPr>
            <w:tab/>
          </w:r>
          <w:r>
            <w:rPr>
              <w:rStyle w:val="17"/>
              <w:rFonts w:hint="eastAsia"/>
              <w:szCs w:val="21"/>
            </w:rPr>
            <w:t>术语和定义</w:t>
          </w:r>
          <w:r>
            <w:rPr>
              <w:rFonts w:hint="eastAsia"/>
              <w:szCs w:val="21"/>
            </w:rPr>
            <w:tab/>
          </w:r>
          <w:r>
            <w:rPr>
              <w:rFonts w:hint="eastAsia"/>
              <w:szCs w:val="21"/>
            </w:rPr>
            <w:fldChar w:fldCharType="begin"/>
          </w:r>
          <w:r>
            <w:rPr>
              <w:rFonts w:hint="eastAsia"/>
              <w:szCs w:val="21"/>
            </w:rPr>
            <w:instrText xml:space="preserve"> </w:instrText>
          </w:r>
          <w:r>
            <w:rPr>
              <w:szCs w:val="21"/>
            </w:rPr>
            <w:instrText xml:space="preserve">PAGEREF _Toc225205335 \h</w:instrText>
          </w:r>
          <w:r>
            <w:rPr>
              <w:rFonts w:hint="eastAsia"/>
              <w:szCs w:val="21"/>
            </w:rPr>
            <w:instrText xml:space="preserve"> </w:instrText>
          </w:r>
          <w:r>
            <w:rPr>
              <w:rFonts w:hint="eastAsia"/>
              <w:szCs w:val="21"/>
            </w:rPr>
            <w:fldChar w:fldCharType="separate"/>
          </w:r>
          <w:r>
            <w:rPr>
              <w:rFonts w:hint="eastAsia"/>
              <w:szCs w:val="21"/>
            </w:rPr>
            <w:t>3</w:t>
          </w:r>
          <w:r>
            <w:rPr>
              <w:rFonts w:hint="eastAsia"/>
              <w:szCs w:val="21"/>
            </w:rPr>
            <w:fldChar w:fldCharType="end"/>
          </w:r>
          <w:r>
            <w:rPr>
              <w:rFonts w:hint="eastAsia"/>
              <w:szCs w:val="21"/>
            </w:rPr>
            <w:fldChar w:fldCharType="end"/>
          </w:r>
        </w:p>
        <w:p w14:paraId="522B82B3">
          <w:pPr>
            <w:pStyle w:val="13"/>
            <w:tabs>
              <w:tab w:val="left" w:pos="630"/>
              <w:tab w:val="right" w:leader="dot" w:pos="9345"/>
            </w:tabs>
            <w:rPr>
              <w:rFonts w:hint="eastAsia"/>
              <w:szCs w:val="21"/>
              <w14:ligatures w14:val="standardContextual"/>
            </w:rPr>
          </w:pPr>
          <w:r>
            <w:fldChar w:fldCharType="begin"/>
          </w:r>
          <w:r>
            <w:instrText xml:space="preserve"> HYPERLINK \l "_Toc225205345" </w:instrText>
          </w:r>
          <w:r>
            <w:fldChar w:fldCharType="separate"/>
          </w:r>
          <w:r>
            <w:rPr>
              <w:rStyle w:val="17"/>
              <w:rFonts w:hint="eastAsia"/>
              <w:szCs w:val="21"/>
            </w:rPr>
            <w:t>4</w:t>
          </w:r>
          <w:r>
            <w:rPr>
              <w:rFonts w:hint="eastAsia"/>
              <w:szCs w:val="21"/>
              <w14:ligatures w14:val="standardContextual"/>
            </w:rPr>
            <w:tab/>
          </w:r>
          <w:r>
            <w:rPr>
              <w:rStyle w:val="17"/>
              <w:rFonts w:hint="eastAsia"/>
              <w:szCs w:val="21"/>
            </w:rPr>
            <w:t>总体要求</w:t>
          </w:r>
          <w:r>
            <w:rPr>
              <w:rFonts w:hint="eastAsia"/>
              <w:szCs w:val="21"/>
            </w:rPr>
            <w:tab/>
          </w:r>
          <w:r>
            <w:rPr>
              <w:rFonts w:hint="eastAsia"/>
              <w:szCs w:val="21"/>
            </w:rPr>
            <w:fldChar w:fldCharType="begin"/>
          </w:r>
          <w:r>
            <w:rPr>
              <w:rFonts w:hint="eastAsia"/>
              <w:szCs w:val="21"/>
            </w:rPr>
            <w:instrText xml:space="preserve"> </w:instrText>
          </w:r>
          <w:r>
            <w:rPr>
              <w:szCs w:val="21"/>
            </w:rPr>
            <w:instrText xml:space="preserve">PAGEREF _Toc225205345 \h</w:instrText>
          </w:r>
          <w:r>
            <w:rPr>
              <w:rFonts w:hint="eastAsia"/>
              <w:szCs w:val="21"/>
            </w:rPr>
            <w:instrText xml:space="preserve"> </w:instrText>
          </w:r>
          <w:r>
            <w:rPr>
              <w:rFonts w:hint="eastAsia"/>
              <w:szCs w:val="21"/>
            </w:rPr>
            <w:fldChar w:fldCharType="separate"/>
          </w:r>
          <w:r>
            <w:rPr>
              <w:rFonts w:hint="eastAsia"/>
              <w:szCs w:val="21"/>
            </w:rPr>
            <w:t>4</w:t>
          </w:r>
          <w:r>
            <w:rPr>
              <w:rFonts w:hint="eastAsia"/>
              <w:szCs w:val="21"/>
            </w:rPr>
            <w:fldChar w:fldCharType="end"/>
          </w:r>
          <w:r>
            <w:rPr>
              <w:rFonts w:hint="eastAsia"/>
              <w:szCs w:val="21"/>
            </w:rPr>
            <w:fldChar w:fldCharType="end"/>
          </w:r>
        </w:p>
        <w:p w14:paraId="6A41F28E">
          <w:pPr>
            <w:pStyle w:val="6"/>
            <w:rPr>
              <w:rFonts w:hint="eastAsia"/>
              <w:szCs w:val="21"/>
              <w14:ligatures w14:val="standardContextual"/>
            </w:rPr>
          </w:pPr>
          <w:r>
            <w:fldChar w:fldCharType="begin"/>
          </w:r>
          <w:r>
            <w:instrText xml:space="preserve"> HYPERLINK \l "_Toc225205346" </w:instrText>
          </w:r>
          <w:r>
            <w:fldChar w:fldCharType="separate"/>
          </w:r>
          <w:r>
            <w:rPr>
              <w:rStyle w:val="17"/>
              <w:rFonts w:hint="eastAsia"/>
              <w:szCs w:val="21"/>
            </w:rPr>
            <w:t>4.1 目的任务</w:t>
          </w:r>
          <w:r>
            <w:rPr>
              <w:rFonts w:hint="eastAsia"/>
              <w:szCs w:val="21"/>
            </w:rPr>
            <w:tab/>
          </w:r>
          <w:r>
            <w:rPr>
              <w:rFonts w:hint="eastAsia"/>
              <w:szCs w:val="21"/>
            </w:rPr>
            <w:fldChar w:fldCharType="begin"/>
          </w:r>
          <w:r>
            <w:rPr>
              <w:rFonts w:hint="eastAsia"/>
              <w:szCs w:val="21"/>
            </w:rPr>
            <w:instrText xml:space="preserve"> </w:instrText>
          </w:r>
          <w:r>
            <w:rPr>
              <w:szCs w:val="21"/>
            </w:rPr>
            <w:instrText xml:space="preserve">PAGEREF _Toc225205346 \h</w:instrText>
          </w:r>
          <w:r>
            <w:rPr>
              <w:rFonts w:hint="eastAsia"/>
              <w:szCs w:val="21"/>
            </w:rPr>
            <w:instrText xml:space="preserve"> </w:instrText>
          </w:r>
          <w:r>
            <w:rPr>
              <w:rFonts w:hint="eastAsia"/>
              <w:szCs w:val="21"/>
            </w:rPr>
            <w:fldChar w:fldCharType="separate"/>
          </w:r>
          <w:r>
            <w:rPr>
              <w:rFonts w:hint="eastAsia"/>
              <w:szCs w:val="21"/>
            </w:rPr>
            <w:t>4</w:t>
          </w:r>
          <w:r>
            <w:rPr>
              <w:rFonts w:hint="eastAsia"/>
              <w:szCs w:val="21"/>
            </w:rPr>
            <w:fldChar w:fldCharType="end"/>
          </w:r>
          <w:r>
            <w:rPr>
              <w:rFonts w:hint="eastAsia"/>
              <w:szCs w:val="21"/>
            </w:rPr>
            <w:fldChar w:fldCharType="end"/>
          </w:r>
        </w:p>
        <w:p w14:paraId="7F031024">
          <w:pPr>
            <w:pStyle w:val="6"/>
            <w:rPr>
              <w:rFonts w:hint="eastAsia"/>
              <w:szCs w:val="21"/>
              <w14:ligatures w14:val="standardContextual"/>
            </w:rPr>
          </w:pPr>
          <w:r>
            <w:fldChar w:fldCharType="begin"/>
          </w:r>
          <w:r>
            <w:instrText xml:space="preserve"> HYPERLINK \l "_Toc225205347" </w:instrText>
          </w:r>
          <w:r>
            <w:fldChar w:fldCharType="separate"/>
          </w:r>
          <w:r>
            <w:rPr>
              <w:rStyle w:val="17"/>
              <w:rFonts w:hint="eastAsia"/>
              <w:szCs w:val="21"/>
            </w:rPr>
            <w:t>4.2 基本原则</w:t>
          </w:r>
          <w:r>
            <w:rPr>
              <w:rFonts w:hint="eastAsia"/>
              <w:szCs w:val="21"/>
            </w:rPr>
            <w:tab/>
          </w:r>
          <w:r>
            <w:rPr>
              <w:rFonts w:hint="eastAsia"/>
              <w:szCs w:val="21"/>
            </w:rPr>
            <w:fldChar w:fldCharType="begin"/>
          </w:r>
          <w:r>
            <w:rPr>
              <w:rFonts w:hint="eastAsia"/>
              <w:szCs w:val="21"/>
            </w:rPr>
            <w:instrText xml:space="preserve"> </w:instrText>
          </w:r>
          <w:r>
            <w:rPr>
              <w:szCs w:val="21"/>
            </w:rPr>
            <w:instrText xml:space="preserve">PAGEREF _Toc225205347 \h</w:instrText>
          </w:r>
          <w:r>
            <w:rPr>
              <w:rFonts w:hint="eastAsia"/>
              <w:szCs w:val="21"/>
            </w:rPr>
            <w:instrText xml:space="preserve"> </w:instrText>
          </w:r>
          <w:r>
            <w:rPr>
              <w:rFonts w:hint="eastAsia"/>
              <w:szCs w:val="21"/>
            </w:rPr>
            <w:fldChar w:fldCharType="separate"/>
          </w:r>
          <w:r>
            <w:rPr>
              <w:rFonts w:hint="eastAsia"/>
              <w:szCs w:val="21"/>
            </w:rPr>
            <w:t>4</w:t>
          </w:r>
          <w:r>
            <w:rPr>
              <w:rFonts w:hint="eastAsia"/>
              <w:szCs w:val="21"/>
            </w:rPr>
            <w:fldChar w:fldCharType="end"/>
          </w:r>
          <w:r>
            <w:rPr>
              <w:rFonts w:hint="eastAsia"/>
              <w:szCs w:val="21"/>
            </w:rPr>
            <w:fldChar w:fldCharType="end"/>
          </w:r>
        </w:p>
        <w:p w14:paraId="08CB3961">
          <w:pPr>
            <w:pStyle w:val="6"/>
            <w:rPr>
              <w:rFonts w:hint="eastAsia"/>
              <w:szCs w:val="21"/>
              <w14:ligatures w14:val="standardContextual"/>
            </w:rPr>
          </w:pPr>
          <w:r>
            <w:fldChar w:fldCharType="begin"/>
          </w:r>
          <w:r>
            <w:instrText xml:space="preserve"> HYPERLINK \l "_Toc225205354" </w:instrText>
          </w:r>
          <w:r>
            <w:fldChar w:fldCharType="separate"/>
          </w:r>
          <w:r>
            <w:rPr>
              <w:rStyle w:val="17"/>
              <w:rFonts w:hint="eastAsia"/>
              <w:szCs w:val="21"/>
            </w:rPr>
            <w:t>4.3 监测时序</w:t>
          </w:r>
          <w:r>
            <w:rPr>
              <w:rFonts w:hint="eastAsia"/>
              <w:szCs w:val="21"/>
            </w:rPr>
            <w:tab/>
          </w:r>
          <w:r>
            <w:rPr>
              <w:rFonts w:hint="eastAsia"/>
              <w:szCs w:val="21"/>
            </w:rPr>
            <w:fldChar w:fldCharType="begin"/>
          </w:r>
          <w:r>
            <w:rPr>
              <w:rFonts w:hint="eastAsia"/>
              <w:szCs w:val="21"/>
            </w:rPr>
            <w:instrText xml:space="preserve"> </w:instrText>
          </w:r>
          <w:r>
            <w:rPr>
              <w:szCs w:val="21"/>
            </w:rPr>
            <w:instrText xml:space="preserve">PAGEREF _Toc225205354 \h</w:instrText>
          </w:r>
          <w:r>
            <w:rPr>
              <w:rFonts w:hint="eastAsia"/>
              <w:szCs w:val="21"/>
            </w:rPr>
            <w:instrText xml:space="preserve"> </w:instrText>
          </w:r>
          <w:r>
            <w:rPr>
              <w:rFonts w:hint="eastAsia"/>
              <w:szCs w:val="21"/>
            </w:rPr>
            <w:fldChar w:fldCharType="separate"/>
          </w:r>
          <w:r>
            <w:rPr>
              <w:rFonts w:hint="eastAsia"/>
              <w:szCs w:val="21"/>
            </w:rPr>
            <w:t>5</w:t>
          </w:r>
          <w:r>
            <w:rPr>
              <w:rFonts w:hint="eastAsia"/>
              <w:szCs w:val="21"/>
            </w:rPr>
            <w:fldChar w:fldCharType="end"/>
          </w:r>
          <w:r>
            <w:rPr>
              <w:rFonts w:hint="eastAsia"/>
              <w:szCs w:val="21"/>
            </w:rPr>
            <w:fldChar w:fldCharType="end"/>
          </w:r>
        </w:p>
        <w:p w14:paraId="7764E7D2">
          <w:pPr>
            <w:pStyle w:val="6"/>
            <w:rPr>
              <w:rFonts w:hint="eastAsia"/>
              <w:szCs w:val="21"/>
              <w14:ligatures w14:val="standardContextual"/>
            </w:rPr>
          </w:pPr>
          <w:r>
            <w:fldChar w:fldCharType="begin"/>
          </w:r>
          <w:r>
            <w:instrText xml:space="preserve"> HYPERLINK \l "_Toc225205355" </w:instrText>
          </w:r>
          <w:r>
            <w:fldChar w:fldCharType="separate"/>
          </w:r>
          <w:r>
            <w:rPr>
              <w:rStyle w:val="17"/>
              <w:rFonts w:hint="eastAsia"/>
              <w:szCs w:val="21"/>
            </w:rPr>
            <w:t>4.4工作流程</w:t>
          </w:r>
          <w:r>
            <w:rPr>
              <w:rFonts w:hint="eastAsia"/>
              <w:szCs w:val="21"/>
            </w:rPr>
            <w:tab/>
          </w:r>
          <w:r>
            <w:rPr>
              <w:rFonts w:hint="eastAsia"/>
              <w:szCs w:val="21"/>
            </w:rPr>
            <w:fldChar w:fldCharType="begin"/>
          </w:r>
          <w:r>
            <w:rPr>
              <w:rFonts w:hint="eastAsia"/>
              <w:szCs w:val="21"/>
            </w:rPr>
            <w:instrText xml:space="preserve"> </w:instrText>
          </w:r>
          <w:r>
            <w:rPr>
              <w:szCs w:val="21"/>
            </w:rPr>
            <w:instrText xml:space="preserve">PAGEREF _Toc225205355 \h</w:instrText>
          </w:r>
          <w:r>
            <w:rPr>
              <w:rFonts w:hint="eastAsia"/>
              <w:szCs w:val="21"/>
            </w:rPr>
            <w:instrText xml:space="preserve"> </w:instrText>
          </w:r>
          <w:r>
            <w:rPr>
              <w:rFonts w:hint="eastAsia"/>
              <w:szCs w:val="21"/>
            </w:rPr>
            <w:fldChar w:fldCharType="separate"/>
          </w:r>
          <w:r>
            <w:rPr>
              <w:rFonts w:hint="eastAsia"/>
              <w:szCs w:val="21"/>
            </w:rPr>
            <w:t>5</w:t>
          </w:r>
          <w:r>
            <w:rPr>
              <w:rFonts w:hint="eastAsia"/>
              <w:szCs w:val="21"/>
            </w:rPr>
            <w:fldChar w:fldCharType="end"/>
          </w:r>
          <w:r>
            <w:rPr>
              <w:rFonts w:hint="eastAsia"/>
              <w:szCs w:val="21"/>
            </w:rPr>
            <w:fldChar w:fldCharType="end"/>
          </w:r>
        </w:p>
        <w:p w14:paraId="751E5C38">
          <w:pPr>
            <w:pStyle w:val="13"/>
            <w:tabs>
              <w:tab w:val="left" w:pos="630"/>
              <w:tab w:val="right" w:leader="dot" w:pos="9345"/>
            </w:tabs>
            <w:rPr>
              <w:rFonts w:hint="eastAsia"/>
              <w:szCs w:val="21"/>
              <w14:ligatures w14:val="standardContextual"/>
            </w:rPr>
          </w:pPr>
          <w:r>
            <w:fldChar w:fldCharType="begin"/>
          </w:r>
          <w:r>
            <w:instrText xml:space="preserve"> HYPERLINK \l "_Toc225205356" </w:instrText>
          </w:r>
          <w:r>
            <w:fldChar w:fldCharType="separate"/>
          </w:r>
          <w:r>
            <w:rPr>
              <w:rStyle w:val="17"/>
              <w:rFonts w:hint="eastAsia"/>
              <w:szCs w:val="21"/>
            </w:rPr>
            <w:t>5</w:t>
          </w:r>
          <w:r>
            <w:rPr>
              <w:rFonts w:hint="eastAsia"/>
              <w:szCs w:val="21"/>
              <w14:ligatures w14:val="standardContextual"/>
            </w:rPr>
            <w:tab/>
          </w:r>
          <w:r>
            <w:rPr>
              <w:rStyle w:val="17"/>
              <w:rFonts w:hint="eastAsia"/>
              <w:szCs w:val="21"/>
            </w:rPr>
            <w:t>资料收集与补充调查</w:t>
          </w:r>
          <w:r>
            <w:rPr>
              <w:rFonts w:hint="eastAsia"/>
              <w:szCs w:val="21"/>
            </w:rPr>
            <w:tab/>
          </w:r>
          <w:r>
            <w:rPr>
              <w:rFonts w:hint="eastAsia"/>
              <w:szCs w:val="21"/>
            </w:rPr>
            <w:fldChar w:fldCharType="begin"/>
          </w:r>
          <w:r>
            <w:rPr>
              <w:rFonts w:hint="eastAsia"/>
              <w:szCs w:val="21"/>
            </w:rPr>
            <w:instrText xml:space="preserve"> </w:instrText>
          </w:r>
          <w:r>
            <w:rPr>
              <w:szCs w:val="21"/>
            </w:rPr>
            <w:instrText xml:space="preserve">PAGEREF _Toc225205356 \h</w:instrText>
          </w:r>
          <w:r>
            <w:rPr>
              <w:rFonts w:hint="eastAsia"/>
              <w:szCs w:val="21"/>
            </w:rPr>
            <w:instrText xml:space="preserve"> </w:instrText>
          </w:r>
          <w:r>
            <w:rPr>
              <w:rFonts w:hint="eastAsia"/>
              <w:szCs w:val="21"/>
            </w:rPr>
            <w:fldChar w:fldCharType="separate"/>
          </w:r>
          <w:r>
            <w:rPr>
              <w:rFonts w:hint="eastAsia"/>
              <w:szCs w:val="21"/>
            </w:rPr>
            <w:t>5</w:t>
          </w:r>
          <w:r>
            <w:rPr>
              <w:rFonts w:hint="eastAsia"/>
              <w:szCs w:val="21"/>
            </w:rPr>
            <w:fldChar w:fldCharType="end"/>
          </w:r>
          <w:r>
            <w:rPr>
              <w:rFonts w:hint="eastAsia"/>
              <w:szCs w:val="21"/>
            </w:rPr>
            <w:fldChar w:fldCharType="end"/>
          </w:r>
        </w:p>
        <w:p w14:paraId="28C4D724">
          <w:pPr>
            <w:pStyle w:val="6"/>
            <w:rPr>
              <w:rFonts w:hint="eastAsia"/>
              <w:szCs w:val="21"/>
              <w14:ligatures w14:val="standardContextual"/>
            </w:rPr>
          </w:pPr>
          <w:r>
            <w:fldChar w:fldCharType="begin"/>
          </w:r>
          <w:r>
            <w:instrText xml:space="preserve"> HYPERLINK \l "_Toc225205357" </w:instrText>
          </w:r>
          <w:r>
            <w:fldChar w:fldCharType="separate"/>
          </w:r>
          <w:r>
            <w:rPr>
              <w:rStyle w:val="17"/>
              <w:rFonts w:hint="eastAsia"/>
              <w:szCs w:val="21"/>
            </w:rPr>
            <w:t>5.1 资料收集</w:t>
          </w:r>
          <w:r>
            <w:rPr>
              <w:rFonts w:hint="eastAsia"/>
              <w:szCs w:val="21"/>
            </w:rPr>
            <w:tab/>
          </w:r>
          <w:r>
            <w:rPr>
              <w:rFonts w:hint="eastAsia"/>
              <w:szCs w:val="21"/>
            </w:rPr>
            <w:fldChar w:fldCharType="begin"/>
          </w:r>
          <w:r>
            <w:rPr>
              <w:rFonts w:hint="eastAsia"/>
              <w:szCs w:val="21"/>
            </w:rPr>
            <w:instrText xml:space="preserve"> </w:instrText>
          </w:r>
          <w:r>
            <w:rPr>
              <w:szCs w:val="21"/>
            </w:rPr>
            <w:instrText xml:space="preserve">PAGEREF _Toc225205357 \h</w:instrText>
          </w:r>
          <w:r>
            <w:rPr>
              <w:rFonts w:hint="eastAsia"/>
              <w:szCs w:val="21"/>
            </w:rPr>
            <w:instrText xml:space="preserve"> </w:instrText>
          </w:r>
          <w:r>
            <w:rPr>
              <w:rFonts w:hint="eastAsia"/>
              <w:szCs w:val="21"/>
            </w:rPr>
            <w:fldChar w:fldCharType="separate"/>
          </w:r>
          <w:r>
            <w:rPr>
              <w:rFonts w:hint="eastAsia"/>
              <w:szCs w:val="21"/>
            </w:rPr>
            <w:t>5</w:t>
          </w:r>
          <w:r>
            <w:rPr>
              <w:rFonts w:hint="eastAsia"/>
              <w:szCs w:val="21"/>
            </w:rPr>
            <w:fldChar w:fldCharType="end"/>
          </w:r>
          <w:r>
            <w:rPr>
              <w:rFonts w:hint="eastAsia"/>
              <w:szCs w:val="21"/>
            </w:rPr>
            <w:fldChar w:fldCharType="end"/>
          </w:r>
        </w:p>
        <w:p w14:paraId="62FEED0B">
          <w:pPr>
            <w:pStyle w:val="6"/>
            <w:rPr>
              <w:rFonts w:hint="eastAsia"/>
              <w:szCs w:val="21"/>
              <w14:ligatures w14:val="standardContextual"/>
            </w:rPr>
          </w:pPr>
          <w:r>
            <w:fldChar w:fldCharType="begin"/>
          </w:r>
          <w:r>
            <w:instrText xml:space="preserve"> HYPERLINK \l "_Toc225205360" </w:instrText>
          </w:r>
          <w:r>
            <w:fldChar w:fldCharType="separate"/>
          </w:r>
          <w:r>
            <w:rPr>
              <w:rStyle w:val="17"/>
              <w:rFonts w:hint="eastAsia"/>
              <w:szCs w:val="21"/>
            </w:rPr>
            <w:t>5.2 补充调查</w:t>
          </w:r>
          <w:r>
            <w:rPr>
              <w:rFonts w:hint="eastAsia"/>
              <w:szCs w:val="21"/>
            </w:rPr>
            <w:tab/>
          </w:r>
          <w:r>
            <w:rPr>
              <w:rFonts w:hint="eastAsia"/>
              <w:szCs w:val="21"/>
            </w:rPr>
            <w:fldChar w:fldCharType="begin"/>
          </w:r>
          <w:r>
            <w:rPr>
              <w:rFonts w:hint="eastAsia"/>
              <w:szCs w:val="21"/>
            </w:rPr>
            <w:instrText xml:space="preserve"> </w:instrText>
          </w:r>
          <w:r>
            <w:rPr>
              <w:szCs w:val="21"/>
            </w:rPr>
            <w:instrText xml:space="preserve">PAGEREF _Toc225205360 \h</w:instrText>
          </w:r>
          <w:r>
            <w:rPr>
              <w:rFonts w:hint="eastAsia"/>
              <w:szCs w:val="21"/>
            </w:rPr>
            <w:instrText xml:space="preserve"> </w:instrText>
          </w:r>
          <w:r>
            <w:rPr>
              <w:rFonts w:hint="eastAsia"/>
              <w:szCs w:val="21"/>
            </w:rPr>
            <w:fldChar w:fldCharType="separate"/>
          </w:r>
          <w:r>
            <w:rPr>
              <w:rFonts w:hint="eastAsia"/>
              <w:szCs w:val="21"/>
            </w:rPr>
            <w:t>6</w:t>
          </w:r>
          <w:r>
            <w:rPr>
              <w:rFonts w:hint="eastAsia"/>
              <w:szCs w:val="21"/>
            </w:rPr>
            <w:fldChar w:fldCharType="end"/>
          </w:r>
          <w:r>
            <w:rPr>
              <w:rFonts w:hint="eastAsia"/>
              <w:szCs w:val="21"/>
            </w:rPr>
            <w:fldChar w:fldCharType="end"/>
          </w:r>
        </w:p>
        <w:p w14:paraId="59A7ADC0">
          <w:pPr>
            <w:pStyle w:val="13"/>
            <w:tabs>
              <w:tab w:val="left" w:pos="630"/>
              <w:tab w:val="right" w:leader="dot" w:pos="9345"/>
            </w:tabs>
            <w:rPr>
              <w:rFonts w:hint="eastAsia"/>
              <w:szCs w:val="21"/>
              <w14:ligatures w14:val="standardContextual"/>
            </w:rPr>
          </w:pPr>
          <w:r>
            <w:fldChar w:fldCharType="begin"/>
          </w:r>
          <w:r>
            <w:instrText xml:space="preserve"> HYPERLINK \l "_Toc225205363" </w:instrText>
          </w:r>
          <w:r>
            <w:fldChar w:fldCharType="separate"/>
          </w:r>
          <w:r>
            <w:rPr>
              <w:rStyle w:val="17"/>
              <w:rFonts w:hint="eastAsia"/>
              <w:szCs w:val="21"/>
            </w:rPr>
            <w:t>6</w:t>
          </w:r>
          <w:r>
            <w:rPr>
              <w:rFonts w:hint="eastAsia"/>
              <w:szCs w:val="21"/>
              <w14:ligatures w14:val="standardContextual"/>
            </w:rPr>
            <w:tab/>
          </w:r>
          <w:r>
            <w:rPr>
              <w:rStyle w:val="17"/>
              <w:rFonts w:hint="eastAsia"/>
              <w:szCs w:val="21"/>
            </w:rPr>
            <w:t>监测方案编制</w:t>
          </w:r>
          <w:r>
            <w:rPr>
              <w:rFonts w:hint="eastAsia"/>
              <w:szCs w:val="21"/>
            </w:rPr>
            <w:tab/>
          </w:r>
          <w:r>
            <w:rPr>
              <w:rFonts w:hint="eastAsia"/>
              <w:szCs w:val="21"/>
            </w:rPr>
            <w:fldChar w:fldCharType="begin"/>
          </w:r>
          <w:r>
            <w:rPr>
              <w:rFonts w:hint="eastAsia"/>
              <w:szCs w:val="21"/>
            </w:rPr>
            <w:instrText xml:space="preserve"> </w:instrText>
          </w:r>
          <w:r>
            <w:rPr>
              <w:szCs w:val="21"/>
            </w:rPr>
            <w:instrText xml:space="preserve">PAGEREF _Toc225205363 \h</w:instrText>
          </w:r>
          <w:r>
            <w:rPr>
              <w:rFonts w:hint="eastAsia"/>
              <w:szCs w:val="21"/>
            </w:rPr>
            <w:instrText xml:space="preserve"> </w:instrText>
          </w:r>
          <w:r>
            <w:rPr>
              <w:rFonts w:hint="eastAsia"/>
              <w:szCs w:val="21"/>
            </w:rPr>
            <w:fldChar w:fldCharType="separate"/>
          </w:r>
          <w:r>
            <w:rPr>
              <w:rFonts w:hint="eastAsia"/>
              <w:szCs w:val="21"/>
            </w:rPr>
            <w:t>6</w:t>
          </w:r>
          <w:r>
            <w:rPr>
              <w:rFonts w:hint="eastAsia"/>
              <w:szCs w:val="21"/>
            </w:rPr>
            <w:fldChar w:fldCharType="end"/>
          </w:r>
          <w:r>
            <w:rPr>
              <w:rFonts w:hint="eastAsia"/>
              <w:szCs w:val="21"/>
            </w:rPr>
            <w:fldChar w:fldCharType="end"/>
          </w:r>
        </w:p>
        <w:p w14:paraId="10C1766B">
          <w:pPr>
            <w:pStyle w:val="13"/>
            <w:tabs>
              <w:tab w:val="left" w:pos="630"/>
              <w:tab w:val="right" w:leader="dot" w:pos="9345"/>
            </w:tabs>
            <w:rPr>
              <w:rFonts w:hint="eastAsia"/>
              <w:szCs w:val="21"/>
              <w14:ligatures w14:val="standardContextual"/>
            </w:rPr>
          </w:pPr>
          <w:r>
            <w:fldChar w:fldCharType="begin"/>
          </w:r>
          <w:r>
            <w:instrText xml:space="preserve"> HYPERLINK \l "_Toc225205364" </w:instrText>
          </w:r>
          <w:r>
            <w:fldChar w:fldCharType="separate"/>
          </w:r>
          <w:r>
            <w:rPr>
              <w:rStyle w:val="17"/>
              <w:rFonts w:hint="eastAsia"/>
              <w:szCs w:val="21"/>
            </w:rPr>
            <w:t>7</w:t>
          </w:r>
          <w:r>
            <w:rPr>
              <w:rFonts w:hint="eastAsia"/>
              <w:szCs w:val="21"/>
              <w14:ligatures w14:val="standardContextual"/>
            </w:rPr>
            <w:tab/>
          </w:r>
          <w:r>
            <w:rPr>
              <w:rStyle w:val="17"/>
              <w:rFonts w:hint="eastAsia"/>
              <w:szCs w:val="21"/>
            </w:rPr>
            <w:t>监测内容与指标</w:t>
          </w:r>
          <w:r>
            <w:rPr>
              <w:rFonts w:hint="eastAsia"/>
              <w:szCs w:val="21"/>
            </w:rPr>
            <w:tab/>
          </w:r>
          <w:r>
            <w:rPr>
              <w:rFonts w:hint="eastAsia"/>
              <w:szCs w:val="21"/>
            </w:rPr>
            <w:fldChar w:fldCharType="begin"/>
          </w:r>
          <w:r>
            <w:rPr>
              <w:rFonts w:hint="eastAsia"/>
              <w:szCs w:val="21"/>
            </w:rPr>
            <w:instrText xml:space="preserve"> </w:instrText>
          </w:r>
          <w:r>
            <w:rPr>
              <w:szCs w:val="21"/>
            </w:rPr>
            <w:instrText xml:space="preserve">PAGEREF _Toc225205364 \h</w:instrText>
          </w:r>
          <w:r>
            <w:rPr>
              <w:rFonts w:hint="eastAsia"/>
              <w:szCs w:val="21"/>
            </w:rPr>
            <w:instrText xml:space="preserve"> </w:instrText>
          </w:r>
          <w:r>
            <w:rPr>
              <w:rFonts w:hint="eastAsia"/>
              <w:szCs w:val="21"/>
            </w:rPr>
            <w:fldChar w:fldCharType="separate"/>
          </w:r>
          <w:r>
            <w:rPr>
              <w:rFonts w:hint="eastAsia"/>
              <w:szCs w:val="21"/>
            </w:rPr>
            <w:t>6</w:t>
          </w:r>
          <w:r>
            <w:rPr>
              <w:rFonts w:hint="eastAsia"/>
              <w:szCs w:val="21"/>
            </w:rPr>
            <w:fldChar w:fldCharType="end"/>
          </w:r>
          <w:r>
            <w:rPr>
              <w:rFonts w:hint="eastAsia"/>
              <w:szCs w:val="21"/>
            </w:rPr>
            <w:fldChar w:fldCharType="end"/>
          </w:r>
        </w:p>
        <w:p w14:paraId="68E8AE47">
          <w:pPr>
            <w:pStyle w:val="13"/>
            <w:tabs>
              <w:tab w:val="left" w:pos="630"/>
              <w:tab w:val="right" w:leader="dot" w:pos="9345"/>
            </w:tabs>
            <w:rPr>
              <w:rFonts w:hint="eastAsia"/>
              <w:szCs w:val="21"/>
              <w14:ligatures w14:val="standardContextual"/>
            </w:rPr>
          </w:pPr>
          <w:r>
            <w:fldChar w:fldCharType="begin"/>
          </w:r>
          <w:r>
            <w:instrText xml:space="preserve"> HYPERLINK \l "_Toc225205365" </w:instrText>
          </w:r>
          <w:r>
            <w:fldChar w:fldCharType="separate"/>
          </w:r>
          <w:r>
            <w:rPr>
              <w:rStyle w:val="17"/>
              <w:rFonts w:hint="eastAsia"/>
              <w:szCs w:val="21"/>
            </w:rPr>
            <w:t>8</w:t>
          </w:r>
          <w:r>
            <w:rPr>
              <w:rFonts w:hint="eastAsia"/>
              <w:szCs w:val="21"/>
              <w14:ligatures w14:val="standardContextual"/>
            </w:rPr>
            <w:tab/>
          </w:r>
          <w:r>
            <w:rPr>
              <w:rStyle w:val="17"/>
              <w:rFonts w:hint="eastAsia"/>
              <w:szCs w:val="21"/>
            </w:rPr>
            <w:t>监测点布设</w:t>
          </w:r>
          <w:r>
            <w:rPr>
              <w:rFonts w:hint="eastAsia"/>
              <w:szCs w:val="21"/>
            </w:rPr>
            <w:tab/>
          </w:r>
          <w:r>
            <w:rPr>
              <w:rFonts w:hint="eastAsia"/>
              <w:szCs w:val="21"/>
            </w:rPr>
            <w:fldChar w:fldCharType="begin"/>
          </w:r>
          <w:r>
            <w:rPr>
              <w:rFonts w:hint="eastAsia"/>
              <w:szCs w:val="21"/>
            </w:rPr>
            <w:instrText xml:space="preserve"> </w:instrText>
          </w:r>
          <w:r>
            <w:rPr>
              <w:szCs w:val="21"/>
            </w:rPr>
            <w:instrText xml:space="preserve">PAGEREF _Toc225205365 \h</w:instrText>
          </w:r>
          <w:r>
            <w:rPr>
              <w:rFonts w:hint="eastAsia"/>
              <w:szCs w:val="21"/>
            </w:rPr>
            <w:instrText xml:space="preserve"> </w:instrText>
          </w:r>
          <w:r>
            <w:rPr>
              <w:rFonts w:hint="eastAsia"/>
              <w:szCs w:val="21"/>
            </w:rPr>
            <w:fldChar w:fldCharType="separate"/>
          </w:r>
          <w:r>
            <w:rPr>
              <w:rFonts w:hint="eastAsia"/>
              <w:szCs w:val="21"/>
            </w:rPr>
            <w:t>7</w:t>
          </w:r>
          <w:r>
            <w:rPr>
              <w:rFonts w:hint="eastAsia"/>
              <w:szCs w:val="21"/>
            </w:rPr>
            <w:fldChar w:fldCharType="end"/>
          </w:r>
          <w:r>
            <w:rPr>
              <w:rFonts w:hint="eastAsia"/>
              <w:szCs w:val="21"/>
            </w:rPr>
            <w:fldChar w:fldCharType="end"/>
          </w:r>
        </w:p>
        <w:p w14:paraId="4172B79A">
          <w:pPr>
            <w:pStyle w:val="6"/>
            <w:rPr>
              <w:rFonts w:hint="eastAsia"/>
              <w:szCs w:val="21"/>
              <w14:ligatures w14:val="standardContextual"/>
            </w:rPr>
          </w:pPr>
          <w:r>
            <w:fldChar w:fldCharType="begin"/>
          </w:r>
          <w:r>
            <w:instrText xml:space="preserve"> HYPERLINK \l "_Toc225205366" </w:instrText>
          </w:r>
          <w:r>
            <w:fldChar w:fldCharType="separate"/>
          </w:r>
          <w:r>
            <w:rPr>
              <w:rStyle w:val="17"/>
              <w:rFonts w:hint="eastAsia"/>
              <w:szCs w:val="21"/>
            </w:rPr>
            <w:t>8.1布设原则</w:t>
          </w:r>
          <w:r>
            <w:rPr>
              <w:rFonts w:hint="eastAsia"/>
              <w:szCs w:val="21"/>
            </w:rPr>
            <w:tab/>
          </w:r>
          <w:r>
            <w:rPr>
              <w:rFonts w:hint="eastAsia"/>
              <w:szCs w:val="21"/>
            </w:rPr>
            <w:fldChar w:fldCharType="begin"/>
          </w:r>
          <w:r>
            <w:rPr>
              <w:rFonts w:hint="eastAsia"/>
              <w:szCs w:val="21"/>
            </w:rPr>
            <w:instrText xml:space="preserve"> </w:instrText>
          </w:r>
          <w:r>
            <w:rPr>
              <w:szCs w:val="21"/>
            </w:rPr>
            <w:instrText xml:space="preserve">PAGEREF _Toc225205366 \h</w:instrText>
          </w:r>
          <w:r>
            <w:rPr>
              <w:rFonts w:hint="eastAsia"/>
              <w:szCs w:val="21"/>
            </w:rPr>
            <w:instrText xml:space="preserve"> </w:instrText>
          </w:r>
          <w:r>
            <w:rPr>
              <w:rFonts w:hint="eastAsia"/>
              <w:szCs w:val="21"/>
            </w:rPr>
            <w:fldChar w:fldCharType="separate"/>
          </w:r>
          <w:r>
            <w:rPr>
              <w:rFonts w:hint="eastAsia"/>
              <w:szCs w:val="21"/>
            </w:rPr>
            <w:t>7</w:t>
          </w:r>
          <w:r>
            <w:rPr>
              <w:rFonts w:hint="eastAsia"/>
              <w:szCs w:val="21"/>
            </w:rPr>
            <w:fldChar w:fldCharType="end"/>
          </w:r>
          <w:r>
            <w:rPr>
              <w:rFonts w:hint="eastAsia"/>
              <w:szCs w:val="21"/>
            </w:rPr>
            <w:fldChar w:fldCharType="end"/>
          </w:r>
        </w:p>
        <w:p w14:paraId="68FA78AB">
          <w:pPr>
            <w:pStyle w:val="6"/>
            <w:rPr>
              <w:rFonts w:hint="eastAsia"/>
              <w:szCs w:val="21"/>
              <w14:ligatures w14:val="standardContextual"/>
            </w:rPr>
          </w:pPr>
          <w:r>
            <w:fldChar w:fldCharType="begin"/>
          </w:r>
          <w:r>
            <w:instrText xml:space="preserve"> HYPERLINK \l "_Toc225205367" </w:instrText>
          </w:r>
          <w:r>
            <w:fldChar w:fldCharType="separate"/>
          </w:r>
          <w:r>
            <w:rPr>
              <w:rStyle w:val="17"/>
              <w:rFonts w:hint="eastAsia"/>
              <w:szCs w:val="21"/>
            </w:rPr>
            <w:t>8.2 地表水环境监测点</w:t>
          </w:r>
          <w:r>
            <w:rPr>
              <w:rFonts w:hint="eastAsia"/>
              <w:szCs w:val="21"/>
            </w:rPr>
            <w:tab/>
          </w:r>
          <w:r>
            <w:rPr>
              <w:rFonts w:hint="eastAsia"/>
              <w:szCs w:val="21"/>
            </w:rPr>
            <w:fldChar w:fldCharType="begin"/>
          </w:r>
          <w:r>
            <w:rPr>
              <w:rFonts w:hint="eastAsia"/>
              <w:szCs w:val="21"/>
            </w:rPr>
            <w:instrText xml:space="preserve"> </w:instrText>
          </w:r>
          <w:r>
            <w:rPr>
              <w:szCs w:val="21"/>
            </w:rPr>
            <w:instrText xml:space="preserve">PAGEREF _Toc225205367 \h</w:instrText>
          </w:r>
          <w:r>
            <w:rPr>
              <w:rFonts w:hint="eastAsia"/>
              <w:szCs w:val="21"/>
            </w:rPr>
            <w:instrText xml:space="preserve"> </w:instrText>
          </w:r>
          <w:r>
            <w:rPr>
              <w:rFonts w:hint="eastAsia"/>
              <w:szCs w:val="21"/>
            </w:rPr>
            <w:fldChar w:fldCharType="separate"/>
          </w:r>
          <w:r>
            <w:rPr>
              <w:rFonts w:hint="eastAsia"/>
              <w:szCs w:val="21"/>
            </w:rPr>
            <w:t>7</w:t>
          </w:r>
          <w:r>
            <w:rPr>
              <w:rFonts w:hint="eastAsia"/>
              <w:szCs w:val="21"/>
            </w:rPr>
            <w:fldChar w:fldCharType="end"/>
          </w:r>
          <w:r>
            <w:rPr>
              <w:rFonts w:hint="eastAsia"/>
              <w:szCs w:val="21"/>
            </w:rPr>
            <w:fldChar w:fldCharType="end"/>
          </w:r>
        </w:p>
        <w:p w14:paraId="6BF41D46">
          <w:pPr>
            <w:pStyle w:val="6"/>
            <w:rPr>
              <w:rFonts w:hint="eastAsia"/>
              <w:szCs w:val="21"/>
              <w14:ligatures w14:val="standardContextual"/>
            </w:rPr>
          </w:pPr>
          <w:r>
            <w:fldChar w:fldCharType="begin"/>
          </w:r>
          <w:r>
            <w:instrText xml:space="preserve"> HYPERLINK \l "_Toc225205368" </w:instrText>
          </w:r>
          <w:r>
            <w:fldChar w:fldCharType="separate"/>
          </w:r>
          <w:r>
            <w:rPr>
              <w:rStyle w:val="17"/>
              <w:rFonts w:hint="eastAsia"/>
              <w:szCs w:val="21"/>
            </w:rPr>
            <w:t>8.3 地下水环境监测点</w:t>
          </w:r>
          <w:r>
            <w:rPr>
              <w:rFonts w:hint="eastAsia"/>
              <w:szCs w:val="21"/>
            </w:rPr>
            <w:tab/>
          </w:r>
          <w:r>
            <w:rPr>
              <w:rFonts w:hint="eastAsia"/>
              <w:szCs w:val="21"/>
            </w:rPr>
            <w:fldChar w:fldCharType="begin"/>
          </w:r>
          <w:r>
            <w:rPr>
              <w:rFonts w:hint="eastAsia"/>
              <w:szCs w:val="21"/>
            </w:rPr>
            <w:instrText xml:space="preserve"> </w:instrText>
          </w:r>
          <w:r>
            <w:rPr>
              <w:szCs w:val="21"/>
            </w:rPr>
            <w:instrText xml:space="preserve">PAGEREF _Toc225205368 \h</w:instrText>
          </w:r>
          <w:r>
            <w:rPr>
              <w:rFonts w:hint="eastAsia"/>
              <w:szCs w:val="21"/>
            </w:rPr>
            <w:instrText xml:space="preserve"> </w:instrText>
          </w:r>
          <w:r>
            <w:rPr>
              <w:rFonts w:hint="eastAsia"/>
              <w:szCs w:val="21"/>
            </w:rPr>
            <w:fldChar w:fldCharType="separate"/>
          </w:r>
          <w:r>
            <w:rPr>
              <w:rFonts w:hint="eastAsia"/>
              <w:szCs w:val="21"/>
            </w:rPr>
            <w:t>7</w:t>
          </w:r>
          <w:r>
            <w:rPr>
              <w:rFonts w:hint="eastAsia"/>
              <w:szCs w:val="21"/>
            </w:rPr>
            <w:fldChar w:fldCharType="end"/>
          </w:r>
          <w:r>
            <w:rPr>
              <w:rFonts w:hint="eastAsia"/>
              <w:szCs w:val="21"/>
            </w:rPr>
            <w:fldChar w:fldCharType="end"/>
          </w:r>
        </w:p>
        <w:p w14:paraId="16B66525">
          <w:pPr>
            <w:pStyle w:val="6"/>
            <w:rPr>
              <w:rFonts w:hint="eastAsia"/>
              <w:szCs w:val="21"/>
              <w14:ligatures w14:val="standardContextual"/>
            </w:rPr>
          </w:pPr>
          <w:r>
            <w:fldChar w:fldCharType="begin"/>
          </w:r>
          <w:r>
            <w:instrText xml:space="preserve"> HYPERLINK \l "_Toc225205374" </w:instrText>
          </w:r>
          <w:r>
            <w:fldChar w:fldCharType="separate"/>
          </w:r>
          <w:r>
            <w:rPr>
              <w:rStyle w:val="17"/>
              <w:rFonts w:hint="eastAsia"/>
              <w:szCs w:val="21"/>
            </w:rPr>
            <w:t>8.4土壤环境监测点</w:t>
          </w:r>
          <w:r>
            <w:rPr>
              <w:rFonts w:hint="eastAsia"/>
              <w:szCs w:val="21"/>
            </w:rPr>
            <w:tab/>
          </w:r>
          <w:r>
            <w:rPr>
              <w:rFonts w:hint="eastAsia"/>
              <w:szCs w:val="21"/>
            </w:rPr>
            <w:fldChar w:fldCharType="begin"/>
          </w:r>
          <w:r>
            <w:rPr>
              <w:rFonts w:hint="eastAsia"/>
              <w:szCs w:val="21"/>
            </w:rPr>
            <w:instrText xml:space="preserve"> </w:instrText>
          </w:r>
          <w:r>
            <w:rPr>
              <w:szCs w:val="21"/>
            </w:rPr>
            <w:instrText xml:space="preserve">PAGEREF _Toc225205374 \h</w:instrText>
          </w:r>
          <w:r>
            <w:rPr>
              <w:rFonts w:hint="eastAsia"/>
              <w:szCs w:val="21"/>
            </w:rPr>
            <w:instrText xml:space="preserve"> </w:instrText>
          </w:r>
          <w:r>
            <w:rPr>
              <w:rFonts w:hint="eastAsia"/>
              <w:szCs w:val="21"/>
            </w:rPr>
            <w:fldChar w:fldCharType="separate"/>
          </w:r>
          <w:r>
            <w:rPr>
              <w:rFonts w:hint="eastAsia"/>
              <w:szCs w:val="21"/>
            </w:rPr>
            <w:t>8</w:t>
          </w:r>
          <w:r>
            <w:rPr>
              <w:rFonts w:hint="eastAsia"/>
              <w:szCs w:val="21"/>
            </w:rPr>
            <w:fldChar w:fldCharType="end"/>
          </w:r>
          <w:r>
            <w:rPr>
              <w:rFonts w:hint="eastAsia"/>
              <w:szCs w:val="21"/>
            </w:rPr>
            <w:fldChar w:fldCharType="end"/>
          </w:r>
        </w:p>
        <w:p w14:paraId="01ECD7F7">
          <w:pPr>
            <w:pStyle w:val="6"/>
            <w:rPr>
              <w:rFonts w:hint="eastAsia"/>
              <w:szCs w:val="21"/>
              <w14:ligatures w14:val="standardContextual"/>
            </w:rPr>
          </w:pPr>
          <w:r>
            <w:fldChar w:fldCharType="begin"/>
          </w:r>
          <w:r>
            <w:instrText xml:space="preserve"> HYPERLINK \l "_Toc225205376" </w:instrText>
          </w:r>
          <w:r>
            <w:fldChar w:fldCharType="separate"/>
          </w:r>
          <w:r>
            <w:rPr>
              <w:rStyle w:val="17"/>
              <w:rFonts w:hint="eastAsia"/>
              <w:szCs w:val="21"/>
            </w:rPr>
            <w:t>8.5 植被监测点</w:t>
          </w:r>
          <w:r>
            <w:rPr>
              <w:rFonts w:hint="eastAsia"/>
              <w:szCs w:val="21"/>
            </w:rPr>
            <w:tab/>
          </w:r>
          <w:r>
            <w:rPr>
              <w:rFonts w:hint="eastAsia"/>
              <w:szCs w:val="21"/>
            </w:rPr>
            <w:fldChar w:fldCharType="begin"/>
          </w:r>
          <w:r>
            <w:rPr>
              <w:rFonts w:hint="eastAsia"/>
              <w:szCs w:val="21"/>
            </w:rPr>
            <w:instrText xml:space="preserve"> </w:instrText>
          </w:r>
          <w:r>
            <w:rPr>
              <w:szCs w:val="21"/>
            </w:rPr>
            <w:instrText xml:space="preserve">PAGEREF _Toc225205376 \h</w:instrText>
          </w:r>
          <w:r>
            <w:rPr>
              <w:rFonts w:hint="eastAsia"/>
              <w:szCs w:val="21"/>
            </w:rPr>
            <w:instrText xml:space="preserve"> </w:instrText>
          </w:r>
          <w:r>
            <w:rPr>
              <w:rFonts w:hint="eastAsia"/>
              <w:szCs w:val="21"/>
            </w:rPr>
            <w:fldChar w:fldCharType="separate"/>
          </w:r>
          <w:r>
            <w:rPr>
              <w:rFonts w:hint="eastAsia"/>
              <w:szCs w:val="21"/>
            </w:rPr>
            <w:t>8</w:t>
          </w:r>
          <w:r>
            <w:rPr>
              <w:rFonts w:hint="eastAsia"/>
              <w:szCs w:val="21"/>
            </w:rPr>
            <w:fldChar w:fldCharType="end"/>
          </w:r>
          <w:r>
            <w:rPr>
              <w:rFonts w:hint="eastAsia"/>
              <w:szCs w:val="21"/>
            </w:rPr>
            <w:fldChar w:fldCharType="end"/>
          </w:r>
        </w:p>
        <w:p w14:paraId="7625D2F4">
          <w:pPr>
            <w:pStyle w:val="6"/>
            <w:rPr>
              <w:rFonts w:hint="eastAsia"/>
              <w:szCs w:val="21"/>
              <w14:ligatures w14:val="standardContextual"/>
            </w:rPr>
          </w:pPr>
          <w:r>
            <w:fldChar w:fldCharType="begin"/>
          </w:r>
          <w:r>
            <w:instrText xml:space="preserve"> HYPERLINK \l "_Toc225205377" </w:instrText>
          </w:r>
          <w:r>
            <w:fldChar w:fldCharType="separate"/>
          </w:r>
          <w:r>
            <w:rPr>
              <w:rStyle w:val="17"/>
              <w:rFonts w:hint="eastAsia"/>
              <w:szCs w:val="21"/>
            </w:rPr>
            <w:t>8.6 地形地貌景观破坏监测</w:t>
          </w:r>
          <w:r>
            <w:rPr>
              <w:rFonts w:hint="eastAsia"/>
              <w:szCs w:val="21"/>
            </w:rPr>
            <w:tab/>
          </w:r>
          <w:r>
            <w:rPr>
              <w:rFonts w:hint="eastAsia"/>
              <w:szCs w:val="21"/>
            </w:rPr>
            <w:fldChar w:fldCharType="begin"/>
          </w:r>
          <w:r>
            <w:rPr>
              <w:rFonts w:hint="eastAsia"/>
              <w:szCs w:val="21"/>
            </w:rPr>
            <w:instrText xml:space="preserve"> </w:instrText>
          </w:r>
          <w:r>
            <w:rPr>
              <w:szCs w:val="21"/>
            </w:rPr>
            <w:instrText xml:space="preserve">PAGEREF _Toc225205377 \h</w:instrText>
          </w:r>
          <w:r>
            <w:rPr>
              <w:rFonts w:hint="eastAsia"/>
              <w:szCs w:val="21"/>
            </w:rPr>
            <w:instrText xml:space="preserve"> </w:instrText>
          </w:r>
          <w:r>
            <w:rPr>
              <w:rFonts w:hint="eastAsia"/>
              <w:szCs w:val="21"/>
            </w:rPr>
            <w:fldChar w:fldCharType="separate"/>
          </w:r>
          <w:r>
            <w:rPr>
              <w:rFonts w:hint="eastAsia"/>
              <w:szCs w:val="21"/>
            </w:rPr>
            <w:t>8</w:t>
          </w:r>
          <w:r>
            <w:rPr>
              <w:rFonts w:hint="eastAsia"/>
              <w:szCs w:val="21"/>
            </w:rPr>
            <w:fldChar w:fldCharType="end"/>
          </w:r>
          <w:r>
            <w:rPr>
              <w:rFonts w:hint="eastAsia"/>
              <w:szCs w:val="21"/>
            </w:rPr>
            <w:fldChar w:fldCharType="end"/>
          </w:r>
        </w:p>
        <w:p w14:paraId="241ACBA3">
          <w:pPr>
            <w:pStyle w:val="6"/>
            <w:rPr>
              <w:rFonts w:hint="eastAsia"/>
              <w:szCs w:val="21"/>
              <w14:ligatures w14:val="standardContextual"/>
            </w:rPr>
          </w:pPr>
          <w:r>
            <w:fldChar w:fldCharType="begin"/>
          </w:r>
          <w:r>
            <w:instrText xml:space="preserve"> HYPERLINK \l "_Toc225205378" </w:instrText>
          </w:r>
          <w:r>
            <w:fldChar w:fldCharType="separate"/>
          </w:r>
          <w:r>
            <w:rPr>
              <w:rStyle w:val="17"/>
              <w:rFonts w:hint="eastAsia"/>
              <w:szCs w:val="21"/>
            </w:rPr>
            <w:t>8.7 生态修复监测</w:t>
          </w:r>
          <w:r>
            <w:rPr>
              <w:rFonts w:hint="eastAsia"/>
              <w:szCs w:val="21"/>
            </w:rPr>
            <w:tab/>
          </w:r>
          <w:r>
            <w:rPr>
              <w:rFonts w:hint="eastAsia"/>
              <w:szCs w:val="21"/>
            </w:rPr>
            <w:fldChar w:fldCharType="begin"/>
          </w:r>
          <w:r>
            <w:rPr>
              <w:rFonts w:hint="eastAsia"/>
              <w:szCs w:val="21"/>
            </w:rPr>
            <w:instrText xml:space="preserve"> </w:instrText>
          </w:r>
          <w:r>
            <w:rPr>
              <w:szCs w:val="21"/>
            </w:rPr>
            <w:instrText xml:space="preserve">PAGEREF _Toc225205378 \h</w:instrText>
          </w:r>
          <w:r>
            <w:rPr>
              <w:rFonts w:hint="eastAsia"/>
              <w:szCs w:val="21"/>
            </w:rPr>
            <w:instrText xml:space="preserve"> </w:instrText>
          </w:r>
          <w:r>
            <w:rPr>
              <w:rFonts w:hint="eastAsia"/>
              <w:szCs w:val="21"/>
            </w:rPr>
            <w:fldChar w:fldCharType="separate"/>
          </w:r>
          <w:r>
            <w:rPr>
              <w:rFonts w:hint="eastAsia"/>
              <w:szCs w:val="21"/>
            </w:rPr>
            <w:t>8</w:t>
          </w:r>
          <w:r>
            <w:rPr>
              <w:rFonts w:hint="eastAsia"/>
              <w:szCs w:val="21"/>
            </w:rPr>
            <w:fldChar w:fldCharType="end"/>
          </w:r>
          <w:r>
            <w:rPr>
              <w:rFonts w:hint="eastAsia"/>
              <w:szCs w:val="21"/>
            </w:rPr>
            <w:fldChar w:fldCharType="end"/>
          </w:r>
        </w:p>
        <w:p w14:paraId="3302F379">
          <w:pPr>
            <w:pStyle w:val="13"/>
            <w:tabs>
              <w:tab w:val="left" w:pos="630"/>
              <w:tab w:val="right" w:leader="dot" w:pos="9345"/>
            </w:tabs>
            <w:rPr>
              <w:rFonts w:hint="eastAsia"/>
              <w:szCs w:val="21"/>
              <w14:ligatures w14:val="standardContextual"/>
            </w:rPr>
          </w:pPr>
          <w:r>
            <w:fldChar w:fldCharType="begin"/>
          </w:r>
          <w:r>
            <w:instrText xml:space="preserve"> HYPERLINK \l "_Toc225205379" </w:instrText>
          </w:r>
          <w:r>
            <w:fldChar w:fldCharType="separate"/>
          </w:r>
          <w:r>
            <w:rPr>
              <w:rStyle w:val="17"/>
              <w:rFonts w:hint="eastAsia"/>
              <w:szCs w:val="21"/>
            </w:rPr>
            <w:t>9</w:t>
          </w:r>
          <w:r>
            <w:rPr>
              <w:rFonts w:hint="eastAsia"/>
              <w:szCs w:val="21"/>
              <w14:ligatures w14:val="standardContextual"/>
            </w:rPr>
            <w:tab/>
          </w:r>
          <w:r>
            <w:rPr>
              <w:rStyle w:val="17"/>
              <w:rFonts w:hint="eastAsia"/>
              <w:szCs w:val="21"/>
            </w:rPr>
            <w:t>监测方法</w:t>
          </w:r>
          <w:r>
            <w:rPr>
              <w:rFonts w:hint="eastAsia"/>
              <w:szCs w:val="21"/>
            </w:rPr>
            <w:tab/>
          </w:r>
          <w:r>
            <w:rPr>
              <w:rFonts w:hint="eastAsia"/>
              <w:szCs w:val="21"/>
            </w:rPr>
            <w:fldChar w:fldCharType="begin"/>
          </w:r>
          <w:r>
            <w:rPr>
              <w:rFonts w:hint="eastAsia"/>
              <w:szCs w:val="21"/>
            </w:rPr>
            <w:instrText xml:space="preserve"> </w:instrText>
          </w:r>
          <w:r>
            <w:rPr>
              <w:szCs w:val="21"/>
            </w:rPr>
            <w:instrText xml:space="preserve">PAGEREF _Toc225205379 \h</w:instrText>
          </w:r>
          <w:r>
            <w:rPr>
              <w:rFonts w:hint="eastAsia"/>
              <w:szCs w:val="21"/>
            </w:rPr>
            <w:instrText xml:space="preserve"> </w:instrText>
          </w:r>
          <w:r>
            <w:rPr>
              <w:rFonts w:hint="eastAsia"/>
              <w:szCs w:val="21"/>
            </w:rPr>
            <w:fldChar w:fldCharType="separate"/>
          </w:r>
          <w:r>
            <w:rPr>
              <w:rFonts w:hint="eastAsia"/>
              <w:szCs w:val="21"/>
            </w:rPr>
            <w:t>8</w:t>
          </w:r>
          <w:r>
            <w:rPr>
              <w:rFonts w:hint="eastAsia"/>
              <w:szCs w:val="21"/>
            </w:rPr>
            <w:fldChar w:fldCharType="end"/>
          </w:r>
          <w:r>
            <w:rPr>
              <w:rFonts w:hint="eastAsia"/>
              <w:szCs w:val="21"/>
            </w:rPr>
            <w:fldChar w:fldCharType="end"/>
          </w:r>
        </w:p>
        <w:p w14:paraId="134338D5">
          <w:pPr>
            <w:pStyle w:val="6"/>
            <w:rPr>
              <w:rFonts w:hint="eastAsia"/>
              <w:szCs w:val="21"/>
              <w14:ligatures w14:val="standardContextual"/>
            </w:rPr>
          </w:pPr>
          <w:r>
            <w:fldChar w:fldCharType="begin"/>
          </w:r>
          <w:r>
            <w:instrText xml:space="preserve"> HYPERLINK \l "_Toc225205380" </w:instrText>
          </w:r>
          <w:r>
            <w:fldChar w:fldCharType="separate"/>
          </w:r>
          <w:r>
            <w:rPr>
              <w:rStyle w:val="17"/>
              <w:rFonts w:hint="eastAsia"/>
              <w:szCs w:val="21"/>
            </w:rPr>
            <w:t>9.1 选取原则</w:t>
          </w:r>
          <w:r>
            <w:rPr>
              <w:rFonts w:hint="eastAsia"/>
              <w:szCs w:val="21"/>
            </w:rPr>
            <w:tab/>
          </w:r>
          <w:r>
            <w:rPr>
              <w:rFonts w:hint="eastAsia"/>
              <w:szCs w:val="21"/>
            </w:rPr>
            <w:fldChar w:fldCharType="begin"/>
          </w:r>
          <w:r>
            <w:rPr>
              <w:rFonts w:hint="eastAsia"/>
              <w:szCs w:val="21"/>
            </w:rPr>
            <w:instrText xml:space="preserve"> </w:instrText>
          </w:r>
          <w:r>
            <w:rPr>
              <w:szCs w:val="21"/>
            </w:rPr>
            <w:instrText xml:space="preserve">PAGEREF _Toc225205380 \h</w:instrText>
          </w:r>
          <w:r>
            <w:rPr>
              <w:rFonts w:hint="eastAsia"/>
              <w:szCs w:val="21"/>
            </w:rPr>
            <w:instrText xml:space="preserve"> </w:instrText>
          </w:r>
          <w:r>
            <w:rPr>
              <w:rFonts w:hint="eastAsia"/>
              <w:szCs w:val="21"/>
            </w:rPr>
            <w:fldChar w:fldCharType="separate"/>
          </w:r>
          <w:r>
            <w:rPr>
              <w:rFonts w:hint="eastAsia"/>
              <w:szCs w:val="21"/>
            </w:rPr>
            <w:t>9</w:t>
          </w:r>
          <w:r>
            <w:rPr>
              <w:rFonts w:hint="eastAsia"/>
              <w:szCs w:val="21"/>
            </w:rPr>
            <w:fldChar w:fldCharType="end"/>
          </w:r>
          <w:r>
            <w:rPr>
              <w:rFonts w:hint="eastAsia"/>
              <w:szCs w:val="21"/>
            </w:rPr>
            <w:fldChar w:fldCharType="end"/>
          </w:r>
        </w:p>
        <w:p w14:paraId="14E80EFC">
          <w:pPr>
            <w:pStyle w:val="6"/>
            <w:rPr>
              <w:rFonts w:hint="eastAsia"/>
              <w:szCs w:val="21"/>
              <w14:ligatures w14:val="standardContextual"/>
            </w:rPr>
          </w:pPr>
          <w:r>
            <w:fldChar w:fldCharType="begin"/>
          </w:r>
          <w:r>
            <w:instrText xml:space="preserve"> HYPERLINK \l "_Toc225205381" </w:instrText>
          </w:r>
          <w:r>
            <w:fldChar w:fldCharType="separate"/>
          </w:r>
          <w:r>
            <w:rPr>
              <w:rStyle w:val="17"/>
              <w:rFonts w:hint="eastAsia"/>
              <w:szCs w:val="21"/>
            </w:rPr>
            <w:t>9.2 方法与仪器</w:t>
          </w:r>
          <w:r>
            <w:rPr>
              <w:rFonts w:hint="eastAsia"/>
              <w:szCs w:val="21"/>
            </w:rPr>
            <w:tab/>
          </w:r>
          <w:r>
            <w:rPr>
              <w:rFonts w:hint="eastAsia"/>
              <w:szCs w:val="21"/>
            </w:rPr>
            <w:fldChar w:fldCharType="begin"/>
          </w:r>
          <w:r>
            <w:rPr>
              <w:rFonts w:hint="eastAsia"/>
              <w:szCs w:val="21"/>
            </w:rPr>
            <w:instrText xml:space="preserve"> </w:instrText>
          </w:r>
          <w:r>
            <w:rPr>
              <w:szCs w:val="21"/>
            </w:rPr>
            <w:instrText xml:space="preserve">PAGEREF _Toc225205381 \h</w:instrText>
          </w:r>
          <w:r>
            <w:rPr>
              <w:rFonts w:hint="eastAsia"/>
              <w:szCs w:val="21"/>
            </w:rPr>
            <w:instrText xml:space="preserve"> </w:instrText>
          </w:r>
          <w:r>
            <w:rPr>
              <w:rFonts w:hint="eastAsia"/>
              <w:szCs w:val="21"/>
            </w:rPr>
            <w:fldChar w:fldCharType="separate"/>
          </w:r>
          <w:r>
            <w:rPr>
              <w:rFonts w:hint="eastAsia"/>
              <w:szCs w:val="21"/>
            </w:rPr>
            <w:t>9</w:t>
          </w:r>
          <w:r>
            <w:rPr>
              <w:rFonts w:hint="eastAsia"/>
              <w:szCs w:val="21"/>
            </w:rPr>
            <w:fldChar w:fldCharType="end"/>
          </w:r>
          <w:r>
            <w:rPr>
              <w:rFonts w:hint="eastAsia"/>
              <w:szCs w:val="21"/>
            </w:rPr>
            <w:fldChar w:fldCharType="end"/>
          </w:r>
        </w:p>
        <w:p w14:paraId="25939797">
          <w:pPr>
            <w:pStyle w:val="6"/>
            <w:rPr>
              <w:rFonts w:hint="eastAsia"/>
              <w:szCs w:val="21"/>
              <w14:ligatures w14:val="standardContextual"/>
            </w:rPr>
          </w:pPr>
          <w:r>
            <w:fldChar w:fldCharType="begin"/>
          </w:r>
          <w:r>
            <w:instrText xml:space="preserve"> HYPERLINK \l "_Toc225205382" </w:instrText>
          </w:r>
          <w:r>
            <w:fldChar w:fldCharType="separate"/>
          </w:r>
          <w:r>
            <w:rPr>
              <w:rStyle w:val="17"/>
              <w:rFonts w:hint="eastAsia"/>
              <w:szCs w:val="21"/>
            </w:rPr>
            <w:t>9.3 监测频率</w:t>
          </w:r>
          <w:r>
            <w:rPr>
              <w:rFonts w:hint="eastAsia"/>
              <w:szCs w:val="21"/>
            </w:rPr>
            <w:tab/>
          </w:r>
          <w:r>
            <w:rPr>
              <w:rFonts w:hint="eastAsia"/>
              <w:szCs w:val="21"/>
            </w:rPr>
            <w:fldChar w:fldCharType="begin"/>
          </w:r>
          <w:r>
            <w:rPr>
              <w:rFonts w:hint="eastAsia"/>
              <w:szCs w:val="21"/>
            </w:rPr>
            <w:instrText xml:space="preserve"> </w:instrText>
          </w:r>
          <w:r>
            <w:rPr>
              <w:szCs w:val="21"/>
            </w:rPr>
            <w:instrText xml:space="preserve">PAGEREF _Toc225205382 \h</w:instrText>
          </w:r>
          <w:r>
            <w:rPr>
              <w:rFonts w:hint="eastAsia"/>
              <w:szCs w:val="21"/>
            </w:rPr>
            <w:instrText xml:space="preserve"> </w:instrText>
          </w:r>
          <w:r>
            <w:rPr>
              <w:rFonts w:hint="eastAsia"/>
              <w:szCs w:val="21"/>
            </w:rPr>
            <w:fldChar w:fldCharType="separate"/>
          </w:r>
          <w:r>
            <w:rPr>
              <w:rFonts w:hint="eastAsia"/>
              <w:szCs w:val="21"/>
            </w:rPr>
            <w:t>10</w:t>
          </w:r>
          <w:r>
            <w:rPr>
              <w:rFonts w:hint="eastAsia"/>
              <w:szCs w:val="21"/>
            </w:rPr>
            <w:fldChar w:fldCharType="end"/>
          </w:r>
          <w:r>
            <w:rPr>
              <w:rFonts w:hint="eastAsia"/>
              <w:szCs w:val="21"/>
            </w:rPr>
            <w:fldChar w:fldCharType="end"/>
          </w:r>
        </w:p>
        <w:p w14:paraId="05DE79A1">
          <w:pPr>
            <w:pStyle w:val="13"/>
            <w:tabs>
              <w:tab w:val="left" w:pos="678"/>
              <w:tab w:val="right" w:leader="dot" w:pos="9345"/>
            </w:tabs>
            <w:rPr>
              <w:rFonts w:hint="eastAsia"/>
              <w:szCs w:val="21"/>
              <w14:ligatures w14:val="standardContextual"/>
            </w:rPr>
          </w:pPr>
          <w:r>
            <w:fldChar w:fldCharType="begin"/>
          </w:r>
          <w:r>
            <w:instrText xml:space="preserve"> HYPERLINK \l "_Toc225205386" </w:instrText>
          </w:r>
          <w:r>
            <w:fldChar w:fldCharType="separate"/>
          </w:r>
          <w:r>
            <w:rPr>
              <w:rStyle w:val="17"/>
              <w:rFonts w:hint="eastAsia"/>
              <w:szCs w:val="21"/>
            </w:rPr>
            <w:t>10</w:t>
          </w:r>
          <w:r>
            <w:rPr>
              <w:rFonts w:hint="eastAsia"/>
              <w:szCs w:val="21"/>
              <w14:ligatures w14:val="standardContextual"/>
            </w:rPr>
            <w:tab/>
          </w:r>
          <w:r>
            <w:rPr>
              <w:rStyle w:val="17"/>
              <w:rFonts w:hint="eastAsia"/>
              <w:szCs w:val="21"/>
            </w:rPr>
            <w:t>数据处理与分析</w:t>
          </w:r>
          <w:r>
            <w:rPr>
              <w:rFonts w:hint="eastAsia"/>
              <w:szCs w:val="21"/>
            </w:rPr>
            <w:tab/>
          </w:r>
          <w:r>
            <w:rPr>
              <w:rFonts w:hint="eastAsia"/>
              <w:szCs w:val="21"/>
            </w:rPr>
            <w:fldChar w:fldCharType="begin"/>
          </w:r>
          <w:r>
            <w:rPr>
              <w:rFonts w:hint="eastAsia"/>
              <w:szCs w:val="21"/>
            </w:rPr>
            <w:instrText xml:space="preserve"> </w:instrText>
          </w:r>
          <w:r>
            <w:rPr>
              <w:szCs w:val="21"/>
            </w:rPr>
            <w:instrText xml:space="preserve">PAGEREF _Toc225205386 \h</w:instrText>
          </w:r>
          <w:r>
            <w:rPr>
              <w:rFonts w:hint="eastAsia"/>
              <w:szCs w:val="21"/>
            </w:rPr>
            <w:instrText xml:space="preserve"> </w:instrText>
          </w:r>
          <w:r>
            <w:rPr>
              <w:rFonts w:hint="eastAsia"/>
              <w:szCs w:val="21"/>
            </w:rPr>
            <w:fldChar w:fldCharType="separate"/>
          </w:r>
          <w:r>
            <w:rPr>
              <w:rFonts w:hint="eastAsia"/>
              <w:szCs w:val="21"/>
            </w:rPr>
            <w:t>10</w:t>
          </w:r>
          <w:r>
            <w:rPr>
              <w:rFonts w:hint="eastAsia"/>
              <w:szCs w:val="21"/>
            </w:rPr>
            <w:fldChar w:fldCharType="end"/>
          </w:r>
          <w:r>
            <w:rPr>
              <w:rFonts w:hint="eastAsia"/>
              <w:szCs w:val="21"/>
            </w:rPr>
            <w:fldChar w:fldCharType="end"/>
          </w:r>
        </w:p>
        <w:p w14:paraId="42ECC55E">
          <w:pPr>
            <w:pStyle w:val="6"/>
            <w:rPr>
              <w:rFonts w:hint="eastAsia"/>
              <w:szCs w:val="21"/>
              <w14:ligatures w14:val="standardContextual"/>
            </w:rPr>
          </w:pPr>
          <w:r>
            <w:fldChar w:fldCharType="begin"/>
          </w:r>
          <w:r>
            <w:instrText xml:space="preserve"> HYPERLINK \l "_Toc225205389" </w:instrText>
          </w:r>
          <w:r>
            <w:fldChar w:fldCharType="separate"/>
          </w:r>
          <w:r>
            <w:rPr>
              <w:rStyle w:val="17"/>
              <w:rFonts w:hint="eastAsia"/>
              <w:szCs w:val="21"/>
            </w:rPr>
            <w:t>10.1 数据采集</w:t>
          </w:r>
          <w:r>
            <w:rPr>
              <w:rFonts w:hint="eastAsia"/>
              <w:szCs w:val="21"/>
            </w:rPr>
            <w:tab/>
          </w:r>
          <w:r>
            <w:rPr>
              <w:rFonts w:hint="eastAsia"/>
              <w:szCs w:val="21"/>
            </w:rPr>
            <w:fldChar w:fldCharType="begin"/>
          </w:r>
          <w:r>
            <w:rPr>
              <w:rFonts w:hint="eastAsia"/>
              <w:szCs w:val="21"/>
            </w:rPr>
            <w:instrText xml:space="preserve"> </w:instrText>
          </w:r>
          <w:r>
            <w:rPr>
              <w:szCs w:val="21"/>
            </w:rPr>
            <w:instrText xml:space="preserve">PAGEREF _Toc225205389 \h</w:instrText>
          </w:r>
          <w:r>
            <w:rPr>
              <w:rFonts w:hint="eastAsia"/>
              <w:szCs w:val="21"/>
            </w:rPr>
            <w:instrText xml:space="preserve"> </w:instrText>
          </w:r>
          <w:r>
            <w:rPr>
              <w:rFonts w:hint="eastAsia"/>
              <w:szCs w:val="21"/>
            </w:rPr>
            <w:fldChar w:fldCharType="separate"/>
          </w:r>
          <w:r>
            <w:rPr>
              <w:rFonts w:hint="eastAsia"/>
              <w:szCs w:val="21"/>
            </w:rPr>
            <w:t>10</w:t>
          </w:r>
          <w:r>
            <w:rPr>
              <w:rFonts w:hint="eastAsia"/>
              <w:szCs w:val="21"/>
            </w:rPr>
            <w:fldChar w:fldCharType="end"/>
          </w:r>
          <w:r>
            <w:rPr>
              <w:rFonts w:hint="eastAsia"/>
              <w:szCs w:val="21"/>
            </w:rPr>
            <w:fldChar w:fldCharType="end"/>
          </w:r>
        </w:p>
        <w:p w14:paraId="105C839D">
          <w:pPr>
            <w:pStyle w:val="6"/>
            <w:rPr>
              <w:rFonts w:hint="eastAsia"/>
              <w:szCs w:val="21"/>
              <w14:ligatures w14:val="standardContextual"/>
            </w:rPr>
          </w:pPr>
          <w:r>
            <w:fldChar w:fldCharType="begin"/>
          </w:r>
          <w:r>
            <w:instrText xml:space="preserve"> HYPERLINK \l "_Toc225205390" </w:instrText>
          </w:r>
          <w:r>
            <w:fldChar w:fldCharType="separate"/>
          </w:r>
          <w:r>
            <w:rPr>
              <w:rStyle w:val="17"/>
              <w:rFonts w:hint="eastAsia"/>
              <w:szCs w:val="21"/>
            </w:rPr>
            <w:t>10.2</w:t>
          </w:r>
          <w:r>
            <w:rPr>
              <w:rFonts w:hint="eastAsia"/>
              <w:szCs w:val="21"/>
              <w14:ligatures w14:val="standardContextual"/>
            </w:rPr>
            <w:tab/>
          </w:r>
          <w:r>
            <w:rPr>
              <w:rStyle w:val="17"/>
              <w:rFonts w:hint="eastAsia"/>
              <w:szCs w:val="21"/>
            </w:rPr>
            <w:t>数据记录</w:t>
          </w:r>
          <w:r>
            <w:rPr>
              <w:rFonts w:hint="eastAsia"/>
              <w:szCs w:val="21"/>
            </w:rPr>
            <w:tab/>
          </w:r>
          <w:r>
            <w:rPr>
              <w:rFonts w:hint="eastAsia"/>
              <w:szCs w:val="21"/>
            </w:rPr>
            <w:fldChar w:fldCharType="begin"/>
          </w:r>
          <w:r>
            <w:rPr>
              <w:rFonts w:hint="eastAsia"/>
              <w:szCs w:val="21"/>
            </w:rPr>
            <w:instrText xml:space="preserve"> </w:instrText>
          </w:r>
          <w:r>
            <w:rPr>
              <w:szCs w:val="21"/>
            </w:rPr>
            <w:instrText xml:space="preserve">PAGEREF _Toc225205390 \h</w:instrText>
          </w:r>
          <w:r>
            <w:rPr>
              <w:rFonts w:hint="eastAsia"/>
              <w:szCs w:val="21"/>
            </w:rPr>
            <w:instrText xml:space="preserve"> </w:instrText>
          </w:r>
          <w:r>
            <w:rPr>
              <w:rFonts w:hint="eastAsia"/>
              <w:szCs w:val="21"/>
            </w:rPr>
            <w:fldChar w:fldCharType="separate"/>
          </w:r>
          <w:r>
            <w:rPr>
              <w:rFonts w:hint="eastAsia"/>
              <w:szCs w:val="21"/>
            </w:rPr>
            <w:t>11</w:t>
          </w:r>
          <w:r>
            <w:rPr>
              <w:rFonts w:hint="eastAsia"/>
              <w:szCs w:val="21"/>
            </w:rPr>
            <w:fldChar w:fldCharType="end"/>
          </w:r>
          <w:r>
            <w:rPr>
              <w:rFonts w:hint="eastAsia"/>
              <w:szCs w:val="21"/>
            </w:rPr>
            <w:fldChar w:fldCharType="end"/>
          </w:r>
        </w:p>
        <w:p w14:paraId="4831D70E">
          <w:pPr>
            <w:pStyle w:val="6"/>
            <w:rPr>
              <w:rFonts w:hint="eastAsia"/>
              <w:szCs w:val="21"/>
              <w14:ligatures w14:val="standardContextual"/>
            </w:rPr>
          </w:pPr>
          <w:r>
            <w:fldChar w:fldCharType="begin"/>
          </w:r>
          <w:r>
            <w:instrText xml:space="preserve"> HYPERLINK \l "_Toc225205391" </w:instrText>
          </w:r>
          <w:r>
            <w:fldChar w:fldCharType="separate"/>
          </w:r>
          <w:r>
            <w:rPr>
              <w:rStyle w:val="17"/>
              <w:rFonts w:hint="eastAsia"/>
              <w:szCs w:val="21"/>
            </w:rPr>
            <w:t>10.3 数据预处理</w:t>
          </w:r>
          <w:r>
            <w:rPr>
              <w:rFonts w:hint="eastAsia"/>
              <w:szCs w:val="21"/>
            </w:rPr>
            <w:tab/>
          </w:r>
          <w:r>
            <w:rPr>
              <w:rFonts w:hint="eastAsia"/>
              <w:szCs w:val="21"/>
            </w:rPr>
            <w:fldChar w:fldCharType="begin"/>
          </w:r>
          <w:r>
            <w:rPr>
              <w:rFonts w:hint="eastAsia"/>
              <w:szCs w:val="21"/>
            </w:rPr>
            <w:instrText xml:space="preserve"> </w:instrText>
          </w:r>
          <w:r>
            <w:rPr>
              <w:szCs w:val="21"/>
            </w:rPr>
            <w:instrText xml:space="preserve">PAGEREF _Toc225205391 \h</w:instrText>
          </w:r>
          <w:r>
            <w:rPr>
              <w:rFonts w:hint="eastAsia"/>
              <w:szCs w:val="21"/>
            </w:rPr>
            <w:instrText xml:space="preserve"> </w:instrText>
          </w:r>
          <w:r>
            <w:rPr>
              <w:rFonts w:hint="eastAsia"/>
              <w:szCs w:val="21"/>
            </w:rPr>
            <w:fldChar w:fldCharType="separate"/>
          </w:r>
          <w:r>
            <w:rPr>
              <w:rFonts w:hint="eastAsia"/>
              <w:szCs w:val="21"/>
            </w:rPr>
            <w:t>11</w:t>
          </w:r>
          <w:r>
            <w:rPr>
              <w:rFonts w:hint="eastAsia"/>
              <w:szCs w:val="21"/>
            </w:rPr>
            <w:fldChar w:fldCharType="end"/>
          </w:r>
          <w:r>
            <w:rPr>
              <w:rFonts w:hint="eastAsia"/>
              <w:szCs w:val="21"/>
            </w:rPr>
            <w:fldChar w:fldCharType="end"/>
          </w:r>
        </w:p>
        <w:p w14:paraId="3B1416B1">
          <w:pPr>
            <w:pStyle w:val="6"/>
            <w:rPr>
              <w:rFonts w:hint="eastAsia"/>
              <w:szCs w:val="21"/>
              <w14:ligatures w14:val="standardContextual"/>
            </w:rPr>
          </w:pPr>
          <w:r>
            <w:fldChar w:fldCharType="begin"/>
          </w:r>
          <w:r>
            <w:instrText xml:space="preserve"> HYPERLINK \l "_Toc225205392" </w:instrText>
          </w:r>
          <w:r>
            <w:fldChar w:fldCharType="separate"/>
          </w:r>
          <w:r>
            <w:rPr>
              <w:rStyle w:val="17"/>
              <w:rFonts w:hint="eastAsia"/>
              <w:szCs w:val="21"/>
            </w:rPr>
            <w:t>10.4 数据保存</w:t>
          </w:r>
          <w:r>
            <w:rPr>
              <w:rFonts w:hint="eastAsia"/>
              <w:szCs w:val="21"/>
            </w:rPr>
            <w:tab/>
          </w:r>
          <w:r>
            <w:rPr>
              <w:rFonts w:hint="eastAsia"/>
              <w:szCs w:val="21"/>
            </w:rPr>
            <w:fldChar w:fldCharType="begin"/>
          </w:r>
          <w:r>
            <w:rPr>
              <w:rFonts w:hint="eastAsia"/>
              <w:szCs w:val="21"/>
            </w:rPr>
            <w:instrText xml:space="preserve"> </w:instrText>
          </w:r>
          <w:r>
            <w:rPr>
              <w:szCs w:val="21"/>
            </w:rPr>
            <w:instrText xml:space="preserve">PAGEREF _Toc225205392 \h</w:instrText>
          </w:r>
          <w:r>
            <w:rPr>
              <w:rFonts w:hint="eastAsia"/>
              <w:szCs w:val="21"/>
            </w:rPr>
            <w:instrText xml:space="preserve"> </w:instrText>
          </w:r>
          <w:r>
            <w:rPr>
              <w:rFonts w:hint="eastAsia"/>
              <w:szCs w:val="21"/>
            </w:rPr>
            <w:fldChar w:fldCharType="separate"/>
          </w:r>
          <w:r>
            <w:rPr>
              <w:rFonts w:hint="eastAsia"/>
              <w:szCs w:val="21"/>
            </w:rPr>
            <w:t>11</w:t>
          </w:r>
          <w:r>
            <w:rPr>
              <w:rFonts w:hint="eastAsia"/>
              <w:szCs w:val="21"/>
            </w:rPr>
            <w:fldChar w:fldCharType="end"/>
          </w:r>
          <w:r>
            <w:rPr>
              <w:rFonts w:hint="eastAsia"/>
              <w:szCs w:val="21"/>
            </w:rPr>
            <w:fldChar w:fldCharType="end"/>
          </w:r>
        </w:p>
        <w:p w14:paraId="0CB75FA4">
          <w:pPr>
            <w:pStyle w:val="6"/>
            <w:rPr>
              <w:rFonts w:hint="eastAsia"/>
              <w:szCs w:val="21"/>
              <w14:ligatures w14:val="standardContextual"/>
            </w:rPr>
          </w:pPr>
          <w:r>
            <w:fldChar w:fldCharType="begin"/>
          </w:r>
          <w:r>
            <w:instrText xml:space="preserve"> HYPERLINK \l "_Toc225205393" </w:instrText>
          </w:r>
          <w:r>
            <w:fldChar w:fldCharType="separate"/>
          </w:r>
          <w:r>
            <w:rPr>
              <w:rStyle w:val="17"/>
              <w:rFonts w:hint="eastAsia"/>
              <w:szCs w:val="21"/>
            </w:rPr>
            <w:t>10.5 数据质量控制</w:t>
          </w:r>
          <w:r>
            <w:rPr>
              <w:rFonts w:hint="eastAsia"/>
              <w:szCs w:val="21"/>
            </w:rPr>
            <w:tab/>
          </w:r>
          <w:r>
            <w:rPr>
              <w:rFonts w:hint="eastAsia"/>
              <w:szCs w:val="21"/>
            </w:rPr>
            <w:fldChar w:fldCharType="begin"/>
          </w:r>
          <w:r>
            <w:rPr>
              <w:rFonts w:hint="eastAsia"/>
              <w:szCs w:val="21"/>
            </w:rPr>
            <w:instrText xml:space="preserve"> </w:instrText>
          </w:r>
          <w:r>
            <w:rPr>
              <w:szCs w:val="21"/>
            </w:rPr>
            <w:instrText xml:space="preserve">PAGEREF _Toc225205393 \h</w:instrText>
          </w:r>
          <w:r>
            <w:rPr>
              <w:rFonts w:hint="eastAsia"/>
              <w:szCs w:val="21"/>
            </w:rPr>
            <w:instrText xml:space="preserve"> </w:instrText>
          </w:r>
          <w:r>
            <w:rPr>
              <w:rFonts w:hint="eastAsia"/>
              <w:szCs w:val="21"/>
            </w:rPr>
            <w:fldChar w:fldCharType="separate"/>
          </w:r>
          <w:r>
            <w:rPr>
              <w:rFonts w:hint="eastAsia"/>
              <w:szCs w:val="21"/>
            </w:rPr>
            <w:t>11</w:t>
          </w:r>
          <w:r>
            <w:rPr>
              <w:rFonts w:hint="eastAsia"/>
              <w:szCs w:val="21"/>
            </w:rPr>
            <w:fldChar w:fldCharType="end"/>
          </w:r>
          <w:r>
            <w:rPr>
              <w:rFonts w:hint="eastAsia"/>
              <w:szCs w:val="21"/>
            </w:rPr>
            <w:fldChar w:fldCharType="end"/>
          </w:r>
        </w:p>
        <w:p w14:paraId="71DCDA29">
          <w:pPr>
            <w:pStyle w:val="13"/>
            <w:tabs>
              <w:tab w:val="left" w:pos="1100"/>
              <w:tab w:val="right" w:leader="dot" w:pos="9345"/>
            </w:tabs>
            <w:rPr>
              <w:rFonts w:hint="eastAsia"/>
              <w:szCs w:val="21"/>
              <w14:ligatures w14:val="standardContextual"/>
            </w:rPr>
          </w:pPr>
          <w:r>
            <w:fldChar w:fldCharType="begin"/>
          </w:r>
          <w:r>
            <w:instrText xml:space="preserve"> HYPERLINK \l "_Toc225205394" </w:instrText>
          </w:r>
          <w:r>
            <w:fldChar w:fldCharType="separate"/>
          </w:r>
          <w:r>
            <w:rPr>
              <w:rStyle w:val="17"/>
              <w:rFonts w:hint="eastAsia"/>
              <w:szCs w:val="21"/>
            </w:rPr>
            <w:t>11</w:t>
          </w:r>
          <w:r>
            <w:rPr>
              <w:rFonts w:hint="eastAsia"/>
              <w:szCs w:val="21"/>
              <w14:ligatures w14:val="standardContextual"/>
            </w:rPr>
            <w:tab/>
          </w:r>
          <w:r>
            <w:rPr>
              <w:rStyle w:val="17"/>
              <w:rFonts w:hint="eastAsia"/>
              <w:szCs w:val="21"/>
            </w:rPr>
            <w:t>监测成果编制</w:t>
          </w:r>
          <w:r>
            <w:rPr>
              <w:rFonts w:hint="eastAsia"/>
              <w:szCs w:val="21"/>
            </w:rPr>
            <w:tab/>
          </w:r>
          <w:r>
            <w:rPr>
              <w:rFonts w:hint="eastAsia"/>
              <w:szCs w:val="21"/>
            </w:rPr>
            <w:fldChar w:fldCharType="begin"/>
          </w:r>
          <w:r>
            <w:rPr>
              <w:rFonts w:hint="eastAsia"/>
              <w:szCs w:val="21"/>
            </w:rPr>
            <w:instrText xml:space="preserve"> </w:instrText>
          </w:r>
          <w:r>
            <w:rPr>
              <w:szCs w:val="21"/>
            </w:rPr>
            <w:instrText xml:space="preserve">PAGEREF _Toc225205394 \h</w:instrText>
          </w:r>
          <w:r>
            <w:rPr>
              <w:rFonts w:hint="eastAsia"/>
              <w:szCs w:val="21"/>
            </w:rPr>
            <w:instrText xml:space="preserve"> </w:instrText>
          </w:r>
          <w:r>
            <w:rPr>
              <w:rFonts w:hint="eastAsia"/>
              <w:szCs w:val="21"/>
            </w:rPr>
            <w:fldChar w:fldCharType="separate"/>
          </w:r>
          <w:r>
            <w:rPr>
              <w:rFonts w:hint="eastAsia"/>
              <w:szCs w:val="21"/>
            </w:rPr>
            <w:t>12</w:t>
          </w:r>
          <w:r>
            <w:rPr>
              <w:rFonts w:hint="eastAsia"/>
              <w:szCs w:val="21"/>
            </w:rPr>
            <w:fldChar w:fldCharType="end"/>
          </w:r>
          <w:r>
            <w:rPr>
              <w:rFonts w:hint="eastAsia"/>
              <w:szCs w:val="21"/>
            </w:rPr>
            <w:fldChar w:fldCharType="end"/>
          </w:r>
        </w:p>
        <w:p w14:paraId="40AA50F4">
          <w:pPr>
            <w:pStyle w:val="12"/>
            <w:ind w:firstLine="420" w:firstLineChars="200"/>
            <w:rPr>
              <w:rFonts w:hint="eastAsia"/>
              <w14:ligatures w14:val="standardContextual"/>
            </w:rPr>
          </w:pPr>
          <w:r>
            <w:fldChar w:fldCharType="begin"/>
          </w:r>
          <w:r>
            <w:instrText xml:space="preserve"> HYPERLINK \l "_Toc225205395" </w:instrText>
          </w:r>
          <w:r>
            <w:fldChar w:fldCharType="separate"/>
          </w:r>
          <w:r>
            <w:rPr>
              <w:rStyle w:val="17"/>
              <w:rFonts w:hint="eastAsia"/>
              <w:szCs w:val="21"/>
            </w:rPr>
            <w:t>附录A（资料性附录） 稀土矿山生态环境监测内容对应监测指标和检测项目一览表</w:t>
          </w:r>
          <w:r>
            <w:rPr>
              <w:rFonts w:hint="eastAsia"/>
            </w:rPr>
            <w:tab/>
          </w:r>
          <w:r>
            <w:rPr>
              <w:rFonts w:hint="eastAsia"/>
            </w:rPr>
            <w:fldChar w:fldCharType="begin"/>
          </w:r>
          <w:r>
            <w:rPr>
              <w:rFonts w:hint="eastAsia"/>
            </w:rPr>
            <w:instrText xml:space="preserve"> </w:instrText>
          </w:r>
          <w:r>
            <w:instrText xml:space="preserve">PAGEREF _Toc225205395 \h</w:instrText>
          </w:r>
          <w:r>
            <w:rPr>
              <w:rFonts w:hint="eastAsia"/>
            </w:rPr>
            <w:instrText xml:space="preserve"> </w:instrText>
          </w:r>
          <w:r>
            <w:rPr>
              <w:rFonts w:hint="eastAsia"/>
            </w:rPr>
            <w:fldChar w:fldCharType="separate"/>
          </w:r>
          <w:r>
            <w:rPr>
              <w:rFonts w:hint="eastAsia"/>
            </w:rPr>
            <w:t>13</w:t>
          </w:r>
          <w:r>
            <w:rPr>
              <w:rFonts w:hint="eastAsia"/>
            </w:rPr>
            <w:fldChar w:fldCharType="end"/>
          </w:r>
          <w:r>
            <w:rPr>
              <w:rFonts w:hint="eastAsia"/>
            </w:rPr>
            <w:fldChar w:fldCharType="end"/>
          </w:r>
        </w:p>
        <w:p w14:paraId="60F0766F">
          <w:pPr>
            <w:pStyle w:val="12"/>
            <w:ind w:firstLine="420" w:firstLineChars="200"/>
            <w:rPr>
              <w:rFonts w:hint="eastAsia"/>
              <w14:ligatures w14:val="standardContextual"/>
            </w:rPr>
          </w:pPr>
          <w:r>
            <w:fldChar w:fldCharType="begin"/>
          </w:r>
          <w:r>
            <w:instrText xml:space="preserve"> HYPERLINK \l "_Toc225205396" </w:instrText>
          </w:r>
          <w:r>
            <w:fldChar w:fldCharType="separate"/>
          </w:r>
          <w:r>
            <w:rPr>
              <w:rStyle w:val="17"/>
              <w:rFonts w:hint="eastAsia"/>
              <w:szCs w:val="21"/>
            </w:rPr>
            <w:t>附录B（规范性附录） 稀土矿山生态环境监测方案编写提纲</w:t>
          </w:r>
          <w:r>
            <w:rPr>
              <w:rFonts w:hint="eastAsia"/>
            </w:rPr>
            <w:tab/>
          </w:r>
          <w:r>
            <w:rPr>
              <w:rFonts w:hint="eastAsia"/>
            </w:rPr>
            <w:fldChar w:fldCharType="begin"/>
          </w:r>
          <w:r>
            <w:rPr>
              <w:rFonts w:hint="eastAsia"/>
            </w:rPr>
            <w:instrText xml:space="preserve"> </w:instrText>
          </w:r>
          <w:r>
            <w:instrText xml:space="preserve">PAGEREF _Toc225205396 \h</w:instrText>
          </w:r>
          <w:r>
            <w:rPr>
              <w:rFonts w:hint="eastAsia"/>
            </w:rPr>
            <w:instrText xml:space="preserve"> </w:instrText>
          </w:r>
          <w:r>
            <w:rPr>
              <w:rFonts w:hint="eastAsia"/>
            </w:rPr>
            <w:fldChar w:fldCharType="separate"/>
          </w:r>
          <w:r>
            <w:rPr>
              <w:rFonts w:hint="eastAsia"/>
            </w:rPr>
            <w:t>15</w:t>
          </w:r>
          <w:r>
            <w:rPr>
              <w:rFonts w:hint="eastAsia"/>
            </w:rPr>
            <w:fldChar w:fldCharType="end"/>
          </w:r>
          <w:r>
            <w:rPr>
              <w:rFonts w:hint="eastAsia"/>
            </w:rPr>
            <w:fldChar w:fldCharType="end"/>
          </w:r>
        </w:p>
        <w:p w14:paraId="0F996F28">
          <w:pPr>
            <w:pStyle w:val="12"/>
            <w:ind w:firstLine="420" w:firstLineChars="200"/>
            <w:rPr>
              <w:rFonts w:hint="eastAsia"/>
              <w14:ligatures w14:val="standardContextual"/>
            </w:rPr>
          </w:pPr>
          <w:r>
            <w:fldChar w:fldCharType="begin"/>
          </w:r>
          <w:r>
            <w:instrText xml:space="preserve"> HYPERLINK \l "_Toc225205407" </w:instrText>
          </w:r>
          <w:r>
            <w:fldChar w:fldCharType="separate"/>
          </w:r>
          <w:r>
            <w:rPr>
              <w:rStyle w:val="17"/>
              <w:rFonts w:hint="eastAsia" w:cstheme="majorBidi"/>
              <w:bCs/>
              <w:szCs w:val="21"/>
            </w:rPr>
            <w:t>附录C</w:t>
          </w:r>
          <w:r>
            <w:rPr>
              <w:rStyle w:val="17"/>
              <w:rFonts w:hint="eastAsia" w:hAnsi="黑体" w:cstheme="majorBidi"/>
              <w:bCs/>
              <w:szCs w:val="21"/>
            </w:rPr>
            <w:t>（规范性附录） 稀土矿山生态环境监测成果报告提纲</w:t>
          </w:r>
          <w:r>
            <w:rPr>
              <w:rFonts w:hint="eastAsia"/>
            </w:rPr>
            <w:tab/>
          </w:r>
          <w:r>
            <w:rPr>
              <w:rFonts w:hint="eastAsia"/>
            </w:rPr>
            <w:fldChar w:fldCharType="begin"/>
          </w:r>
          <w:r>
            <w:rPr>
              <w:rFonts w:hint="eastAsia"/>
            </w:rPr>
            <w:instrText xml:space="preserve"> </w:instrText>
          </w:r>
          <w:r>
            <w:instrText xml:space="preserve">PAGEREF _Toc225205407 \h</w:instrText>
          </w:r>
          <w:r>
            <w:rPr>
              <w:rFonts w:hint="eastAsia"/>
            </w:rPr>
            <w:instrText xml:space="preserve"> </w:instrText>
          </w:r>
          <w:r>
            <w:rPr>
              <w:rFonts w:hint="eastAsia"/>
            </w:rPr>
            <w:fldChar w:fldCharType="separate"/>
          </w:r>
          <w:r>
            <w:rPr>
              <w:rFonts w:hint="eastAsia"/>
            </w:rPr>
            <w:t>17</w:t>
          </w:r>
          <w:r>
            <w:rPr>
              <w:rFonts w:hint="eastAsia"/>
            </w:rPr>
            <w:fldChar w:fldCharType="end"/>
          </w:r>
          <w:r>
            <w:rPr>
              <w:rFonts w:hint="eastAsia"/>
            </w:rPr>
            <w:fldChar w:fldCharType="end"/>
          </w:r>
        </w:p>
        <w:p w14:paraId="759C356A">
          <w:pPr>
            <w:spacing w:line="300" w:lineRule="auto"/>
            <w:rPr>
              <w:rFonts w:hint="eastAsia"/>
            </w:rPr>
          </w:pPr>
          <w:r>
            <w:rPr>
              <w:b/>
              <w:bCs/>
              <w:szCs w:val="21"/>
              <w:lang w:val="zh-CN"/>
            </w:rPr>
            <w:fldChar w:fldCharType="end"/>
          </w:r>
        </w:p>
      </w:sdtContent>
    </w:sdt>
    <w:p w14:paraId="04BA1674">
      <w:pPr>
        <w:rPr>
          <w:rFonts w:hint="eastAsia"/>
        </w:rPr>
      </w:pPr>
    </w:p>
    <w:p w14:paraId="71FC05D4">
      <w:pPr>
        <w:pStyle w:val="2"/>
        <w:jc w:val="center"/>
        <w:rPr>
          <w:rFonts w:hint="eastAsia" w:ascii="黑体" w:hAnsi="黑体" w:eastAsia="黑体"/>
          <w:b w:val="0"/>
          <w:sz w:val="32"/>
          <w:szCs w:val="32"/>
        </w:rPr>
        <w:sectPr>
          <w:headerReference r:id="rId9" w:type="default"/>
          <w:footerReference r:id="rId10" w:type="default"/>
          <w:pgSz w:w="11906" w:h="16838"/>
          <w:pgMar w:top="1771" w:right="1417" w:bottom="567" w:left="1134" w:header="1418" w:footer="121" w:gutter="0"/>
          <w:pgNumType w:start="1"/>
          <w:cols w:space="425" w:num="1"/>
          <w:formProt w:val="0"/>
          <w:docGrid w:type="lines" w:linePitch="312" w:charSpace="0"/>
        </w:sectPr>
      </w:pPr>
      <w:bookmarkStart w:id="9" w:name="_Toc104298529"/>
    </w:p>
    <w:p w14:paraId="6C787DDD">
      <w:pPr>
        <w:pStyle w:val="80"/>
      </w:pPr>
      <w:bookmarkStart w:id="10" w:name="_Toc104327276"/>
      <w:bookmarkStart w:id="11" w:name="_Toc104298526"/>
      <w:bookmarkStart w:id="12" w:name="_Toc152342158"/>
      <w:bookmarkStart w:id="13" w:name="_Toc225205330"/>
      <w:bookmarkStart w:id="14" w:name="_Toc104327279"/>
      <w:bookmarkStart w:id="15" w:name="_Toc152342161"/>
      <w:r>
        <w:rPr>
          <w:rFonts w:hint="eastAsia"/>
        </w:rPr>
        <w:t xml:space="preserve">前 </w:t>
      </w:r>
      <w:r>
        <w:t xml:space="preserve">   </w:t>
      </w:r>
      <w:r>
        <w:rPr>
          <w:rFonts w:hint="eastAsia"/>
        </w:rPr>
        <w:t>言</w:t>
      </w:r>
      <w:bookmarkEnd w:id="10"/>
      <w:bookmarkEnd w:id="11"/>
      <w:bookmarkEnd w:id="12"/>
      <w:bookmarkEnd w:id="13"/>
    </w:p>
    <w:p w14:paraId="5BC8F07D">
      <w:pPr>
        <w:pStyle w:val="37"/>
        <w:ind w:firstLine="420"/>
        <w:rPr>
          <w:rFonts w:ascii="Times New Roman"/>
        </w:rPr>
      </w:pPr>
      <w:bookmarkStart w:id="16" w:name="_Hlk80430991"/>
    </w:p>
    <w:p w14:paraId="1D7839DE">
      <w:pPr>
        <w:pStyle w:val="39"/>
      </w:pPr>
      <w:r>
        <w:rPr>
          <w:rFonts w:hint="eastAsia"/>
        </w:rPr>
        <w:t>本文件按照GB/T 1.1—2020《标准化工作导则 第1部分:标准化文件的结构和起草规则》的规定起草。</w:t>
      </w:r>
    </w:p>
    <w:p w14:paraId="2850C88D">
      <w:pPr>
        <w:pStyle w:val="39"/>
      </w:pPr>
      <w:r>
        <w:rPr>
          <w:rFonts w:hint="eastAsia"/>
        </w:rPr>
        <w:t>请注意本文件的某些内容可能涉及专利。本文件的发布机构不承担识别专利的责任。</w:t>
      </w:r>
    </w:p>
    <w:p w14:paraId="00887EFC">
      <w:pPr>
        <w:pStyle w:val="39"/>
      </w:pPr>
      <w:r>
        <w:rPr>
          <w:rFonts w:hint="eastAsia"/>
        </w:rPr>
        <w:t>本文件由中国地质灾害防治与生态修复协会提出并归口。</w:t>
      </w:r>
    </w:p>
    <w:p w14:paraId="501B3532">
      <w:pPr>
        <w:pStyle w:val="39"/>
      </w:pPr>
      <w:r>
        <w:rPr>
          <w:rFonts w:hint="eastAsia"/>
        </w:rPr>
        <w:t>本文件起草单位:</w:t>
      </w:r>
      <w:r>
        <w:rPr>
          <w:rFonts w:ascii="Times New Roman"/>
        </w:rPr>
        <w:t>中国地质环境监测院</w:t>
      </w:r>
      <w:bookmarkEnd w:id="16"/>
      <w:r>
        <w:rPr>
          <w:rFonts w:hint="eastAsia" w:ascii="Times New Roman"/>
        </w:rPr>
        <w:t>、江西省地质调查勘查院地质环境监测所、东北大学、江西理工大学、上海华测导航技术股份有限公司</w:t>
      </w:r>
      <w:r>
        <w:rPr>
          <w:rFonts w:ascii="Times New Roman"/>
        </w:rPr>
        <w:t>。</w:t>
      </w:r>
    </w:p>
    <w:p w14:paraId="3ED49EB3">
      <w:pPr>
        <w:pStyle w:val="37"/>
        <w:ind w:firstLine="420"/>
        <w:rPr>
          <w:rFonts w:ascii="Times New Roman"/>
        </w:rPr>
      </w:pPr>
      <w:r>
        <w:rPr>
          <w:rFonts w:ascii="Times New Roman"/>
        </w:rPr>
        <w:t>本文件主要起草人：</w:t>
      </w:r>
      <w:r>
        <w:rPr>
          <w:rFonts w:hint="eastAsia" w:ascii="Times New Roman"/>
        </w:rPr>
        <w:t>。</w:t>
      </w:r>
    </w:p>
    <w:p w14:paraId="2898A793">
      <w:pPr>
        <w:pStyle w:val="39"/>
      </w:pPr>
      <w:r>
        <w:rPr>
          <w:rFonts w:hint="eastAsia"/>
        </w:rPr>
        <w:t>本文件由中国地质灾害防治与生态修复协会负责解释。</w:t>
      </w:r>
    </w:p>
    <w:p w14:paraId="0CC7E236">
      <w:pPr>
        <w:pStyle w:val="37"/>
        <w:ind w:firstLine="420"/>
        <w:rPr>
          <w:rFonts w:ascii="Times New Roman"/>
        </w:rPr>
      </w:pPr>
    </w:p>
    <w:p w14:paraId="7DD90334">
      <w:pPr>
        <w:widowControl/>
        <w:jc w:val="left"/>
        <w:rPr>
          <w:rFonts w:hint="eastAsia" w:ascii="宋体" w:hAnsi="宋体" w:eastAsia="宋体" w:cstheme="majorBidi"/>
          <w:b/>
          <w:bCs/>
          <w:sz w:val="28"/>
          <w:szCs w:val="28"/>
        </w:rPr>
      </w:pPr>
      <w:r>
        <w:rPr>
          <w:rFonts w:ascii="宋体" w:hAnsi="宋体" w:eastAsia="宋体"/>
          <w:sz w:val="28"/>
          <w:szCs w:val="28"/>
        </w:rPr>
        <w:br w:type="page"/>
      </w:r>
    </w:p>
    <w:p w14:paraId="095CDB5A">
      <w:pPr>
        <w:pStyle w:val="80"/>
        <w:tabs>
          <w:tab w:val="left" w:pos="600"/>
          <w:tab w:val="center" w:pos="4153"/>
        </w:tabs>
        <w:jc w:val="left"/>
      </w:pPr>
      <w:bookmarkStart w:id="17" w:name="_Toc104298527"/>
      <w:bookmarkStart w:id="18" w:name="_Toc104327277"/>
      <w:bookmarkStart w:id="19" w:name="_Toc152342159"/>
      <w:bookmarkStart w:id="20" w:name="_Toc225205331"/>
      <w:r>
        <w:tab/>
      </w:r>
      <w:r>
        <w:tab/>
      </w:r>
      <w:r>
        <w:rPr>
          <w:rFonts w:hint="eastAsia"/>
        </w:rPr>
        <w:t xml:space="preserve">引 </w:t>
      </w:r>
      <w:r>
        <w:t xml:space="preserve">   </w:t>
      </w:r>
      <w:r>
        <w:rPr>
          <w:rFonts w:hint="eastAsia"/>
        </w:rPr>
        <w:t>言</w:t>
      </w:r>
      <w:bookmarkEnd w:id="17"/>
      <w:bookmarkEnd w:id="18"/>
      <w:bookmarkEnd w:id="19"/>
      <w:bookmarkEnd w:id="20"/>
    </w:p>
    <w:p w14:paraId="4A57D01B">
      <w:pPr>
        <w:pStyle w:val="37"/>
        <w:ind w:firstLine="420"/>
        <w:rPr>
          <w:rFonts w:hint="eastAsia" w:ascii="黑体" w:hAnsi="黑体" w:eastAsia="黑体"/>
          <w:bCs/>
          <w:kern w:val="44"/>
          <w:sz w:val="36"/>
          <w:szCs w:val="36"/>
        </w:rPr>
      </w:pPr>
      <w:r>
        <w:rPr>
          <w:rFonts w:ascii="Times New Roman"/>
        </w:rPr>
        <w:t>稀土矿</w:t>
      </w:r>
      <w:r>
        <w:rPr>
          <w:rFonts w:hint="eastAsia" w:ascii="Times New Roman"/>
        </w:rPr>
        <w:t>作为关键</w:t>
      </w:r>
      <w:r>
        <w:rPr>
          <w:rFonts w:ascii="Times New Roman"/>
        </w:rPr>
        <w:t>战略资源，其开采过程的特殊性与复杂地质条件，易引发表土剥离、水土流失及</w:t>
      </w:r>
      <w:r>
        <w:rPr>
          <w:rFonts w:hint="eastAsia" w:ascii="Times New Roman"/>
        </w:rPr>
        <w:t>水土环境</w:t>
      </w:r>
      <w:r>
        <w:rPr>
          <w:rFonts w:ascii="Times New Roman"/>
        </w:rPr>
        <w:t>污染等生态问题</w:t>
      </w:r>
      <w:r>
        <w:rPr>
          <w:rFonts w:hint="eastAsia" w:ascii="Times New Roman"/>
        </w:rPr>
        <w:t>。</w:t>
      </w:r>
      <w:r>
        <w:rPr>
          <w:rFonts w:ascii="Times New Roman"/>
        </w:rPr>
        <w:t>构建针对性监测体系，旨在精准识别</w:t>
      </w:r>
      <w:r>
        <w:rPr>
          <w:rFonts w:hint="eastAsia" w:ascii="Times New Roman"/>
        </w:rPr>
        <w:t>生态问题</w:t>
      </w:r>
      <w:r>
        <w:rPr>
          <w:rFonts w:ascii="Times New Roman"/>
        </w:rPr>
        <w:t>时空分布与演化机理，为风险源解析及生态修复提供科学依据，</w:t>
      </w:r>
      <w:r>
        <w:rPr>
          <w:rFonts w:hint="eastAsia" w:ascii="Times New Roman"/>
        </w:rPr>
        <w:t>更</w:t>
      </w:r>
      <w:r>
        <w:rPr>
          <w:rFonts w:ascii="Times New Roman"/>
        </w:rPr>
        <w:t>是实现矿区环境精准管控与可持续发展的技术前提。</w:t>
      </w:r>
      <w:r>
        <w:rPr>
          <w:rFonts w:hint="eastAsia" w:ascii="Times New Roman"/>
        </w:rPr>
        <w:t>为规范生产矿山生态环境监测工作，支撑稀土矿山绿色开发和生态保护修复，促进稀土矿业开发良性发展和稀土矿山生态环境监测规范化，加强矿山生态环境监测技术方法标准体系建设，根据《中华人民共和国矿产资源法》、《中华人民共和国土地管理法》、《中华人民共和国环境保护法》、《地质灾害防治条例》、《矿山地质环境保护规定》、《地质环境监测管理办法》、《自然资源调查监测体系构建总体方案》等，并参照相关国家标准和行业标准，制订本文件。稀土矿山生态环境监测工作除应符合本文件外，还应符合国家现行相关法律、法规、政策、强制性标准和技术规范。</w:t>
      </w:r>
    </w:p>
    <w:p w14:paraId="25D76F6E">
      <w:pPr>
        <w:pStyle w:val="79"/>
      </w:pPr>
      <w:bookmarkStart w:id="21" w:name="_Toc204389106"/>
      <w:bookmarkStart w:id="22" w:name="_Toc218656360"/>
      <w:bookmarkStart w:id="23" w:name="_Toc225205332"/>
      <w:r>
        <w:rPr>
          <w:rFonts w:hint="eastAsia"/>
        </w:rPr>
        <w:t>生产矿山生态环境监测</w:t>
      </w:r>
      <w:bookmarkEnd w:id="9"/>
      <w:bookmarkEnd w:id="14"/>
      <w:r>
        <w:rPr>
          <w:rFonts w:hint="eastAsia"/>
        </w:rPr>
        <w:t>技术规范</w:t>
      </w:r>
      <w:bookmarkEnd w:id="15"/>
      <w:bookmarkEnd w:id="21"/>
      <w:r>
        <w:rPr>
          <w:rFonts w:hint="eastAsia"/>
        </w:rPr>
        <w:t>（稀土矿山）</w:t>
      </w:r>
      <w:bookmarkEnd w:id="22"/>
      <w:bookmarkEnd w:id="23"/>
    </w:p>
    <w:p w14:paraId="54DA9DB6">
      <w:pPr>
        <w:pStyle w:val="42"/>
        <w:numPr>
          <w:ilvl w:val="0"/>
          <w:numId w:val="8"/>
        </w:numPr>
        <w:ind w:left="0" w:firstLine="0"/>
      </w:pPr>
      <w:bookmarkStart w:id="24" w:name="_Toc225205333"/>
      <w:r>
        <w:rPr>
          <w:rFonts w:hint="eastAsia"/>
        </w:rPr>
        <w:t>范围</w:t>
      </w:r>
      <w:bookmarkEnd w:id="24"/>
    </w:p>
    <w:p w14:paraId="61E12548">
      <w:pPr>
        <w:pStyle w:val="37"/>
        <w:ind w:firstLine="420"/>
        <w:rPr>
          <w:rFonts w:hint="eastAsia" w:hAnsi="宋体"/>
          <w:bCs/>
          <w:kern w:val="2"/>
        </w:rPr>
      </w:pPr>
      <w:r>
        <w:rPr>
          <w:rFonts w:hint="eastAsia" w:hAnsi="宋体"/>
          <w:bCs/>
          <w:kern w:val="2"/>
        </w:rPr>
        <w:t>本文件规定了稀土生产矿山生态环境监测内容、监测点布设、主要监测方法、监测方案编写、监测数据采集与分析、监测成果编制等内容。</w:t>
      </w:r>
    </w:p>
    <w:p w14:paraId="15603704">
      <w:pPr>
        <w:pStyle w:val="37"/>
        <w:ind w:firstLine="420"/>
        <w:rPr>
          <w:rFonts w:hint="eastAsia" w:hAnsi="宋体"/>
          <w:bCs/>
          <w:kern w:val="2"/>
        </w:rPr>
      </w:pPr>
      <w:r>
        <w:rPr>
          <w:rFonts w:hint="eastAsia" w:hAnsi="宋体"/>
          <w:bCs/>
          <w:kern w:val="2"/>
        </w:rPr>
        <w:t>我国稀土资源在南北方分布上因存在赋存形式的差异而使得开采工艺、开采场地等显著不同，相应的监测内容和监测方法也有很大区别。本文件适用于</w:t>
      </w:r>
      <w:r>
        <w:rPr>
          <w:rFonts w:hAnsi="宋体"/>
          <w:bCs/>
          <w:kern w:val="2"/>
        </w:rPr>
        <w:t>离子型稀土</w:t>
      </w:r>
      <w:r>
        <w:rPr>
          <w:rFonts w:hint="eastAsia" w:hAnsi="宋体"/>
          <w:bCs/>
          <w:kern w:val="2"/>
        </w:rPr>
        <w:t>矿产资源勘查开采扰动影响的矿山生态环境监测，其他类似矿山生态环境监测工作可参照执行。</w:t>
      </w:r>
    </w:p>
    <w:p w14:paraId="272B5199">
      <w:pPr>
        <w:pStyle w:val="42"/>
        <w:numPr>
          <w:ilvl w:val="0"/>
          <w:numId w:val="8"/>
        </w:numPr>
        <w:ind w:left="0" w:firstLine="0"/>
      </w:pPr>
      <w:bookmarkStart w:id="25" w:name="_Toc225205334"/>
      <w:r>
        <w:rPr>
          <w:rFonts w:hint="eastAsia"/>
        </w:rPr>
        <w:t>规范性引用文件</w:t>
      </w:r>
      <w:bookmarkEnd w:id="25"/>
    </w:p>
    <w:p w14:paraId="43E61673">
      <w:pPr>
        <w:pStyle w:val="37"/>
        <w:ind w:firstLine="420"/>
        <w:rPr>
          <w:rFonts w:hint="eastAsia" w:hAnsi="宋体"/>
          <w:bCs/>
          <w:kern w:val="2"/>
        </w:rPr>
      </w:pPr>
      <w:r>
        <w:rPr>
          <w:rFonts w:hint="eastAsia" w:hAnsi="宋体"/>
          <w:bCs/>
          <w:kern w:val="2"/>
        </w:rPr>
        <w:t>下列文件中的内容通过文中的规范性引用而构成本文件必不可少的条款。不注日期的引用文件，其最新版本（包括所有的修改单）适用于本文件。</w:t>
      </w:r>
    </w:p>
    <w:p w14:paraId="7A095736">
      <w:pPr>
        <w:pStyle w:val="37"/>
        <w:ind w:firstLine="420"/>
        <w:rPr>
          <w:rFonts w:hint="eastAsia" w:hAnsi="宋体"/>
          <w:bCs/>
          <w:kern w:val="2"/>
        </w:rPr>
      </w:pPr>
      <w:r>
        <w:rPr>
          <w:rFonts w:hAnsi="宋体"/>
          <w:bCs/>
          <w:kern w:val="2"/>
        </w:rPr>
        <w:t>GB 3838        地表水环境质量标准</w:t>
      </w:r>
    </w:p>
    <w:p w14:paraId="53639A78">
      <w:pPr>
        <w:pStyle w:val="37"/>
        <w:ind w:firstLine="420"/>
        <w:rPr>
          <w:rFonts w:hint="eastAsia" w:hAnsi="宋体"/>
          <w:bCs/>
          <w:kern w:val="2"/>
        </w:rPr>
      </w:pPr>
      <w:r>
        <w:rPr>
          <w:rFonts w:hAnsi="宋体"/>
          <w:bCs/>
          <w:kern w:val="2"/>
        </w:rPr>
        <w:t>GB/T 14848     地下水质量标准</w:t>
      </w:r>
    </w:p>
    <w:p w14:paraId="2F29BE25">
      <w:pPr>
        <w:pStyle w:val="37"/>
        <w:ind w:firstLine="420"/>
        <w:rPr>
          <w:rFonts w:hint="eastAsia" w:hAnsi="宋体"/>
          <w:bCs/>
          <w:kern w:val="2"/>
        </w:rPr>
      </w:pPr>
      <w:r>
        <w:rPr>
          <w:rFonts w:hAnsi="宋体"/>
          <w:bCs/>
          <w:kern w:val="2"/>
        </w:rPr>
        <w:t>GB 15618       土壤环境质量 农用地土壤污染风险管控标准（试行）</w:t>
      </w:r>
    </w:p>
    <w:p w14:paraId="6F704F08">
      <w:pPr>
        <w:pStyle w:val="37"/>
        <w:ind w:firstLine="420"/>
        <w:rPr>
          <w:rFonts w:hint="eastAsia" w:hAnsi="宋体"/>
          <w:bCs/>
          <w:kern w:val="2"/>
        </w:rPr>
      </w:pPr>
      <w:r>
        <w:rPr>
          <w:rFonts w:hAnsi="宋体"/>
          <w:bCs/>
          <w:kern w:val="2"/>
        </w:rPr>
        <w:t>GB 36600       土壤环境质量 建设用地土壤污染风险管控标准（试行）</w:t>
      </w:r>
    </w:p>
    <w:p w14:paraId="36227465">
      <w:pPr>
        <w:pStyle w:val="37"/>
        <w:ind w:firstLine="420"/>
        <w:rPr>
          <w:rFonts w:hint="eastAsia" w:hAnsi="宋体"/>
          <w:bCs/>
          <w:kern w:val="2"/>
        </w:rPr>
      </w:pPr>
      <w:r>
        <w:rPr>
          <w:rFonts w:hAnsi="宋体"/>
          <w:bCs/>
          <w:kern w:val="2"/>
        </w:rPr>
        <w:t>GB/T 15676     稀土术语</w:t>
      </w:r>
    </w:p>
    <w:p w14:paraId="15EF4F67">
      <w:pPr>
        <w:pStyle w:val="37"/>
        <w:ind w:firstLine="420"/>
        <w:rPr>
          <w:rFonts w:hint="eastAsia" w:hAnsi="宋体"/>
          <w:bCs/>
          <w:kern w:val="2"/>
        </w:rPr>
      </w:pPr>
      <w:r>
        <w:rPr>
          <w:rFonts w:hAnsi="宋体"/>
          <w:bCs/>
          <w:kern w:val="2"/>
        </w:rPr>
        <w:t xml:space="preserve">DZ/T 0287      </w:t>
      </w:r>
      <w:r>
        <w:rPr>
          <w:rFonts w:hint="eastAsia" w:hAnsi="宋体"/>
          <w:bCs/>
          <w:kern w:val="2"/>
        </w:rPr>
        <w:t>矿山地质环境监测技术规程</w:t>
      </w:r>
    </w:p>
    <w:p w14:paraId="0DFC9647">
      <w:pPr>
        <w:pStyle w:val="37"/>
        <w:ind w:firstLine="420"/>
        <w:rPr>
          <w:rFonts w:hint="eastAsia" w:hAnsi="宋体"/>
          <w:bCs/>
          <w:kern w:val="2"/>
        </w:rPr>
      </w:pPr>
      <w:r>
        <w:rPr>
          <w:rFonts w:hint="eastAsia" w:hAnsi="宋体"/>
          <w:bCs/>
          <w:kern w:val="2"/>
        </w:rPr>
        <w:t>T</w:t>
      </w:r>
      <w:r>
        <w:rPr>
          <w:rFonts w:hAnsi="宋体"/>
          <w:bCs/>
          <w:kern w:val="2"/>
        </w:rPr>
        <w:t xml:space="preserve">D/T </w:t>
      </w:r>
      <w:r>
        <w:rPr>
          <w:rFonts w:hint="eastAsia" w:ascii="Times New Roman"/>
          <w:color w:val="000000" w:themeColor="text1"/>
          <w14:textFill>
            <w14:solidFill>
              <w14:schemeClr w14:val="tx1"/>
            </w14:solidFill>
          </w14:textFill>
        </w:rPr>
        <w:t xml:space="preserve">1070. 6 </w:t>
      </w:r>
      <w:r>
        <w:rPr>
          <w:rFonts w:hAnsi="宋体"/>
          <w:bCs/>
          <w:kern w:val="2"/>
        </w:rPr>
        <w:t xml:space="preserve">  </w:t>
      </w:r>
      <w:r>
        <w:rPr>
          <w:rFonts w:hint="eastAsia" w:hAnsi="宋体"/>
          <w:bCs/>
          <w:kern w:val="2"/>
        </w:rPr>
        <w:t xml:space="preserve"> 矿山生态修复技术规范</w:t>
      </w:r>
      <w:r>
        <w:rPr>
          <w:rFonts w:hAnsi="宋体"/>
          <w:bCs/>
          <w:kern w:val="2"/>
        </w:rPr>
        <w:t xml:space="preserve"> 第6部分:稀土矿山</w:t>
      </w:r>
    </w:p>
    <w:p w14:paraId="2E1DCE87">
      <w:pPr>
        <w:pStyle w:val="42"/>
        <w:numPr>
          <w:ilvl w:val="0"/>
          <w:numId w:val="8"/>
        </w:numPr>
        <w:ind w:left="0" w:firstLine="0"/>
      </w:pPr>
      <w:bookmarkStart w:id="26" w:name="_Toc225205335"/>
      <w:r>
        <w:rPr>
          <w:rFonts w:hint="eastAsia"/>
        </w:rPr>
        <w:t>术语和定义</w:t>
      </w:r>
      <w:bookmarkEnd w:id="26"/>
    </w:p>
    <w:p w14:paraId="4888D561">
      <w:pPr>
        <w:pStyle w:val="37"/>
        <w:ind w:firstLine="420"/>
        <w:rPr>
          <w:rFonts w:hint="eastAsia" w:hAnsi="宋体"/>
          <w:bCs/>
          <w:kern w:val="2"/>
        </w:rPr>
      </w:pPr>
      <w:r>
        <w:rPr>
          <w:rFonts w:hint="eastAsia" w:hAnsi="宋体"/>
          <w:bCs/>
          <w:kern w:val="2"/>
        </w:rPr>
        <w:t>下列术语和定义适用于本文件。</w:t>
      </w:r>
    </w:p>
    <w:p w14:paraId="446EB6E4">
      <w:pPr>
        <w:pStyle w:val="21"/>
        <w:widowControl/>
        <w:numPr>
          <w:ilvl w:val="0"/>
          <w:numId w:val="1"/>
        </w:numPr>
        <w:shd w:val="clear" w:color="FFFFFF" w:fill="FFFFFF"/>
        <w:spacing w:before="540" w:after="600"/>
        <w:ind w:firstLineChars="0"/>
        <w:jc w:val="center"/>
        <w:outlineLvl w:val="0"/>
        <w:rPr>
          <w:rFonts w:ascii="黑体" w:hAnsi="Times New Roman" w:eastAsia="黑体" w:cs="Times New Roman"/>
          <w:vanish/>
          <w:kern w:val="0"/>
          <w:sz w:val="32"/>
          <w:szCs w:val="20"/>
        </w:rPr>
      </w:pPr>
      <w:bookmarkStart w:id="27" w:name="_Toc338490434"/>
      <w:bookmarkEnd w:id="27"/>
      <w:bookmarkStart w:id="28" w:name="_Toc338490600"/>
      <w:bookmarkEnd w:id="28"/>
      <w:bookmarkStart w:id="29" w:name="_Toc359596105"/>
      <w:bookmarkEnd w:id="29"/>
      <w:bookmarkStart w:id="30" w:name="_Toc373936030"/>
      <w:bookmarkEnd w:id="30"/>
      <w:bookmarkStart w:id="31" w:name="_Toc383182645"/>
      <w:bookmarkEnd w:id="31"/>
      <w:bookmarkStart w:id="32" w:name="_Toc399488723"/>
      <w:bookmarkEnd w:id="32"/>
      <w:bookmarkStart w:id="33" w:name="_Toc399488828"/>
      <w:bookmarkEnd w:id="33"/>
      <w:bookmarkStart w:id="34" w:name="_Toc405556250"/>
      <w:bookmarkEnd w:id="34"/>
      <w:bookmarkStart w:id="35" w:name="_Toc405558469"/>
      <w:bookmarkEnd w:id="35"/>
    </w:p>
    <w:p w14:paraId="666B1BB2">
      <w:pPr>
        <w:pStyle w:val="21"/>
        <w:widowControl/>
        <w:numPr>
          <w:ilvl w:val="0"/>
          <w:numId w:val="1"/>
        </w:numPr>
        <w:shd w:val="clear" w:color="FFFFFF" w:fill="FFFFFF"/>
        <w:spacing w:before="540" w:after="600"/>
        <w:ind w:firstLineChars="0"/>
        <w:jc w:val="center"/>
        <w:outlineLvl w:val="0"/>
        <w:rPr>
          <w:rFonts w:ascii="黑体" w:hAnsi="Times New Roman" w:eastAsia="黑体" w:cs="Times New Roman"/>
          <w:vanish/>
          <w:kern w:val="0"/>
          <w:sz w:val="32"/>
          <w:szCs w:val="20"/>
        </w:rPr>
      </w:pPr>
    </w:p>
    <w:p w14:paraId="361277D2">
      <w:pPr>
        <w:pStyle w:val="21"/>
        <w:widowControl/>
        <w:numPr>
          <w:ilvl w:val="0"/>
          <w:numId w:val="1"/>
        </w:numPr>
        <w:shd w:val="clear" w:color="FFFFFF" w:fill="FFFFFF"/>
        <w:spacing w:before="540" w:after="600"/>
        <w:ind w:firstLineChars="0"/>
        <w:jc w:val="center"/>
        <w:outlineLvl w:val="0"/>
        <w:rPr>
          <w:rFonts w:ascii="黑体" w:hAnsi="Times New Roman" w:eastAsia="黑体" w:cs="Times New Roman"/>
          <w:vanish/>
          <w:kern w:val="0"/>
          <w:sz w:val="32"/>
          <w:szCs w:val="20"/>
        </w:rPr>
      </w:pPr>
    </w:p>
    <w:p w14:paraId="7D8B8C4D">
      <w:pPr>
        <w:pStyle w:val="21"/>
        <w:widowControl/>
        <w:numPr>
          <w:ilvl w:val="1"/>
          <w:numId w:val="1"/>
        </w:numPr>
        <w:spacing w:before="312" w:beforeLines="100" w:after="312" w:afterLines="100"/>
        <w:ind w:firstLineChars="0"/>
        <w:outlineLvl w:val="0"/>
        <w:rPr>
          <w:rFonts w:ascii="黑体" w:hAnsi="Times New Roman" w:eastAsia="黑体" w:cs="Times New Roman"/>
          <w:vanish/>
          <w:kern w:val="0"/>
          <w:szCs w:val="20"/>
        </w:rPr>
      </w:pPr>
      <w:bookmarkStart w:id="36" w:name="_Toc104327283"/>
      <w:bookmarkEnd w:id="36"/>
      <w:bookmarkStart w:id="37" w:name="_Toc104298533"/>
      <w:bookmarkEnd w:id="37"/>
      <w:bookmarkStart w:id="38" w:name="_Toc218656364"/>
      <w:bookmarkEnd w:id="38"/>
      <w:bookmarkStart w:id="39" w:name="_Toc204389110"/>
      <w:bookmarkEnd w:id="39"/>
      <w:bookmarkStart w:id="40" w:name="_Toc152342165"/>
      <w:bookmarkEnd w:id="40"/>
      <w:bookmarkStart w:id="41" w:name="_Toc225205336"/>
      <w:bookmarkEnd w:id="41"/>
    </w:p>
    <w:p w14:paraId="6D925E15">
      <w:pPr>
        <w:pStyle w:val="21"/>
        <w:widowControl/>
        <w:numPr>
          <w:ilvl w:val="1"/>
          <w:numId w:val="1"/>
        </w:numPr>
        <w:spacing w:before="312" w:beforeLines="100" w:after="312" w:afterLines="100"/>
        <w:ind w:firstLineChars="0"/>
        <w:outlineLvl w:val="0"/>
        <w:rPr>
          <w:rFonts w:ascii="黑体" w:hAnsi="Times New Roman" w:eastAsia="黑体" w:cs="Times New Roman"/>
          <w:vanish/>
          <w:kern w:val="0"/>
          <w:szCs w:val="20"/>
        </w:rPr>
      </w:pPr>
      <w:bookmarkStart w:id="42" w:name="_Toc104298534"/>
      <w:bookmarkEnd w:id="42"/>
      <w:bookmarkStart w:id="43" w:name="_Toc204389111"/>
      <w:bookmarkEnd w:id="43"/>
      <w:bookmarkStart w:id="44" w:name="_Toc104327284"/>
      <w:bookmarkEnd w:id="44"/>
      <w:bookmarkStart w:id="45" w:name="_Toc152342166"/>
      <w:bookmarkEnd w:id="45"/>
      <w:bookmarkStart w:id="46" w:name="_Toc218656365"/>
      <w:bookmarkEnd w:id="46"/>
      <w:bookmarkStart w:id="47" w:name="_Toc225205337"/>
      <w:bookmarkEnd w:id="47"/>
    </w:p>
    <w:p w14:paraId="23302C10">
      <w:pPr>
        <w:pStyle w:val="21"/>
        <w:widowControl/>
        <w:numPr>
          <w:ilvl w:val="1"/>
          <w:numId w:val="1"/>
        </w:numPr>
        <w:spacing w:before="312" w:beforeLines="100" w:after="312" w:afterLines="100"/>
        <w:ind w:firstLineChars="0"/>
        <w:outlineLvl w:val="0"/>
        <w:rPr>
          <w:rFonts w:ascii="黑体" w:hAnsi="Times New Roman" w:eastAsia="黑体" w:cs="Times New Roman"/>
          <w:vanish/>
          <w:kern w:val="0"/>
          <w:szCs w:val="20"/>
        </w:rPr>
      </w:pPr>
      <w:bookmarkStart w:id="48" w:name="_Toc104327285"/>
      <w:bookmarkEnd w:id="48"/>
      <w:bookmarkStart w:id="49" w:name="_Toc152342167"/>
      <w:bookmarkEnd w:id="49"/>
      <w:bookmarkStart w:id="50" w:name="_Toc204389112"/>
      <w:bookmarkEnd w:id="50"/>
      <w:bookmarkStart w:id="51" w:name="_Toc104298535"/>
      <w:bookmarkEnd w:id="51"/>
      <w:bookmarkStart w:id="52" w:name="_Toc218656366"/>
      <w:bookmarkEnd w:id="52"/>
      <w:bookmarkStart w:id="53" w:name="_Toc225205338"/>
      <w:bookmarkEnd w:id="53"/>
    </w:p>
    <w:p w14:paraId="0A1732F7">
      <w:pPr>
        <w:pStyle w:val="54"/>
        <w:numPr>
          <w:ilvl w:val="2"/>
          <w:numId w:val="1"/>
        </w:numPr>
        <w:ind w:left="420" w:hanging="420" w:hangingChars="200"/>
        <w:rPr>
          <w:rFonts w:ascii="Times New Roman" w:eastAsia="黑体"/>
          <w:color w:val="000000" w:themeColor="text1"/>
          <w14:textFill>
            <w14:solidFill>
              <w14:schemeClr w14:val="tx1"/>
            </w14:solidFill>
          </w14:textFill>
        </w:rPr>
      </w:pPr>
    </w:p>
    <w:p w14:paraId="370AD658">
      <w:pPr>
        <w:pStyle w:val="41"/>
        <w:ind w:firstLine="420" w:firstLineChars="200"/>
      </w:pPr>
      <w:bookmarkStart w:id="54" w:name="_Toc338490435"/>
      <w:bookmarkStart w:id="55" w:name="_Toc338490601"/>
      <w:bookmarkStart w:id="56" w:name="_Toc359596106"/>
      <w:bookmarkStart w:id="57" w:name="_Toc225205339"/>
      <w:bookmarkStart w:id="58" w:name="_Toc399488724"/>
      <w:bookmarkStart w:id="59" w:name="_Toc399488829"/>
      <w:bookmarkStart w:id="60" w:name="_Toc373936031"/>
      <w:bookmarkStart w:id="61" w:name="_Toc383182646"/>
      <w:bookmarkStart w:id="62" w:name="_Toc405556251"/>
      <w:r>
        <w:rPr>
          <w:rFonts w:hint="eastAsia"/>
        </w:rPr>
        <w:t xml:space="preserve">矿山生态环境监测  </w:t>
      </w:r>
      <w:r>
        <w:t xml:space="preserve">mining </w:t>
      </w:r>
      <w:r>
        <w:rPr>
          <w:rFonts w:hint="eastAsia"/>
        </w:rPr>
        <w:t>e</w:t>
      </w:r>
      <w:r>
        <w:t>cological environment monitoring</w:t>
      </w:r>
      <w:bookmarkEnd w:id="54"/>
      <w:bookmarkEnd w:id="55"/>
      <w:bookmarkEnd w:id="56"/>
      <w:bookmarkEnd w:id="57"/>
      <w:bookmarkEnd w:id="58"/>
      <w:bookmarkEnd w:id="59"/>
      <w:bookmarkEnd w:id="60"/>
      <w:bookmarkEnd w:id="61"/>
      <w:bookmarkEnd w:id="62"/>
    </w:p>
    <w:p w14:paraId="35CDB2AE">
      <w:pPr>
        <w:ind w:firstLine="420" w:firstLineChars="200"/>
        <w:rPr>
          <w:rFonts w:hint="eastAsia" w:ascii="宋体" w:hAnsi="宋体" w:eastAsia="宋体"/>
          <w:bCs/>
          <w:szCs w:val="21"/>
        </w:rPr>
      </w:pPr>
      <w:r>
        <w:rPr>
          <w:rFonts w:hint="eastAsia" w:ascii="宋体" w:hAnsi="宋体" w:eastAsia="宋体"/>
          <w:bCs/>
          <w:szCs w:val="21"/>
        </w:rPr>
        <w:t>布设专门性的监测点（网），定期观测矿山建设、生产、闭坑以及修复后的生态环境和各类矿山地质环境问题在时间上、空间上的变化情况。</w:t>
      </w:r>
    </w:p>
    <w:p w14:paraId="2F4C8658">
      <w:pPr>
        <w:pStyle w:val="37"/>
        <w:ind w:firstLine="420"/>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[来源：DZ/T 0287—2015，3.2</w:t>
      </w:r>
      <w:r>
        <w:rPr>
          <w:rFonts w:hint="eastAsia" w:ascii="Times New Roman"/>
          <w:color w:val="000000" w:themeColor="text1"/>
          <w14:textFill>
            <w14:solidFill>
              <w14:schemeClr w14:val="tx1"/>
            </w14:solidFill>
          </w14:textFill>
        </w:rPr>
        <w:t>，有修改</w:t>
      </w:r>
      <w:r>
        <w:rPr>
          <w:rFonts w:ascii="Times New Roman"/>
          <w:color w:val="000000" w:themeColor="text1"/>
          <w14:textFill>
            <w14:solidFill>
              <w14:schemeClr w14:val="tx1"/>
            </w14:solidFill>
          </w14:textFill>
        </w:rPr>
        <w:t>]</w:t>
      </w:r>
    </w:p>
    <w:p w14:paraId="25CA9C3C">
      <w:pPr>
        <w:pStyle w:val="54"/>
        <w:numPr>
          <w:ilvl w:val="2"/>
          <w:numId w:val="1"/>
        </w:numPr>
        <w:ind w:left="420" w:hanging="420" w:hangingChars="200"/>
        <w:rPr>
          <w:rFonts w:ascii="Times New Roman" w:eastAsia="黑体"/>
          <w:color w:val="000000" w:themeColor="text1"/>
          <w14:textFill>
            <w14:solidFill>
              <w14:schemeClr w14:val="tx1"/>
            </w14:solidFill>
          </w14:textFill>
        </w:rPr>
      </w:pPr>
    </w:p>
    <w:p w14:paraId="68D88176">
      <w:pPr>
        <w:pStyle w:val="41"/>
        <w:ind w:firstLine="420" w:firstLineChars="200"/>
      </w:pPr>
      <w:bookmarkStart w:id="63" w:name="_Toc225205340"/>
      <w:r>
        <w:t>离子型稀土矿 ion rare earth ore</w:t>
      </w:r>
      <w:bookmarkEnd w:id="63"/>
    </w:p>
    <w:p w14:paraId="54EB79A3">
      <w:pPr>
        <w:pStyle w:val="37"/>
        <w:ind w:firstLine="420"/>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地表岩石经过长期风化，游离出来的稀土以离子吸附状态在黏土矿物上迁移富集而形成的一类独特的稀土矿床，也称风化壳淋积型稀土矿床，简称离子型稀土矿。</w:t>
      </w:r>
    </w:p>
    <w:p w14:paraId="68A64006">
      <w:pPr>
        <w:pStyle w:val="37"/>
        <w:ind w:firstLine="420"/>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[来源：GB/T 15676—2015，3.4，有修改]</w:t>
      </w:r>
    </w:p>
    <w:p w14:paraId="248D4CB6">
      <w:pPr>
        <w:pStyle w:val="54"/>
        <w:numPr>
          <w:ilvl w:val="2"/>
          <w:numId w:val="1"/>
        </w:numPr>
        <w:ind w:left="420" w:hanging="420" w:hangingChars="200"/>
        <w:rPr>
          <w:rFonts w:ascii="Times New Roman" w:eastAsia="黑体"/>
          <w:color w:val="000000" w:themeColor="text1"/>
          <w14:textFill>
            <w14:solidFill>
              <w14:schemeClr w14:val="tx1"/>
            </w14:solidFill>
          </w14:textFill>
        </w:rPr>
      </w:pPr>
    </w:p>
    <w:p w14:paraId="5BC4A3E7">
      <w:pPr>
        <w:pStyle w:val="41"/>
        <w:ind w:firstLine="420" w:firstLineChars="200"/>
      </w:pPr>
      <w:bookmarkStart w:id="64" w:name="_Toc225205341"/>
      <w:r>
        <w:t>原地浸矿开采工艺 in-situ leaching mining process</w:t>
      </w:r>
      <w:bookmarkEnd w:id="64"/>
    </w:p>
    <w:p w14:paraId="21D0C131">
      <w:pPr>
        <w:pStyle w:val="37"/>
        <w:ind w:firstLine="420"/>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利用溶浸液从天然埋藏条件下的非均质矿石中有选择地浸出有用成分并获取反应生成化合物的采矿方法。</w:t>
      </w:r>
    </w:p>
    <w:p w14:paraId="60903A55">
      <w:pPr>
        <w:pStyle w:val="37"/>
        <w:ind w:firstLine="420"/>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[来源：GB/T 15676—2015，8.1.2.3]</w:t>
      </w:r>
    </w:p>
    <w:p w14:paraId="181ABE4D">
      <w:pPr>
        <w:pStyle w:val="54"/>
        <w:numPr>
          <w:ilvl w:val="2"/>
          <w:numId w:val="1"/>
        </w:numPr>
        <w:ind w:left="420" w:hanging="420" w:hangingChars="200"/>
        <w:rPr>
          <w:rFonts w:ascii="Times New Roman" w:eastAsia="黑体"/>
          <w:color w:val="000000" w:themeColor="text1"/>
          <w14:textFill>
            <w14:solidFill>
              <w14:schemeClr w14:val="tx1"/>
            </w14:solidFill>
          </w14:textFill>
        </w:rPr>
      </w:pPr>
    </w:p>
    <w:p w14:paraId="55034745">
      <w:pPr>
        <w:pStyle w:val="41"/>
        <w:ind w:firstLine="420" w:firstLineChars="200"/>
      </w:pPr>
      <w:bookmarkStart w:id="65" w:name="_Toc225205342"/>
      <w:r>
        <w:t>注收液系统 injection collecting system</w:t>
      </w:r>
      <w:bookmarkEnd w:id="65"/>
    </w:p>
    <w:p w14:paraId="79D1FDDA">
      <w:pPr>
        <w:pStyle w:val="37"/>
        <w:ind w:firstLine="420"/>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用于将溶浸液注入矿体和收集浸出液、防止浸出液泄漏的工程组合，通常包括注液井（孔）、导流孔、集液巷道、集液沟等。</w:t>
      </w:r>
    </w:p>
    <w:p w14:paraId="08048198">
      <w:pPr>
        <w:pStyle w:val="37"/>
        <w:ind w:firstLine="420"/>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[来源：TD</w:t>
      </w:r>
      <w:r>
        <w:rPr>
          <w:rFonts w:hint="eastAsia" w:ascii="Times New Roman"/>
          <w:color w:val="000000" w:themeColor="text1"/>
          <w14:textFill>
            <w14:solidFill>
              <w14:schemeClr w14:val="tx1"/>
            </w14:solidFill>
          </w14:textFill>
        </w:rPr>
        <w:t>/T</w:t>
      </w:r>
      <w:r>
        <w:rPr>
          <w:rFonts w:ascii="Times New Roman"/>
          <w:color w:val="000000" w:themeColor="text1"/>
          <w14:textFill>
            <w14:solidFill>
              <w14:schemeClr w14:val="tx1"/>
            </w14:solidFill>
          </w14:textFill>
        </w:rPr>
        <w:t xml:space="preserve"> </w:t>
      </w:r>
      <w:r>
        <w:rPr>
          <w:rFonts w:hint="eastAsia" w:ascii="Times New Roman"/>
          <w:color w:val="000000" w:themeColor="text1"/>
          <w14:textFill>
            <w14:solidFill>
              <w14:schemeClr w14:val="tx1"/>
            </w14:solidFill>
          </w14:textFill>
        </w:rPr>
        <w:t>1070.6</w:t>
      </w:r>
      <w:r>
        <w:rPr>
          <w:rFonts w:ascii="Times New Roman"/>
          <w:color w:val="000000" w:themeColor="text1"/>
          <w14:textFill>
            <w14:solidFill>
              <w14:schemeClr w14:val="tx1"/>
            </w14:solidFill>
          </w14:textFill>
        </w:rPr>
        <w:t>—2022，3.5]</w:t>
      </w:r>
    </w:p>
    <w:p w14:paraId="2FEC5F30">
      <w:pPr>
        <w:pStyle w:val="54"/>
        <w:numPr>
          <w:ilvl w:val="2"/>
          <w:numId w:val="1"/>
        </w:numPr>
        <w:ind w:left="420" w:hanging="420" w:hangingChars="200"/>
        <w:rPr>
          <w:rFonts w:ascii="Times New Roman" w:eastAsia="黑体"/>
          <w:color w:val="000000" w:themeColor="text1"/>
          <w14:textFill>
            <w14:solidFill>
              <w14:schemeClr w14:val="tx1"/>
            </w14:solidFill>
          </w14:textFill>
        </w:rPr>
      </w:pPr>
    </w:p>
    <w:p w14:paraId="1A0C8C68">
      <w:pPr>
        <w:pStyle w:val="41"/>
        <w:ind w:firstLine="420" w:firstLineChars="200"/>
      </w:pPr>
      <w:bookmarkStart w:id="66" w:name="_Toc225205343"/>
      <w:r>
        <w:t>工业场地 mine production sites</w:t>
      </w:r>
      <w:bookmarkEnd w:id="66"/>
    </w:p>
    <w:p w14:paraId="6E732EB2">
      <w:pPr>
        <w:pStyle w:val="37"/>
        <w:ind w:firstLine="420"/>
        <w:rPr>
          <w:rFonts w:ascii="Times New Roman"/>
        </w:rPr>
      </w:pPr>
      <w:r>
        <w:rPr>
          <w:rFonts w:ascii="Times New Roman"/>
        </w:rPr>
        <w:t>指处理稀土母液生产稀土精矿或富集物，以及配置浸矿剂的场所，主要包含各类工艺池体、物料仓库、办公和住宿场所、停车场等设施，又称水冶车间。</w:t>
      </w:r>
    </w:p>
    <w:p w14:paraId="6DA4A5EA">
      <w:pPr>
        <w:pStyle w:val="54"/>
        <w:ind w:left="420"/>
        <w:rPr>
          <w:rFonts w:ascii="Times New Roman" w:eastAsia="黑体"/>
          <w:color w:val="000000" w:themeColor="text1"/>
          <w14:textFill>
            <w14:solidFill>
              <w14:schemeClr w14:val="tx1"/>
            </w14:solidFill>
          </w14:textFill>
        </w:rPr>
      </w:pPr>
      <w:r>
        <w:rPr>
          <w:rFonts w:ascii="Times New Roman"/>
          <w:color w:val="000000" w:themeColor="text1"/>
          <w14:textFill>
            <w14:solidFill>
              <w14:schemeClr w14:val="tx1"/>
            </w14:solidFill>
          </w14:textFill>
        </w:rPr>
        <w:t>[来源：TD</w:t>
      </w:r>
      <w:r>
        <w:rPr>
          <w:rFonts w:hint="eastAsia" w:ascii="Times New Roman"/>
          <w:color w:val="000000" w:themeColor="text1"/>
          <w14:textFill>
            <w14:solidFill>
              <w14:schemeClr w14:val="tx1"/>
            </w14:solidFill>
          </w14:textFill>
        </w:rPr>
        <w:t>/T 1070.6</w:t>
      </w:r>
      <w:r>
        <w:rPr>
          <w:rFonts w:ascii="Times New Roman"/>
          <w:color w:val="000000" w:themeColor="text1"/>
          <w14:textFill>
            <w14:solidFill>
              <w14:schemeClr w14:val="tx1"/>
            </w14:solidFill>
          </w14:textFill>
        </w:rPr>
        <w:t>—2022，3.6]</w:t>
      </w:r>
    </w:p>
    <w:p w14:paraId="04DA87FE">
      <w:pPr>
        <w:pStyle w:val="54"/>
        <w:numPr>
          <w:ilvl w:val="2"/>
          <w:numId w:val="1"/>
        </w:numPr>
        <w:ind w:left="420" w:hanging="420" w:hangingChars="200"/>
        <w:rPr>
          <w:rFonts w:ascii="Times New Roman" w:eastAsia="黑体"/>
          <w:color w:val="000000" w:themeColor="text1"/>
          <w14:textFill>
            <w14:solidFill>
              <w14:schemeClr w14:val="tx1"/>
            </w14:solidFill>
          </w14:textFill>
        </w:rPr>
      </w:pPr>
    </w:p>
    <w:p w14:paraId="564DBBA8">
      <w:pPr>
        <w:pStyle w:val="41"/>
        <w:ind w:firstLine="420" w:firstLineChars="200"/>
      </w:pPr>
      <w:bookmarkStart w:id="67" w:name="_Toc225205344"/>
      <w:r>
        <w:t>原地浸矿区 in-situ leaching area</w:t>
      </w:r>
      <w:bookmarkEnd w:id="67"/>
    </w:p>
    <w:p w14:paraId="7F24ED7A">
      <w:pPr>
        <w:pStyle w:val="37"/>
        <w:ind w:firstLine="420"/>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采用原地浸矿工艺开采离子型稀土资源的矿块，由注液井、导流孔、收液巷道等注收液工程相连的区域。</w:t>
      </w:r>
    </w:p>
    <w:p w14:paraId="00F1E85D">
      <w:pPr>
        <w:pStyle w:val="37"/>
        <w:ind w:firstLine="420"/>
        <w:rPr>
          <w:rFonts w:ascii="Times New Roman" w:eastAsia="黑体"/>
          <w:color w:val="000000" w:themeColor="text1"/>
          <w14:textFill>
            <w14:solidFill>
              <w14:schemeClr w14:val="tx1"/>
            </w14:solidFill>
          </w14:textFill>
        </w:rPr>
      </w:pPr>
      <w:r>
        <w:rPr>
          <w:rFonts w:ascii="Times New Roman"/>
          <w:color w:val="000000" w:themeColor="text1"/>
          <w14:textFill>
            <w14:solidFill>
              <w14:schemeClr w14:val="tx1"/>
            </w14:solidFill>
          </w14:textFill>
        </w:rPr>
        <w:t>[来源：TD</w:t>
      </w:r>
      <w:r>
        <w:rPr>
          <w:rFonts w:hint="eastAsia" w:ascii="Times New Roman"/>
          <w:color w:val="000000" w:themeColor="text1"/>
          <w14:textFill>
            <w14:solidFill>
              <w14:schemeClr w14:val="tx1"/>
            </w14:solidFill>
          </w14:textFill>
        </w:rPr>
        <w:t>/T 1070.6</w:t>
      </w:r>
      <w:r>
        <w:rPr>
          <w:rFonts w:ascii="Times New Roman"/>
          <w:color w:val="000000" w:themeColor="text1"/>
          <w14:textFill>
            <w14:solidFill>
              <w14:schemeClr w14:val="tx1"/>
            </w14:solidFill>
          </w14:textFill>
        </w:rPr>
        <w:t>—2022，3.10]</w:t>
      </w:r>
    </w:p>
    <w:p w14:paraId="44F4A4AD">
      <w:pPr>
        <w:pStyle w:val="42"/>
        <w:numPr>
          <w:ilvl w:val="0"/>
          <w:numId w:val="8"/>
        </w:numPr>
        <w:ind w:left="0" w:firstLine="0"/>
      </w:pPr>
      <w:bookmarkStart w:id="68" w:name="_Toc225205345"/>
      <w:r>
        <w:rPr>
          <w:rFonts w:hint="eastAsia"/>
        </w:rPr>
        <w:t>总体要求</w:t>
      </w:r>
      <w:bookmarkEnd w:id="68"/>
    </w:p>
    <w:p w14:paraId="785E5164">
      <w:pPr>
        <w:pStyle w:val="41"/>
      </w:pPr>
      <w:bookmarkStart w:id="69" w:name="_Toc225205346"/>
      <w:r>
        <w:rPr>
          <w:rFonts w:hint="eastAsia"/>
        </w:rPr>
        <w:t>4</w:t>
      </w:r>
      <w:r>
        <w:t xml:space="preserve">.1 </w:t>
      </w:r>
      <w:r>
        <w:rPr>
          <w:rFonts w:hint="eastAsia"/>
        </w:rPr>
        <w:t>目的任务</w:t>
      </w:r>
      <w:bookmarkEnd w:id="69"/>
    </w:p>
    <w:p w14:paraId="556573A5">
      <w:pPr>
        <w:pStyle w:val="37"/>
        <w:ind w:firstLine="420"/>
        <w:rPr>
          <w:rFonts w:ascii="Times New Roman"/>
          <w:color w:val="000000" w:themeColor="text1"/>
          <w14:textFill>
            <w14:solidFill>
              <w14:schemeClr w14:val="tx1"/>
            </w14:solidFill>
          </w14:textFill>
        </w:rPr>
      </w:pPr>
      <w:r>
        <w:rPr>
          <w:rFonts w:hint="eastAsia" w:ascii="Times New Roman"/>
          <w:color w:val="000000" w:themeColor="text1"/>
          <w14:textFill>
            <w14:solidFill>
              <w14:schemeClr w14:val="tx1"/>
            </w14:solidFill>
          </w14:textFill>
        </w:rPr>
        <w:t>通过监测获取稀土矿区的生态环境状况，掌握稀土开采造成的矿山生态环境问题及其影响范围和程度，为科学地进行矿山生态修复和矿山环境监管提供依据。</w:t>
      </w:r>
    </w:p>
    <w:p w14:paraId="301266C5">
      <w:pPr>
        <w:pStyle w:val="41"/>
      </w:pPr>
      <w:bookmarkStart w:id="70" w:name="_Toc225205347"/>
      <w:r>
        <w:rPr>
          <w:rFonts w:hint="eastAsia"/>
        </w:rPr>
        <w:t>4</w:t>
      </w:r>
      <w:r>
        <w:t xml:space="preserve">.2 </w:t>
      </w:r>
      <w:r>
        <w:rPr>
          <w:rFonts w:hint="eastAsia"/>
        </w:rPr>
        <w:t>基本原则</w:t>
      </w:r>
      <w:bookmarkEnd w:id="70"/>
    </w:p>
    <w:p w14:paraId="4CFD67A3">
      <w:pPr>
        <w:pStyle w:val="21"/>
        <w:widowControl/>
        <w:numPr>
          <w:ilvl w:val="0"/>
          <w:numId w:val="9"/>
        </w:numPr>
        <w:spacing w:before="312" w:beforeLines="100" w:after="312" w:afterLines="100"/>
        <w:ind w:firstLineChars="0"/>
        <w:outlineLvl w:val="1"/>
        <w:rPr>
          <w:rFonts w:ascii="黑体" w:hAnsi="Times New Roman" w:eastAsia="黑体" w:cs="Times New Roman"/>
          <w:vanish/>
          <w:kern w:val="0"/>
          <w:szCs w:val="20"/>
        </w:rPr>
      </w:pPr>
      <w:bookmarkStart w:id="71" w:name="_Toc104298539"/>
      <w:bookmarkEnd w:id="71"/>
      <w:bookmarkStart w:id="72" w:name="_Toc225205348"/>
      <w:bookmarkEnd w:id="72"/>
      <w:bookmarkStart w:id="73" w:name="_Toc104327289"/>
      <w:bookmarkEnd w:id="73"/>
      <w:bookmarkStart w:id="74" w:name="_Toc152342171"/>
      <w:bookmarkEnd w:id="74"/>
      <w:bookmarkStart w:id="75" w:name="_Toc204389116"/>
      <w:bookmarkEnd w:id="75"/>
      <w:bookmarkStart w:id="76" w:name="_Toc218656380"/>
      <w:bookmarkEnd w:id="76"/>
      <w:bookmarkStart w:id="77" w:name="_Toc338490460"/>
    </w:p>
    <w:p w14:paraId="307DAA6A">
      <w:pPr>
        <w:pStyle w:val="21"/>
        <w:widowControl/>
        <w:numPr>
          <w:ilvl w:val="0"/>
          <w:numId w:val="9"/>
        </w:numPr>
        <w:spacing w:before="312" w:beforeLines="100" w:after="312" w:afterLines="100"/>
        <w:ind w:firstLineChars="0"/>
        <w:outlineLvl w:val="1"/>
        <w:rPr>
          <w:rFonts w:ascii="黑体" w:hAnsi="Times New Roman" w:eastAsia="黑体" w:cs="Times New Roman"/>
          <w:vanish/>
          <w:kern w:val="0"/>
          <w:szCs w:val="20"/>
        </w:rPr>
      </w:pPr>
      <w:bookmarkStart w:id="78" w:name="_Toc152342172"/>
      <w:bookmarkEnd w:id="78"/>
      <w:bookmarkStart w:id="79" w:name="_Toc104298540"/>
      <w:bookmarkEnd w:id="79"/>
      <w:bookmarkStart w:id="80" w:name="_Toc104327290"/>
      <w:bookmarkEnd w:id="80"/>
      <w:bookmarkStart w:id="81" w:name="_Toc204389117"/>
      <w:bookmarkEnd w:id="81"/>
      <w:bookmarkStart w:id="82" w:name="_Toc218656381"/>
      <w:bookmarkEnd w:id="82"/>
      <w:bookmarkStart w:id="83" w:name="_Toc225205349"/>
      <w:bookmarkEnd w:id="83"/>
    </w:p>
    <w:p w14:paraId="5FFF61F3">
      <w:pPr>
        <w:pStyle w:val="21"/>
        <w:widowControl/>
        <w:numPr>
          <w:ilvl w:val="0"/>
          <w:numId w:val="9"/>
        </w:numPr>
        <w:spacing w:before="312" w:beforeLines="100" w:after="312" w:afterLines="100"/>
        <w:ind w:firstLineChars="0"/>
        <w:outlineLvl w:val="1"/>
        <w:rPr>
          <w:rFonts w:ascii="黑体" w:hAnsi="Times New Roman" w:eastAsia="黑体" w:cs="Times New Roman"/>
          <w:vanish/>
          <w:kern w:val="0"/>
          <w:szCs w:val="20"/>
        </w:rPr>
      </w:pPr>
      <w:bookmarkStart w:id="84" w:name="_Toc104298541"/>
      <w:bookmarkEnd w:id="84"/>
      <w:bookmarkStart w:id="85" w:name="_Toc104327291"/>
      <w:bookmarkEnd w:id="85"/>
      <w:bookmarkStart w:id="86" w:name="_Toc204389118"/>
      <w:bookmarkEnd w:id="86"/>
      <w:bookmarkStart w:id="87" w:name="_Toc218656382"/>
      <w:bookmarkEnd w:id="87"/>
      <w:bookmarkStart w:id="88" w:name="_Toc152342173"/>
      <w:bookmarkEnd w:id="88"/>
      <w:bookmarkStart w:id="89" w:name="_Toc225205350"/>
      <w:bookmarkEnd w:id="89"/>
    </w:p>
    <w:p w14:paraId="635D7F04">
      <w:pPr>
        <w:pStyle w:val="21"/>
        <w:widowControl/>
        <w:numPr>
          <w:ilvl w:val="0"/>
          <w:numId w:val="9"/>
        </w:numPr>
        <w:spacing w:before="312" w:beforeLines="100" w:after="312" w:afterLines="100"/>
        <w:ind w:firstLineChars="0"/>
        <w:outlineLvl w:val="1"/>
        <w:rPr>
          <w:rFonts w:ascii="黑体" w:hAnsi="Times New Roman" w:eastAsia="黑体" w:cs="Times New Roman"/>
          <w:vanish/>
          <w:kern w:val="0"/>
          <w:szCs w:val="20"/>
        </w:rPr>
      </w:pPr>
      <w:bookmarkStart w:id="90" w:name="_Toc104298542"/>
      <w:bookmarkEnd w:id="90"/>
      <w:bookmarkStart w:id="91" w:name="_Toc104327292"/>
      <w:bookmarkEnd w:id="91"/>
      <w:bookmarkStart w:id="92" w:name="_Toc152342174"/>
      <w:bookmarkEnd w:id="92"/>
      <w:bookmarkStart w:id="93" w:name="_Toc204389119"/>
      <w:bookmarkEnd w:id="93"/>
      <w:bookmarkStart w:id="94" w:name="_Toc218656383"/>
      <w:bookmarkEnd w:id="94"/>
      <w:bookmarkStart w:id="95" w:name="_Toc225205351"/>
      <w:bookmarkEnd w:id="95"/>
    </w:p>
    <w:p w14:paraId="14DEB132">
      <w:pPr>
        <w:pStyle w:val="21"/>
        <w:widowControl/>
        <w:numPr>
          <w:ilvl w:val="1"/>
          <w:numId w:val="9"/>
        </w:numPr>
        <w:spacing w:before="156" w:beforeLines="50" w:after="156" w:afterLines="50"/>
        <w:ind w:firstLineChars="0"/>
        <w:jc w:val="left"/>
        <w:outlineLvl w:val="2"/>
        <w:rPr>
          <w:rFonts w:ascii="黑体" w:hAnsi="Times New Roman" w:eastAsia="黑体" w:cs="Times New Roman"/>
          <w:vanish/>
          <w:kern w:val="0"/>
          <w:szCs w:val="21"/>
        </w:rPr>
      </w:pPr>
      <w:bookmarkStart w:id="96" w:name="_Toc104298543"/>
      <w:bookmarkEnd w:id="96"/>
      <w:bookmarkStart w:id="97" w:name="_Toc204389120"/>
      <w:bookmarkEnd w:id="97"/>
      <w:bookmarkStart w:id="98" w:name="_Toc104327293"/>
      <w:bookmarkEnd w:id="98"/>
      <w:bookmarkStart w:id="99" w:name="_Toc218656384"/>
      <w:bookmarkEnd w:id="99"/>
      <w:bookmarkStart w:id="100" w:name="_Toc152342175"/>
      <w:bookmarkEnd w:id="100"/>
      <w:bookmarkStart w:id="101" w:name="_Toc225205352"/>
      <w:bookmarkEnd w:id="101"/>
    </w:p>
    <w:p w14:paraId="3E407E7E">
      <w:pPr>
        <w:pStyle w:val="21"/>
        <w:widowControl/>
        <w:numPr>
          <w:ilvl w:val="1"/>
          <w:numId w:val="9"/>
        </w:numPr>
        <w:spacing w:before="156" w:beforeLines="50" w:after="156" w:afterLines="50"/>
        <w:ind w:firstLineChars="0"/>
        <w:jc w:val="left"/>
        <w:outlineLvl w:val="2"/>
        <w:rPr>
          <w:rFonts w:ascii="黑体" w:hAnsi="Times New Roman" w:eastAsia="黑体" w:cs="Times New Roman"/>
          <w:vanish/>
          <w:kern w:val="0"/>
          <w:szCs w:val="21"/>
        </w:rPr>
      </w:pPr>
      <w:bookmarkStart w:id="102" w:name="_Toc104327294"/>
      <w:bookmarkEnd w:id="102"/>
      <w:bookmarkStart w:id="103" w:name="_Toc104298544"/>
      <w:bookmarkEnd w:id="103"/>
      <w:bookmarkStart w:id="104" w:name="_Toc225205353"/>
      <w:bookmarkEnd w:id="104"/>
      <w:bookmarkStart w:id="105" w:name="_Toc218656385"/>
      <w:bookmarkEnd w:id="105"/>
      <w:bookmarkStart w:id="106" w:name="_Toc204389121"/>
      <w:bookmarkEnd w:id="106"/>
      <w:bookmarkStart w:id="107" w:name="_Toc152342176"/>
      <w:bookmarkEnd w:id="107"/>
    </w:p>
    <w:bookmarkEnd w:id="77"/>
    <w:p w14:paraId="44C5C9DE">
      <w:pPr>
        <w:pStyle w:val="37"/>
        <w:ind w:firstLine="0" w:firstLineChars="0"/>
        <w:rPr>
          <w:rFonts w:ascii="Times New Roman"/>
          <w:color w:val="000000" w:themeColor="text1"/>
          <w14:textFill>
            <w14:solidFill>
              <w14:schemeClr w14:val="tx1"/>
            </w14:solidFill>
          </w14:textFill>
        </w:rPr>
      </w:pPr>
      <w:r>
        <w:rPr>
          <w:rFonts w:hint="eastAsia" w:ascii="Times New Roman"/>
          <w:color w:val="000000" w:themeColor="text1"/>
          <w14:textFill>
            <w14:solidFill>
              <w14:schemeClr w14:val="tx1"/>
            </w14:solidFill>
          </w14:textFill>
        </w:rPr>
        <w:t>4.2.</w:t>
      </w:r>
      <w:r>
        <w:rPr>
          <w:rFonts w:ascii="Times New Roman"/>
          <w:color w:val="000000" w:themeColor="text1"/>
          <w14:textFill>
            <w14:solidFill>
              <w14:schemeClr w14:val="tx1"/>
            </w14:solidFill>
          </w14:textFill>
        </w:rPr>
        <w:t>1 生态优先，系统统筹</w:t>
      </w:r>
      <w:r>
        <w:rPr>
          <w:rFonts w:hint="eastAsia" w:ascii="Times New Roman"/>
          <w:color w:val="000000" w:themeColor="text1"/>
          <w14:textFill>
            <w14:solidFill>
              <w14:schemeClr w14:val="tx1"/>
            </w14:solidFill>
          </w14:textFill>
        </w:rPr>
        <w:t>。</w:t>
      </w:r>
      <w:r>
        <w:rPr>
          <w:rFonts w:ascii="Times New Roman"/>
          <w:color w:val="000000" w:themeColor="text1"/>
          <w14:textFill>
            <w14:solidFill>
              <w14:schemeClr w14:val="tx1"/>
            </w14:solidFill>
          </w14:textFill>
        </w:rPr>
        <w:t>遵循山水林田湖草沙一体化保护修复理念，将生态保护要求贯穿监测全过程。统筹考量稀土矿山开采对土地、水体、</w:t>
      </w:r>
      <w:r>
        <w:rPr>
          <w:rFonts w:hint="eastAsia" w:ascii="Times New Roman"/>
          <w:color w:val="000000" w:themeColor="text1"/>
          <w14:textFill>
            <w14:solidFill>
              <w14:schemeClr w14:val="tx1"/>
            </w14:solidFill>
          </w14:textFill>
        </w:rPr>
        <w:t>植物</w:t>
      </w:r>
      <w:r>
        <w:rPr>
          <w:rFonts w:ascii="Times New Roman"/>
          <w:color w:val="000000" w:themeColor="text1"/>
          <w14:textFill>
            <w14:solidFill>
              <w14:schemeClr w14:val="tx1"/>
            </w14:solidFill>
          </w14:textFill>
        </w:rPr>
        <w:t>等生态要素的综合影响，构建全域覆盖、要素协同的监测体系，避免碎片化监测，为源头防控与全过程治理修复提供系统支撑。</w:t>
      </w:r>
    </w:p>
    <w:p w14:paraId="4EC506ED">
      <w:pPr>
        <w:pStyle w:val="37"/>
        <w:ind w:firstLine="0" w:firstLineChars="0"/>
        <w:rPr>
          <w:rFonts w:ascii="Times New Roman"/>
          <w:color w:val="000000" w:themeColor="text1"/>
          <w14:textFill>
            <w14:solidFill>
              <w14:schemeClr w14:val="tx1"/>
            </w14:solidFill>
          </w14:textFill>
        </w:rPr>
      </w:pPr>
      <w:r>
        <w:rPr>
          <w:rFonts w:hint="eastAsia" w:ascii="Times New Roman"/>
          <w:color w:val="000000" w:themeColor="text1"/>
          <w14:textFill>
            <w14:solidFill>
              <w14:schemeClr w14:val="tx1"/>
            </w14:solidFill>
          </w14:textFill>
        </w:rPr>
        <w:t>4.2.</w:t>
      </w:r>
      <w:r>
        <w:rPr>
          <w:rFonts w:ascii="Times New Roman"/>
          <w:color w:val="000000" w:themeColor="text1"/>
          <w14:textFill>
            <w14:solidFill>
              <w14:schemeClr w14:val="tx1"/>
            </w14:solidFill>
          </w14:textFill>
        </w:rPr>
        <w:t>2 精准聚焦，突出特色</w:t>
      </w:r>
      <w:r>
        <w:rPr>
          <w:rFonts w:hint="eastAsia" w:ascii="Times New Roman"/>
          <w:color w:val="000000" w:themeColor="text1"/>
          <w14:textFill>
            <w14:solidFill>
              <w14:schemeClr w14:val="tx1"/>
            </w14:solidFill>
          </w14:textFill>
        </w:rPr>
        <w:t>。</w:t>
      </w:r>
      <w:r>
        <w:rPr>
          <w:rFonts w:ascii="Times New Roman"/>
          <w:color w:val="000000" w:themeColor="text1"/>
          <w14:textFill>
            <w14:solidFill>
              <w14:schemeClr w14:val="tx1"/>
            </w14:solidFill>
          </w14:textFill>
        </w:rPr>
        <w:t>聚焦稀土矿山</w:t>
      </w:r>
      <w:r>
        <w:rPr>
          <w:rFonts w:hint="eastAsia" w:ascii="Times New Roman"/>
          <w:color w:val="000000" w:themeColor="text1"/>
          <w14:textFill>
            <w14:solidFill>
              <w14:schemeClr w14:val="tx1"/>
            </w14:solidFill>
          </w14:textFill>
        </w:rPr>
        <w:t>水土环境</w:t>
      </w:r>
      <w:r>
        <w:rPr>
          <w:rFonts w:ascii="Times New Roman"/>
          <w:color w:val="000000" w:themeColor="text1"/>
          <w14:textFill>
            <w14:solidFill>
              <w14:schemeClr w14:val="tx1"/>
            </w14:solidFill>
          </w14:textFill>
        </w:rPr>
        <w:t>重金属污染、植被破坏等典型生态问题，明确监测重点区域、关键指标与核心对象。结合矿种特性、开采方式及地质环境条件，科学设定监测范围与精度，确保监测内容紧扣核心</w:t>
      </w:r>
      <w:r>
        <w:rPr>
          <w:rFonts w:hint="eastAsia" w:ascii="Times New Roman"/>
          <w:color w:val="000000" w:themeColor="text1"/>
          <w14:textFill>
            <w14:solidFill>
              <w14:schemeClr w14:val="tx1"/>
            </w14:solidFill>
          </w14:textFill>
        </w:rPr>
        <w:t>问题</w:t>
      </w:r>
      <w:r>
        <w:rPr>
          <w:rFonts w:ascii="Times New Roman"/>
          <w:color w:val="000000" w:themeColor="text1"/>
          <w14:textFill>
            <w14:solidFill>
              <w14:schemeClr w14:val="tx1"/>
            </w14:solidFill>
          </w14:textFill>
        </w:rPr>
        <w:t>，提升监测针对性与有效性。</w:t>
      </w:r>
    </w:p>
    <w:p w14:paraId="73B5B094">
      <w:pPr>
        <w:pStyle w:val="37"/>
        <w:ind w:firstLine="0" w:firstLineChars="0"/>
        <w:rPr>
          <w:rFonts w:ascii="Times New Roman"/>
          <w:color w:val="000000" w:themeColor="text1"/>
          <w14:textFill>
            <w14:solidFill>
              <w14:schemeClr w14:val="tx1"/>
            </w14:solidFill>
          </w14:textFill>
        </w:rPr>
      </w:pPr>
      <w:r>
        <w:rPr>
          <w:rFonts w:hint="eastAsia" w:ascii="Times New Roman"/>
          <w:color w:val="000000" w:themeColor="text1"/>
          <w14:textFill>
            <w14:solidFill>
              <w14:schemeClr w14:val="tx1"/>
            </w14:solidFill>
          </w14:textFill>
        </w:rPr>
        <w:t>4.2.</w:t>
      </w:r>
      <w:r>
        <w:rPr>
          <w:rFonts w:ascii="Times New Roman"/>
          <w:color w:val="000000" w:themeColor="text1"/>
          <w14:textFill>
            <w14:solidFill>
              <w14:schemeClr w14:val="tx1"/>
            </w14:solidFill>
          </w14:textFill>
        </w:rPr>
        <w:t xml:space="preserve">3 </w:t>
      </w:r>
      <w:bookmarkStart w:id="108" w:name="_Hlk218819485"/>
      <w:r>
        <w:rPr>
          <w:rFonts w:ascii="Times New Roman"/>
          <w:color w:val="000000" w:themeColor="text1"/>
          <w14:textFill>
            <w14:solidFill>
              <w14:schemeClr w14:val="tx1"/>
            </w14:solidFill>
          </w14:textFill>
        </w:rPr>
        <w:t>全程追溯，动态监测</w:t>
      </w:r>
      <w:bookmarkEnd w:id="108"/>
      <w:r>
        <w:rPr>
          <w:rFonts w:hint="eastAsia" w:ascii="Times New Roman"/>
          <w:color w:val="000000" w:themeColor="text1"/>
          <w14:textFill>
            <w14:solidFill>
              <w14:schemeClr w14:val="tx1"/>
            </w14:solidFill>
          </w14:textFill>
        </w:rPr>
        <w:t>。</w:t>
      </w:r>
      <w:r>
        <w:rPr>
          <w:rFonts w:ascii="Times New Roman"/>
          <w:color w:val="000000" w:themeColor="text1"/>
          <w14:textFill>
            <w14:solidFill>
              <w14:schemeClr w14:val="tx1"/>
            </w14:solidFill>
          </w14:textFill>
        </w:rPr>
        <w:t>覆盖稀土矿山生产全生命周期，建立</w:t>
      </w:r>
      <w:r>
        <w:rPr>
          <w:rFonts w:hint="eastAsia" w:ascii="Times New Roman"/>
          <w:color w:val="000000" w:themeColor="text1"/>
          <w14:textFill>
            <w14:solidFill>
              <w14:schemeClr w14:val="tx1"/>
            </w14:solidFill>
          </w14:textFill>
        </w:rPr>
        <w:t>从</w:t>
      </w:r>
      <w:r>
        <w:rPr>
          <w:rFonts w:ascii="Times New Roman"/>
          <w:color w:val="000000" w:themeColor="text1"/>
          <w14:textFill>
            <w14:solidFill>
              <w14:schemeClr w14:val="tx1"/>
            </w14:solidFill>
          </w14:textFill>
        </w:rPr>
        <w:t>开采至生态修复的完整追溯链条。构建“日常监测+应急监测”协同机制，针对丰</w:t>
      </w:r>
      <w:r>
        <w:rPr>
          <w:rFonts w:hint="eastAsia" w:ascii="Times New Roman"/>
          <w:color w:val="000000" w:themeColor="text1"/>
          <w14:textFill>
            <w14:solidFill>
              <w14:schemeClr w14:val="tx1"/>
            </w14:solidFill>
          </w14:textFill>
        </w:rPr>
        <w:t>、</w:t>
      </w:r>
      <w:r>
        <w:rPr>
          <w:rFonts w:ascii="Times New Roman"/>
          <w:color w:val="000000" w:themeColor="text1"/>
          <w14:textFill>
            <w14:solidFill>
              <w14:schemeClr w14:val="tx1"/>
            </w14:solidFill>
          </w14:textFill>
        </w:rPr>
        <w:t>枯水期等关键时段优化监测频率，动态捕捉生态环境变化趋势，及时预警生态风险，为修复方案优化提供依据。</w:t>
      </w:r>
    </w:p>
    <w:p w14:paraId="7A449B99">
      <w:pPr>
        <w:pStyle w:val="37"/>
        <w:ind w:firstLine="0" w:firstLineChars="0"/>
        <w:rPr>
          <w:rFonts w:ascii="Times New Roman"/>
          <w:color w:val="000000" w:themeColor="text1"/>
          <w14:textFill>
            <w14:solidFill>
              <w14:schemeClr w14:val="tx1"/>
            </w14:solidFill>
          </w14:textFill>
        </w:rPr>
      </w:pPr>
      <w:r>
        <w:rPr>
          <w:rFonts w:hint="eastAsia" w:ascii="Times New Roman"/>
          <w:color w:val="000000" w:themeColor="text1"/>
          <w14:textFill>
            <w14:solidFill>
              <w14:schemeClr w14:val="tx1"/>
            </w14:solidFill>
          </w14:textFill>
        </w:rPr>
        <w:t>4.2.</w:t>
      </w:r>
      <w:r>
        <w:rPr>
          <w:rFonts w:ascii="Times New Roman"/>
          <w:color w:val="000000" w:themeColor="text1"/>
          <w14:textFill>
            <w14:solidFill>
              <w14:schemeClr w14:val="tx1"/>
            </w14:solidFill>
          </w14:textFill>
        </w:rPr>
        <w:t>4 科学规范，数据可靠</w:t>
      </w:r>
      <w:r>
        <w:rPr>
          <w:rFonts w:hint="eastAsia" w:ascii="Times New Roman"/>
          <w:color w:val="000000" w:themeColor="text1"/>
          <w14:textFill>
            <w14:solidFill>
              <w14:schemeClr w14:val="tx1"/>
            </w14:solidFill>
          </w14:textFill>
        </w:rPr>
        <w:t>。</w:t>
      </w:r>
      <w:r>
        <w:rPr>
          <w:rFonts w:ascii="Times New Roman"/>
          <w:color w:val="000000" w:themeColor="text1"/>
          <w14:textFill>
            <w14:solidFill>
              <w14:schemeClr w14:val="tx1"/>
            </w14:solidFill>
          </w14:textFill>
        </w:rPr>
        <w:t>遵循标准化工作要求，监测指标设定、</w:t>
      </w:r>
      <w:r>
        <w:rPr>
          <w:rFonts w:hint="eastAsia" w:ascii="Times New Roman"/>
          <w:color w:val="000000" w:themeColor="text1"/>
          <w14:textFill>
            <w14:solidFill>
              <w14:schemeClr w14:val="tx1"/>
            </w14:solidFill>
          </w14:textFill>
        </w:rPr>
        <w:t>监测</w:t>
      </w:r>
      <w:r>
        <w:rPr>
          <w:rFonts w:ascii="Times New Roman"/>
          <w:color w:val="000000" w:themeColor="text1"/>
          <w14:textFill>
            <w14:solidFill>
              <w14:schemeClr w14:val="tx1"/>
            </w14:solidFill>
          </w14:textFill>
        </w:rPr>
        <w:t>点布设、采样及数据处理等环节均符合国家及行业相关技术规范，保障监测流程统一规范。优先采用成熟验证</w:t>
      </w:r>
      <w:r>
        <w:rPr>
          <w:rFonts w:hint="eastAsia" w:ascii="Times New Roman"/>
          <w:color w:val="000000" w:themeColor="text1"/>
          <w14:textFill>
            <w14:solidFill>
              <w14:schemeClr w14:val="tx1"/>
            </w14:solidFill>
          </w14:textFill>
        </w:rPr>
        <w:t>的</w:t>
      </w:r>
      <w:r>
        <w:rPr>
          <w:rFonts w:ascii="Times New Roman"/>
          <w:color w:val="000000" w:themeColor="text1"/>
          <w14:textFill>
            <w14:solidFill>
              <w14:schemeClr w14:val="tx1"/>
            </w14:solidFill>
          </w14:textFill>
        </w:rPr>
        <w:t>技术，结合遥感、无人机航测、自动化监测等高新技术与实地调查手段，确保监测数据准确、完整、可</w:t>
      </w:r>
      <w:r>
        <w:rPr>
          <w:rFonts w:hint="eastAsia" w:ascii="Times New Roman"/>
          <w:color w:val="000000" w:themeColor="text1"/>
          <w14:textFill>
            <w14:solidFill>
              <w14:schemeClr w14:val="tx1"/>
            </w14:solidFill>
          </w14:textFill>
        </w:rPr>
        <w:t>对</w:t>
      </w:r>
      <w:r>
        <w:rPr>
          <w:rFonts w:ascii="Times New Roman"/>
          <w:color w:val="000000" w:themeColor="text1"/>
          <w14:textFill>
            <w14:solidFill>
              <w14:schemeClr w14:val="tx1"/>
            </w14:solidFill>
          </w14:textFill>
        </w:rPr>
        <w:t>比。</w:t>
      </w:r>
    </w:p>
    <w:p w14:paraId="771A6A36">
      <w:pPr>
        <w:pStyle w:val="37"/>
        <w:ind w:firstLine="0" w:firstLineChars="0"/>
        <w:rPr>
          <w:rFonts w:ascii="Times New Roman"/>
          <w:color w:val="000000" w:themeColor="text1"/>
          <w14:textFill>
            <w14:solidFill>
              <w14:schemeClr w14:val="tx1"/>
            </w14:solidFill>
          </w14:textFill>
        </w:rPr>
      </w:pPr>
      <w:r>
        <w:rPr>
          <w:rFonts w:hint="eastAsia" w:ascii="Times New Roman"/>
          <w:color w:val="000000" w:themeColor="text1"/>
          <w14:textFill>
            <w14:solidFill>
              <w14:schemeClr w14:val="tx1"/>
            </w14:solidFill>
          </w14:textFill>
        </w:rPr>
        <w:t>4.2.</w:t>
      </w:r>
      <w:r>
        <w:rPr>
          <w:rFonts w:ascii="Times New Roman"/>
          <w:color w:val="000000" w:themeColor="text1"/>
          <w14:textFill>
            <w14:solidFill>
              <w14:schemeClr w14:val="tx1"/>
            </w14:solidFill>
          </w14:textFill>
        </w:rPr>
        <w:t>5</w:t>
      </w:r>
      <w:r>
        <w:rPr>
          <w:rFonts w:hint="eastAsia" w:ascii="Times New Roman"/>
          <w:color w:val="000000" w:themeColor="text1"/>
          <w14:textFill>
            <w14:solidFill>
              <w14:schemeClr w14:val="tx1"/>
            </w14:solidFill>
          </w14:textFill>
        </w:rPr>
        <w:t xml:space="preserve"> </w:t>
      </w:r>
      <w:r>
        <w:rPr>
          <w:rFonts w:ascii="Times New Roman"/>
          <w:color w:val="000000" w:themeColor="text1"/>
          <w14:textFill>
            <w14:solidFill>
              <w14:schemeClr w14:val="tx1"/>
            </w14:solidFill>
          </w14:textFill>
        </w:rPr>
        <w:t>实用高效，精准管控</w:t>
      </w:r>
      <w:r>
        <w:rPr>
          <w:rFonts w:hint="eastAsia" w:ascii="Times New Roman"/>
          <w:color w:val="000000" w:themeColor="text1"/>
          <w14:textFill>
            <w14:solidFill>
              <w14:schemeClr w14:val="tx1"/>
            </w14:solidFill>
          </w14:textFill>
        </w:rPr>
        <w:t>。</w:t>
      </w:r>
      <w:r>
        <w:rPr>
          <w:rFonts w:ascii="Times New Roman"/>
          <w:color w:val="000000" w:themeColor="text1"/>
          <w14:textFill>
            <w14:solidFill>
              <w14:schemeClr w14:val="tx1"/>
            </w14:solidFill>
          </w14:textFill>
        </w:rPr>
        <w:t>结合稀土矿山生产实际与管理需求，科学优化监测方案，在保障监测质量前提下兼顾经济性与可操作性。监测成果需精准反映矿区生态环境质量、污染扩散路径及修复</w:t>
      </w:r>
      <w:r>
        <w:rPr>
          <w:rFonts w:hint="eastAsia" w:ascii="Times New Roman"/>
          <w:color w:val="000000" w:themeColor="text1"/>
          <w14:textFill>
            <w14:solidFill>
              <w14:schemeClr w14:val="tx1"/>
            </w14:solidFill>
          </w14:textFill>
        </w:rPr>
        <w:t>状况</w:t>
      </w:r>
      <w:r>
        <w:rPr>
          <w:rFonts w:ascii="Times New Roman"/>
          <w:color w:val="000000" w:themeColor="text1"/>
          <w14:textFill>
            <w14:solidFill>
              <w14:schemeClr w14:val="tx1"/>
            </w14:solidFill>
          </w14:textFill>
        </w:rPr>
        <w:t>，为监管执法、企业责任落实、修复方案优化提供数据支撑</w:t>
      </w:r>
      <w:r>
        <w:rPr>
          <w:rFonts w:hint="eastAsia" w:ascii="Times New Roman"/>
          <w:color w:val="000000" w:themeColor="text1"/>
          <w14:textFill>
            <w14:solidFill>
              <w14:schemeClr w14:val="tx1"/>
            </w14:solidFill>
          </w14:textFill>
        </w:rPr>
        <w:t>。</w:t>
      </w:r>
    </w:p>
    <w:p w14:paraId="7AC1C88C">
      <w:pPr>
        <w:pStyle w:val="41"/>
      </w:pPr>
      <w:bookmarkStart w:id="109" w:name="_Toc225205354"/>
      <w:r>
        <w:rPr>
          <w:rFonts w:hint="eastAsia"/>
        </w:rPr>
        <w:t>4</w:t>
      </w:r>
      <w:r>
        <w:t xml:space="preserve">.3 </w:t>
      </w:r>
      <w:r>
        <w:rPr>
          <w:rFonts w:hint="eastAsia"/>
        </w:rPr>
        <w:t>监测时序</w:t>
      </w:r>
      <w:bookmarkEnd w:id="109"/>
    </w:p>
    <w:p w14:paraId="428D21F7">
      <w:pPr>
        <w:pStyle w:val="37"/>
        <w:ind w:firstLine="420"/>
        <w:rPr>
          <w:rFonts w:ascii="Times New Roman"/>
        </w:rPr>
      </w:pPr>
      <w:r>
        <w:rPr>
          <w:rFonts w:hint="eastAsia" w:ascii="Times New Roman"/>
        </w:rPr>
        <w:t>生产矿山宜从探矿结束之后、采矿之前开始监测。已经在采的矿山，如果尚未开展监测，应即刻部署开展。矿山停采或闭坑后，应继续监测至完成所有矿山生态修复工作或矿山生态修复工程验收合格，这段时序的监测工作根据实际矿山环境问题类型和严重程度可有针对性地调减监测点、监测指标和监测频率，具体监测要求参照矿山生态修复相关标准，本文件不做详细规定。</w:t>
      </w:r>
    </w:p>
    <w:p w14:paraId="2C1205D3">
      <w:pPr>
        <w:pStyle w:val="41"/>
      </w:pPr>
      <w:bookmarkStart w:id="110" w:name="_Toc225205355"/>
      <w:r>
        <w:rPr>
          <w:rFonts w:hint="eastAsia"/>
        </w:rPr>
        <w:t>4.4工作流程</w:t>
      </w:r>
      <w:bookmarkEnd w:id="110"/>
    </w:p>
    <w:p w14:paraId="4A763CE8">
      <w:pPr>
        <w:pStyle w:val="37"/>
        <w:ind w:firstLine="420"/>
        <w:rPr>
          <w:rFonts w:ascii="Times New Roman"/>
        </w:rPr>
      </w:pPr>
      <w:r>
        <w:rPr>
          <w:rFonts w:hint="eastAsia" w:ascii="Times New Roman"/>
        </w:rPr>
        <w:t>稀土</w:t>
      </w:r>
      <w:r>
        <w:rPr>
          <w:rFonts w:ascii="Times New Roman"/>
        </w:rPr>
        <w:t>矿山</w:t>
      </w:r>
      <w:r>
        <w:rPr>
          <w:rFonts w:hint="eastAsia" w:ascii="Times New Roman"/>
        </w:rPr>
        <w:t>生态环境监测</w:t>
      </w:r>
      <w:r>
        <w:rPr>
          <w:rFonts w:ascii="Times New Roman"/>
        </w:rPr>
        <w:t>工作程序一般包括</w:t>
      </w:r>
      <w:r>
        <w:rPr>
          <w:rFonts w:hint="eastAsia" w:ascii="Times New Roman"/>
        </w:rPr>
        <w:t>资料收集，补充调查，编制监测方案，确定监测内容、监测指标、监测频率、监测方法与监测仪器，布设监测点，采集监测数据，处理分析监测数据，编制监测成果等。其中，核心环节是确定监测内容与监测方法和布设监测点，本文件分别设独立章节进行具体要求。稀土</w:t>
      </w:r>
      <w:r>
        <w:rPr>
          <w:rFonts w:ascii="Times New Roman"/>
        </w:rPr>
        <w:t>矿山</w:t>
      </w:r>
      <w:r>
        <w:rPr>
          <w:rFonts w:hint="eastAsia" w:ascii="Times New Roman"/>
        </w:rPr>
        <w:t>生态环境监测</w:t>
      </w:r>
      <w:r>
        <w:rPr>
          <w:rFonts w:ascii="Times New Roman"/>
        </w:rPr>
        <w:t>工作流程见图1。</w:t>
      </w:r>
    </w:p>
    <w:p w14:paraId="350B652D">
      <w:pPr>
        <w:pStyle w:val="39"/>
        <w:ind w:firstLine="0" w:firstLineChars="0"/>
        <w:jc w:val="center"/>
      </w:pPr>
      <w:r>
        <w:drawing>
          <wp:inline distT="0" distB="0" distL="0" distR="0">
            <wp:extent cx="2598420" cy="4928870"/>
            <wp:effectExtent l="0" t="0" r="0" b="5080"/>
            <wp:docPr id="115931849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318491" name="图片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2607956" cy="4946993"/>
                    </a:xfrm>
                    <a:prstGeom prst="rect">
                      <a:avLst/>
                    </a:prstGeom>
                    <a:noFill/>
                  </pic:spPr>
                </pic:pic>
              </a:graphicData>
            </a:graphic>
          </wp:inline>
        </w:drawing>
      </w:r>
    </w:p>
    <w:p w14:paraId="11354179">
      <w:pPr>
        <w:pStyle w:val="82"/>
      </w:pPr>
      <w:r>
        <w:rPr>
          <w:rFonts w:hint="eastAsia"/>
        </w:rPr>
        <w:t>图1  工作流程图</w:t>
      </w:r>
    </w:p>
    <w:p w14:paraId="431D756E">
      <w:pPr>
        <w:pStyle w:val="42"/>
        <w:numPr>
          <w:ilvl w:val="0"/>
          <w:numId w:val="8"/>
        </w:numPr>
        <w:ind w:left="0" w:firstLine="0"/>
      </w:pPr>
      <w:bookmarkStart w:id="111" w:name="_Toc225205356"/>
      <w:r>
        <w:rPr>
          <w:rFonts w:hint="eastAsia"/>
        </w:rPr>
        <w:t>资料收集与补充调查</w:t>
      </w:r>
      <w:bookmarkEnd w:id="111"/>
    </w:p>
    <w:p w14:paraId="5C2ED8D2">
      <w:pPr>
        <w:pStyle w:val="41"/>
      </w:pPr>
      <w:bookmarkStart w:id="112" w:name="_Toc338490629"/>
      <w:bookmarkStart w:id="113" w:name="_Toc359596134"/>
      <w:bookmarkStart w:id="114" w:name="_Toc399488845"/>
      <w:bookmarkStart w:id="115" w:name="_Toc405556267"/>
      <w:bookmarkStart w:id="116" w:name="_Toc338490476"/>
      <w:bookmarkStart w:id="117" w:name="_Toc405558479"/>
      <w:bookmarkStart w:id="118" w:name="_Toc225205357"/>
      <w:r>
        <w:rPr>
          <w:rFonts w:hint="eastAsia"/>
        </w:rPr>
        <w:t>5</w:t>
      </w:r>
      <w:r>
        <w:t xml:space="preserve">.1 </w:t>
      </w:r>
      <w:r>
        <w:rPr>
          <w:rFonts w:hint="eastAsia"/>
        </w:rPr>
        <w:t>资料收集</w:t>
      </w:r>
      <w:bookmarkEnd w:id="112"/>
      <w:bookmarkEnd w:id="113"/>
      <w:bookmarkEnd w:id="114"/>
      <w:bookmarkEnd w:id="115"/>
      <w:bookmarkEnd w:id="116"/>
      <w:bookmarkEnd w:id="117"/>
      <w:bookmarkEnd w:id="118"/>
    </w:p>
    <w:p w14:paraId="0C40E4A8">
      <w:pPr>
        <w:pStyle w:val="21"/>
        <w:widowControl/>
        <w:numPr>
          <w:ilvl w:val="0"/>
          <w:numId w:val="9"/>
        </w:numPr>
        <w:spacing w:before="312" w:beforeLines="100" w:after="312" w:afterLines="100"/>
        <w:ind w:firstLineChars="0"/>
        <w:outlineLvl w:val="1"/>
        <w:rPr>
          <w:rFonts w:ascii="黑体" w:hAnsi="Times New Roman" w:eastAsia="黑体" w:cs="Times New Roman"/>
          <w:vanish/>
          <w:kern w:val="0"/>
          <w:szCs w:val="20"/>
        </w:rPr>
      </w:pPr>
      <w:bookmarkStart w:id="119" w:name="_Toc104298548"/>
      <w:bookmarkEnd w:id="119"/>
      <w:bookmarkStart w:id="120" w:name="_Toc104327298"/>
      <w:bookmarkEnd w:id="120"/>
      <w:bookmarkStart w:id="121" w:name="_Toc218656389"/>
      <w:bookmarkEnd w:id="121"/>
      <w:bookmarkStart w:id="122" w:name="_Toc225205358"/>
      <w:bookmarkEnd w:id="122"/>
      <w:bookmarkStart w:id="123" w:name="_Toc152342180"/>
      <w:bookmarkEnd w:id="123"/>
      <w:bookmarkStart w:id="124" w:name="_Toc204389125"/>
      <w:bookmarkEnd w:id="124"/>
      <w:bookmarkStart w:id="125" w:name="_Toc322698930"/>
      <w:bookmarkStart w:id="126" w:name="_Toc342398424"/>
      <w:bookmarkStart w:id="127" w:name="_Toc338490478"/>
    </w:p>
    <w:p w14:paraId="3090B7E1">
      <w:pPr>
        <w:pStyle w:val="21"/>
        <w:widowControl/>
        <w:numPr>
          <w:ilvl w:val="1"/>
          <w:numId w:val="9"/>
        </w:numPr>
        <w:spacing w:before="156" w:beforeLines="50" w:after="156" w:afterLines="50"/>
        <w:ind w:firstLineChars="0"/>
        <w:jc w:val="left"/>
        <w:outlineLvl w:val="2"/>
        <w:rPr>
          <w:rFonts w:ascii="黑体" w:hAnsi="Times New Roman" w:eastAsia="黑体" w:cs="Times New Roman"/>
          <w:vanish/>
          <w:kern w:val="0"/>
          <w:szCs w:val="21"/>
        </w:rPr>
      </w:pPr>
      <w:bookmarkStart w:id="128" w:name="_Toc152342181"/>
      <w:bookmarkEnd w:id="128"/>
      <w:bookmarkStart w:id="129" w:name="_Toc104298549"/>
      <w:bookmarkEnd w:id="129"/>
      <w:bookmarkStart w:id="130" w:name="_Toc204389126"/>
      <w:bookmarkEnd w:id="130"/>
      <w:bookmarkStart w:id="131" w:name="_Toc218656390"/>
      <w:bookmarkEnd w:id="131"/>
      <w:bookmarkStart w:id="132" w:name="_Toc104327299"/>
      <w:bookmarkEnd w:id="132"/>
      <w:bookmarkStart w:id="133" w:name="_Toc225205359"/>
      <w:bookmarkEnd w:id="133"/>
    </w:p>
    <w:p w14:paraId="3AEB0B14">
      <w:pPr>
        <w:pStyle w:val="54"/>
        <w:tabs>
          <w:tab w:val="left" w:pos="0"/>
        </w:tabs>
        <w:jc w:val="left"/>
      </w:pPr>
      <w:r>
        <w:rPr>
          <w:rFonts w:hint="eastAsia"/>
        </w:rPr>
        <w:t>5</w:t>
      </w:r>
      <w:r>
        <w:t xml:space="preserve">.1.1  </w:t>
      </w:r>
      <w:r>
        <w:rPr>
          <w:rFonts w:hint="eastAsia"/>
        </w:rPr>
        <w:t>矿区生态环境背景资料收集内容包括：气象、水文、土壤、植被、地形地貌、地层岩性、地质构造、水文地质、工程地质、环境地质条件和生态系统类型、结构、功能等。</w:t>
      </w:r>
      <w:bookmarkEnd w:id="125"/>
      <w:bookmarkEnd w:id="126"/>
      <w:bookmarkEnd w:id="127"/>
    </w:p>
    <w:p w14:paraId="6614DE06">
      <w:pPr>
        <w:pStyle w:val="54"/>
      </w:pPr>
      <w:bookmarkStart w:id="134" w:name="_Toc322698929"/>
      <w:bookmarkStart w:id="135" w:name="_Toc342398423"/>
      <w:bookmarkStart w:id="136" w:name="_Toc338490479"/>
      <w:r>
        <w:t xml:space="preserve">5.1.2  </w:t>
      </w:r>
      <w:r>
        <w:rPr>
          <w:rFonts w:hint="eastAsia"/>
        </w:rPr>
        <w:t>矿山基本情况资料收集内容包括：名称、位置、矿区范围拐点坐标、面积、开采规模、服务年限、开采历史、开采工艺、选矿方式、生产现状、已有监测工作、已有治理工程、</w:t>
      </w:r>
      <w:r>
        <w:t>矿山生态环境保护与恢复治理方案</w:t>
      </w:r>
      <w:r>
        <w:rPr>
          <w:rFonts w:hint="eastAsia"/>
        </w:rPr>
        <w:t>等。</w:t>
      </w:r>
    </w:p>
    <w:p w14:paraId="49966B43">
      <w:pPr>
        <w:pStyle w:val="54"/>
      </w:pPr>
      <w:r>
        <w:t xml:space="preserve">5.1.3  </w:t>
      </w:r>
      <w:r>
        <w:rPr>
          <w:rFonts w:hint="eastAsia"/>
        </w:rPr>
        <w:t>矿山生态环境问题资料收集内容包括：</w:t>
      </w:r>
      <w:bookmarkEnd w:id="134"/>
      <w:bookmarkEnd w:id="135"/>
      <w:bookmarkEnd w:id="136"/>
      <w:r>
        <w:rPr>
          <w:rFonts w:hint="eastAsia"/>
        </w:rPr>
        <w:t>类型、威胁对象、威胁对象所处方位及距离、危害程度、治理对象及治理率等。</w:t>
      </w:r>
    </w:p>
    <w:p w14:paraId="2A9DD670">
      <w:pPr>
        <w:pStyle w:val="54"/>
      </w:pPr>
      <w:r>
        <w:t xml:space="preserve">5.1.4  </w:t>
      </w:r>
      <w:r>
        <w:rPr>
          <w:rFonts w:hint="eastAsia"/>
        </w:rPr>
        <w:t>收集的图件至少包括：矿区地形地质图、矿区水文地质图、水文地质剖面图、开采工艺流程图、采掘工程平面图等。</w:t>
      </w:r>
    </w:p>
    <w:p w14:paraId="04384C26">
      <w:pPr>
        <w:pStyle w:val="41"/>
      </w:pPr>
      <w:bookmarkStart w:id="137" w:name="_Toc225205360"/>
      <w:bookmarkStart w:id="138" w:name="_Toc399488846"/>
      <w:bookmarkStart w:id="139" w:name="_Toc338490630"/>
      <w:bookmarkStart w:id="140" w:name="_Toc359596135"/>
      <w:bookmarkStart w:id="141" w:name="_Toc353367011"/>
      <w:bookmarkStart w:id="142" w:name="_Toc322698931"/>
      <w:bookmarkStart w:id="143" w:name="_Toc338490480"/>
      <w:bookmarkStart w:id="144" w:name="_Toc405558480"/>
      <w:bookmarkStart w:id="145" w:name="_Toc288050981"/>
      <w:bookmarkStart w:id="146" w:name="_Toc405556268"/>
      <w:r>
        <w:rPr>
          <w:rFonts w:hint="eastAsia"/>
        </w:rPr>
        <w:t>5</w:t>
      </w:r>
      <w:r>
        <w:t xml:space="preserve">.2 </w:t>
      </w:r>
      <w:r>
        <w:rPr>
          <w:rFonts w:hint="eastAsia"/>
        </w:rPr>
        <w:t>补充调查</w:t>
      </w:r>
      <w:bookmarkEnd w:id="137"/>
      <w:bookmarkEnd w:id="138"/>
      <w:bookmarkEnd w:id="139"/>
      <w:bookmarkEnd w:id="140"/>
      <w:bookmarkEnd w:id="141"/>
      <w:bookmarkEnd w:id="142"/>
      <w:bookmarkEnd w:id="143"/>
      <w:bookmarkEnd w:id="144"/>
      <w:bookmarkEnd w:id="145"/>
      <w:bookmarkEnd w:id="146"/>
    </w:p>
    <w:p w14:paraId="7ECE0FE3">
      <w:pPr>
        <w:pStyle w:val="21"/>
        <w:widowControl/>
        <w:numPr>
          <w:ilvl w:val="1"/>
          <w:numId w:val="9"/>
        </w:numPr>
        <w:spacing w:before="156" w:beforeLines="50" w:after="156" w:afterLines="50"/>
        <w:ind w:firstLineChars="0"/>
        <w:jc w:val="left"/>
        <w:outlineLvl w:val="2"/>
        <w:rPr>
          <w:rFonts w:ascii="黑体" w:hAnsi="Times New Roman" w:eastAsia="黑体" w:cs="Times New Roman"/>
          <w:vanish/>
          <w:kern w:val="0"/>
          <w:szCs w:val="21"/>
        </w:rPr>
      </w:pPr>
      <w:bookmarkStart w:id="147" w:name="_Toc104327301"/>
      <w:bookmarkEnd w:id="147"/>
      <w:bookmarkStart w:id="148" w:name="_Toc104298551"/>
      <w:bookmarkEnd w:id="148"/>
      <w:bookmarkStart w:id="149" w:name="_Toc152342183"/>
      <w:bookmarkEnd w:id="149"/>
      <w:bookmarkStart w:id="150" w:name="_Toc225205361"/>
      <w:bookmarkEnd w:id="150"/>
      <w:bookmarkStart w:id="151" w:name="_Toc204389128"/>
      <w:bookmarkEnd w:id="151"/>
      <w:bookmarkStart w:id="152" w:name="_Toc218656392"/>
      <w:bookmarkEnd w:id="152"/>
      <w:bookmarkStart w:id="153" w:name="_Toc338490481"/>
    </w:p>
    <w:p w14:paraId="42447F9C">
      <w:pPr>
        <w:pStyle w:val="21"/>
        <w:widowControl/>
        <w:numPr>
          <w:ilvl w:val="1"/>
          <w:numId w:val="9"/>
        </w:numPr>
        <w:spacing w:before="156" w:beforeLines="50" w:after="156" w:afterLines="50"/>
        <w:ind w:firstLineChars="0"/>
        <w:jc w:val="left"/>
        <w:outlineLvl w:val="2"/>
        <w:rPr>
          <w:rFonts w:ascii="黑体" w:hAnsi="Times New Roman" w:eastAsia="黑体" w:cs="Times New Roman"/>
          <w:vanish/>
          <w:kern w:val="0"/>
          <w:szCs w:val="21"/>
        </w:rPr>
      </w:pPr>
      <w:bookmarkStart w:id="154" w:name="_Toc225205362"/>
      <w:bookmarkEnd w:id="154"/>
      <w:bookmarkStart w:id="155" w:name="_Toc218656393"/>
      <w:bookmarkEnd w:id="155"/>
      <w:bookmarkStart w:id="156" w:name="_Toc104327302"/>
      <w:bookmarkEnd w:id="156"/>
      <w:bookmarkStart w:id="157" w:name="_Toc204389129"/>
      <w:bookmarkEnd w:id="157"/>
      <w:bookmarkStart w:id="158" w:name="_Toc104298552"/>
      <w:bookmarkEnd w:id="158"/>
      <w:bookmarkStart w:id="159" w:name="_Toc152342184"/>
      <w:bookmarkEnd w:id="159"/>
    </w:p>
    <w:p w14:paraId="58E05F28">
      <w:pPr>
        <w:pStyle w:val="54"/>
        <w:numPr>
          <w:ilvl w:val="0"/>
          <w:numId w:val="10"/>
        </w:numPr>
        <w:tabs>
          <w:tab w:val="left" w:pos="709"/>
        </w:tabs>
        <w:ind w:left="1" w:firstLine="566"/>
      </w:pPr>
      <w:r>
        <w:rPr>
          <w:rFonts w:hint="eastAsia"/>
        </w:rPr>
        <w:t>三年内没有开展矿山地质环境详细调查的矿山，补充开展矿山地质环境详细调查</w:t>
      </w:r>
      <w:bookmarkEnd w:id="153"/>
      <w:r>
        <w:rPr>
          <w:rFonts w:hint="eastAsia"/>
        </w:rPr>
        <w:t>。</w:t>
      </w:r>
    </w:p>
    <w:p w14:paraId="32AF796B">
      <w:pPr>
        <w:pStyle w:val="54"/>
        <w:numPr>
          <w:ilvl w:val="0"/>
          <w:numId w:val="10"/>
        </w:numPr>
        <w:tabs>
          <w:tab w:val="left" w:pos="709"/>
        </w:tabs>
        <w:ind w:left="1" w:firstLine="566"/>
      </w:pPr>
      <w:bookmarkStart w:id="160" w:name="_Toc338490482"/>
      <w:r>
        <w:rPr>
          <w:rFonts w:hint="eastAsia"/>
        </w:rPr>
        <w:t>矿山生态环境问题调查路线的布置及调查点的密度，应满足查明矿山生态环境问题分布特征和布设生态环境监测网络的要求，调查精度应高于1:10000。</w:t>
      </w:r>
      <w:bookmarkEnd w:id="160"/>
    </w:p>
    <w:p w14:paraId="10D1C954">
      <w:pPr>
        <w:pStyle w:val="54"/>
        <w:numPr>
          <w:ilvl w:val="0"/>
          <w:numId w:val="10"/>
        </w:numPr>
        <w:tabs>
          <w:tab w:val="left" w:pos="709"/>
        </w:tabs>
        <w:ind w:left="1" w:firstLine="566"/>
      </w:pPr>
      <w:bookmarkStart w:id="161" w:name="_Toc338490483"/>
      <w:r>
        <w:rPr>
          <w:rFonts w:hint="eastAsia"/>
        </w:rPr>
        <w:t>实地调查应先收集覆盖工作区的遥感影像，结合地形地貌条件和地物特征，使用北斗、GPS等定位方法，采用录影、拍照、无人机拍摄等方式记录影像资料，应现场记录。</w:t>
      </w:r>
      <w:bookmarkEnd w:id="161"/>
    </w:p>
    <w:p w14:paraId="5B254B9E">
      <w:pPr>
        <w:pStyle w:val="54"/>
        <w:numPr>
          <w:ilvl w:val="0"/>
          <w:numId w:val="10"/>
        </w:numPr>
        <w:tabs>
          <w:tab w:val="left" w:pos="709"/>
        </w:tabs>
        <w:ind w:left="1" w:firstLine="566"/>
      </w:pPr>
      <w:bookmarkStart w:id="162" w:name="_Toc338490484"/>
      <w:r>
        <w:rPr>
          <w:rFonts w:hint="eastAsia"/>
        </w:rPr>
        <w:t>矿山生态环境补充调查内容包括矿山地质灾害、地表水环境、地下水环境、土壤环境、植被状况、地形地貌景观破坏和修复情况等。调查结束时，应及时编写调查成果报告及编绘附图。</w:t>
      </w:r>
      <w:bookmarkEnd w:id="162"/>
    </w:p>
    <w:p w14:paraId="5304466C">
      <w:pPr>
        <w:pStyle w:val="42"/>
        <w:numPr>
          <w:ilvl w:val="0"/>
          <w:numId w:val="8"/>
        </w:numPr>
        <w:ind w:left="0" w:firstLine="0"/>
      </w:pPr>
      <w:bookmarkStart w:id="163" w:name="_Toc225205363"/>
      <w:r>
        <w:rPr>
          <w:rFonts w:hint="eastAsia"/>
        </w:rPr>
        <w:t>监测方案编制</w:t>
      </w:r>
      <w:bookmarkEnd w:id="163"/>
    </w:p>
    <w:p w14:paraId="660E88E8">
      <w:pPr>
        <w:pStyle w:val="57"/>
        <w:numPr>
          <w:ilvl w:val="0"/>
          <w:numId w:val="11"/>
        </w:numPr>
        <w:ind w:left="0" w:firstLine="284"/>
      </w:pPr>
      <w:r>
        <w:rPr>
          <w:rFonts w:hint="eastAsia"/>
        </w:rPr>
        <w:t>内容应包括：前言、以往地质工作程度、矿山生态环境条件、工作方法及技术要求、工作部署及进度安排、实物工作量、组织机构及人员安排、经费预算、质量保障与安全措施等，并附工作部署图。编写提纲及编写内容参见附录B执行。</w:t>
      </w:r>
    </w:p>
    <w:p w14:paraId="56A706CB">
      <w:pPr>
        <w:pStyle w:val="57"/>
        <w:numPr>
          <w:ilvl w:val="0"/>
          <w:numId w:val="11"/>
        </w:numPr>
        <w:ind w:left="0" w:firstLine="284"/>
      </w:pPr>
      <w:r>
        <w:rPr>
          <w:rFonts w:hint="eastAsia"/>
        </w:rPr>
        <w:t>在工作方法与技术要求中应重点说明监测内容、监测指标、监测点密度、监测频率、监测方法、监测仪器型号及精度，并应说明监测标示埋设和监测设施施工要求及注意事项。</w:t>
      </w:r>
    </w:p>
    <w:p w14:paraId="40D2DDC4">
      <w:pPr>
        <w:pStyle w:val="42"/>
        <w:numPr>
          <w:ilvl w:val="0"/>
          <w:numId w:val="8"/>
        </w:numPr>
        <w:ind w:left="0" w:firstLine="0"/>
      </w:pPr>
      <w:bookmarkStart w:id="164" w:name="_Toc225205364"/>
      <w:r>
        <w:rPr>
          <w:rFonts w:hint="eastAsia"/>
        </w:rPr>
        <w:t>监测内容与指标</w:t>
      </w:r>
      <w:bookmarkEnd w:id="164"/>
    </w:p>
    <w:p w14:paraId="328E1D70">
      <w:pPr>
        <w:pStyle w:val="21"/>
        <w:numPr>
          <w:ilvl w:val="0"/>
          <w:numId w:val="12"/>
        </w:numPr>
        <w:ind w:left="0" w:firstLine="284" w:firstLineChars="0"/>
        <w:rPr>
          <w:rFonts w:hint="eastAsia" w:ascii="宋体" w:hAnsi="宋体" w:eastAsia="宋体"/>
          <w:szCs w:val="21"/>
        </w:rPr>
      </w:pPr>
      <w:r>
        <w:rPr>
          <w:rFonts w:hint="eastAsia" w:ascii="宋体" w:hAnsi="宋体" w:eastAsia="宋体"/>
          <w:szCs w:val="21"/>
        </w:rPr>
        <w:t>地表水环境监测内容主要包括地表水质、地表水量、流速等，监测矿区上游背景值点和矿区及周边区域地表水环境状况，重点监测区域为原地浸矿区注收液系统周边及下游。</w:t>
      </w:r>
      <w:r>
        <w:rPr>
          <w:rFonts w:hint="eastAsia" w:ascii="宋体" w:hAnsi="宋体" w:eastAsia="宋体" w:cs="Times New Roman"/>
          <w:kern w:val="0"/>
          <w:szCs w:val="21"/>
        </w:rPr>
        <w:t>地表水水质监测指标包括全分析和稀土元素、重金属元素等。</w:t>
      </w:r>
      <w:r>
        <w:rPr>
          <w:rFonts w:hint="eastAsia" w:ascii="宋体" w:hAnsi="宋体" w:eastAsia="宋体"/>
          <w:szCs w:val="21"/>
        </w:rPr>
        <w:t xml:space="preserve"> </w:t>
      </w:r>
    </w:p>
    <w:p w14:paraId="110C228A">
      <w:pPr>
        <w:pStyle w:val="54"/>
        <w:numPr>
          <w:ilvl w:val="0"/>
          <w:numId w:val="12"/>
        </w:numPr>
        <w:ind w:left="0" w:firstLine="284"/>
        <w:rPr>
          <w:rFonts w:hint="eastAsia" w:hAnsi="宋体"/>
          <w:szCs w:val="21"/>
        </w:rPr>
      </w:pPr>
      <w:r>
        <w:rPr>
          <w:rFonts w:hint="eastAsia" w:hAnsi="宋体"/>
          <w:szCs w:val="21"/>
        </w:rPr>
        <w:t>地下水环境监测内容主要包括地下水位、地下水质、地下水温度等，监测矿区上游背景值点和矿区及周边区域地下水环境状况，</w:t>
      </w:r>
      <w:r>
        <w:rPr>
          <w:rFonts w:hAnsi="宋体"/>
          <w:szCs w:val="21"/>
        </w:rPr>
        <w:t>原地浸矿区注收液系统周边及下游</w:t>
      </w:r>
      <w:r>
        <w:rPr>
          <w:rFonts w:hint="eastAsia" w:hAnsi="宋体"/>
          <w:szCs w:val="21"/>
        </w:rPr>
        <w:t>。地下水环境水质监测指标包括全分析和稀土元素、重金属元素含量等。</w:t>
      </w:r>
    </w:p>
    <w:p w14:paraId="6E7BF1A0">
      <w:pPr>
        <w:pStyle w:val="54"/>
        <w:numPr>
          <w:ilvl w:val="0"/>
          <w:numId w:val="12"/>
        </w:numPr>
        <w:ind w:left="0" w:firstLine="284"/>
        <w:rPr>
          <w:rFonts w:hint="eastAsia" w:hAnsi="宋体"/>
          <w:szCs w:val="21"/>
        </w:rPr>
      </w:pPr>
      <w:r>
        <w:rPr>
          <w:rFonts w:hint="eastAsia" w:hAnsi="宋体"/>
          <w:szCs w:val="21"/>
        </w:rPr>
        <w:t>土壤环境监测内容主要包括土壤理化性质、土壤质量等，监测矿区上游背景值点和矿区及周边区域土壤环境状况，重点监测区域为原地浸矿区注收液系统周边及下游。监测指标包括土壤微量元素、土壤矿物质全量、pH、总有机碳（TOC）、有机质和稀土元素。</w:t>
      </w:r>
    </w:p>
    <w:p w14:paraId="108734A2">
      <w:pPr>
        <w:pStyle w:val="54"/>
        <w:numPr>
          <w:ilvl w:val="0"/>
          <w:numId w:val="12"/>
        </w:numPr>
        <w:ind w:left="0" w:firstLine="284"/>
      </w:pPr>
      <w:r>
        <w:rPr>
          <w:rFonts w:hint="eastAsia" w:hAnsi="宋体"/>
          <w:szCs w:val="21"/>
        </w:rPr>
        <w:t>植被监测内容主要包括植被类型、生长情况、污染情况等，监测矿区及周边区域植被状况，重点监测区域为原地浸矿区注收液系统周边及下游。</w:t>
      </w:r>
      <w:r>
        <w:rPr>
          <w:rFonts w:hint="eastAsia"/>
        </w:rPr>
        <w:t>对矿区植被类型进行记录和统计；使用样方调查观测植被种群情况、植被密度、盖度，不同种群植被形态、生长态势和根系粗度、密度、长度等；采集植被样品测试分析进行污染情况监测。</w:t>
      </w:r>
    </w:p>
    <w:p w14:paraId="7E842243">
      <w:pPr>
        <w:pStyle w:val="54"/>
        <w:numPr>
          <w:ilvl w:val="0"/>
          <w:numId w:val="12"/>
        </w:numPr>
        <w:ind w:left="0" w:firstLine="284"/>
        <w:rPr>
          <w:rFonts w:hint="eastAsia" w:hAnsi="宋体"/>
          <w:szCs w:val="21"/>
        </w:rPr>
      </w:pPr>
      <w:r>
        <w:rPr>
          <w:rFonts w:hint="eastAsia" w:hAnsi="宋体"/>
          <w:szCs w:val="21"/>
        </w:rPr>
        <w:t>地形地貌景观破坏监测内容主要包括地形地貌损毁、岩土剥离等状况，主要监测剥离岩土体积、植被损毁面积和危岩体治理稳定性、治理危岩的体积等，重点监测区域为原地浸矿区注收液系统周边及下游。</w:t>
      </w:r>
      <w:r>
        <w:rPr>
          <w:rFonts w:hint="eastAsia"/>
        </w:rPr>
        <w:t>以卫星遥感影像监测和无人机低空航测为主，摄像、摄影、现场人工测量等辅助监测。</w:t>
      </w:r>
    </w:p>
    <w:p w14:paraId="4426EE3A">
      <w:pPr>
        <w:pStyle w:val="54"/>
        <w:numPr>
          <w:ilvl w:val="0"/>
          <w:numId w:val="12"/>
        </w:numPr>
        <w:ind w:left="0" w:firstLine="284"/>
        <w:rPr>
          <w:rFonts w:hint="eastAsia" w:hAnsi="宋体"/>
          <w:szCs w:val="21"/>
        </w:rPr>
      </w:pPr>
      <w:r>
        <w:rPr>
          <w:rFonts w:hint="eastAsia" w:hAnsi="宋体"/>
          <w:szCs w:val="21"/>
        </w:rPr>
        <w:t>生态修复监测内容主要包括落实“边开采边治理”要求的矿山治理修复情况，土地平整及复垦面积，复绿植被面积及盖度，复绿植被成活情况和水土环境状况等。水环境恢复监测的检测项目与地表水和地下水环境监测相同，土壤环境恢复重点监测土壤无机污染物和有机污染物。</w:t>
      </w:r>
    </w:p>
    <w:p w14:paraId="09B0C4FF">
      <w:pPr>
        <w:pStyle w:val="54"/>
        <w:numPr>
          <w:ilvl w:val="0"/>
          <w:numId w:val="12"/>
        </w:numPr>
        <w:ind w:left="0" w:firstLine="284"/>
        <w:rPr>
          <w:rFonts w:hint="eastAsia" w:hAnsi="宋体"/>
          <w:szCs w:val="21"/>
        </w:rPr>
      </w:pPr>
      <w:r>
        <w:rPr>
          <w:rFonts w:hint="eastAsia" w:hAnsi="宋体"/>
          <w:szCs w:val="21"/>
        </w:rPr>
        <w:t>监测指标</w:t>
      </w:r>
    </w:p>
    <w:p w14:paraId="5D8224A1">
      <w:pPr>
        <w:pStyle w:val="54"/>
        <w:rPr>
          <w:rFonts w:hint="eastAsia" w:hAnsi="宋体"/>
          <w:szCs w:val="21"/>
        </w:rPr>
      </w:pPr>
      <w:r>
        <w:rPr>
          <w:rFonts w:hint="eastAsia" w:hAnsi="宋体"/>
          <w:szCs w:val="21"/>
        </w:rPr>
        <w:t>7</w:t>
      </w:r>
      <w:r>
        <w:rPr>
          <w:rFonts w:hAnsi="宋体"/>
          <w:szCs w:val="21"/>
        </w:rPr>
        <w:t>.</w:t>
      </w:r>
      <w:r>
        <w:rPr>
          <w:rFonts w:hint="eastAsia" w:hAnsi="宋体"/>
          <w:szCs w:val="21"/>
        </w:rPr>
        <w:t>7</w:t>
      </w:r>
      <w:r>
        <w:rPr>
          <w:rFonts w:hAnsi="宋体"/>
          <w:szCs w:val="21"/>
        </w:rPr>
        <w:t xml:space="preserve">.1  </w:t>
      </w:r>
      <w:r>
        <w:rPr>
          <w:rFonts w:hint="eastAsia" w:hAnsi="宋体"/>
          <w:szCs w:val="21"/>
        </w:rPr>
        <w:t>反映监测内容的形态、位置、结构、组成的变化及诱发因素，矿山生态环境监测指标及检测项目详见附录A。</w:t>
      </w:r>
    </w:p>
    <w:p w14:paraId="64C424F4">
      <w:pPr>
        <w:pStyle w:val="54"/>
        <w:rPr>
          <w:rFonts w:hint="eastAsia" w:hAnsi="宋体"/>
          <w:szCs w:val="21"/>
        </w:rPr>
      </w:pPr>
      <w:r>
        <w:rPr>
          <w:rFonts w:hint="eastAsia" w:hAnsi="宋体"/>
          <w:szCs w:val="21"/>
        </w:rPr>
        <w:t>7</w:t>
      </w:r>
      <w:r>
        <w:rPr>
          <w:rFonts w:hAnsi="宋体"/>
          <w:szCs w:val="21"/>
        </w:rPr>
        <w:t>.</w:t>
      </w:r>
      <w:r>
        <w:rPr>
          <w:rFonts w:hint="eastAsia" w:hAnsi="宋体"/>
          <w:szCs w:val="21"/>
        </w:rPr>
        <w:t>7</w:t>
      </w:r>
      <w:r>
        <w:rPr>
          <w:rFonts w:hAnsi="宋体"/>
          <w:szCs w:val="21"/>
        </w:rPr>
        <w:t xml:space="preserve">.2  </w:t>
      </w:r>
      <w:r>
        <w:rPr>
          <w:rFonts w:hint="eastAsia" w:hAnsi="宋体"/>
          <w:szCs w:val="21"/>
        </w:rPr>
        <w:t>可根据实际情况，选择性取舍。</w:t>
      </w:r>
    </w:p>
    <w:p w14:paraId="31C234A2">
      <w:pPr>
        <w:pStyle w:val="42"/>
        <w:numPr>
          <w:ilvl w:val="0"/>
          <w:numId w:val="8"/>
        </w:numPr>
        <w:ind w:left="0" w:firstLine="0"/>
      </w:pPr>
      <w:bookmarkStart w:id="165" w:name="_Toc225205365"/>
      <w:r>
        <w:rPr>
          <w:rFonts w:hint="eastAsia"/>
        </w:rPr>
        <w:t>监测点布设</w:t>
      </w:r>
      <w:bookmarkEnd w:id="165"/>
    </w:p>
    <w:p w14:paraId="026A0837">
      <w:pPr>
        <w:pStyle w:val="41"/>
      </w:pPr>
      <w:bookmarkStart w:id="166" w:name="_Toc225205366"/>
      <w:r>
        <w:rPr>
          <w:rFonts w:hint="eastAsia"/>
        </w:rPr>
        <w:t>8</w:t>
      </w:r>
      <w:r>
        <w:t>.1　</w:t>
      </w:r>
      <w:r>
        <w:rPr>
          <w:rFonts w:hint="eastAsia"/>
        </w:rPr>
        <w:t>布设原则</w:t>
      </w:r>
      <w:bookmarkEnd w:id="166"/>
    </w:p>
    <w:p w14:paraId="38C9E5E5">
      <w:pPr>
        <w:pStyle w:val="54"/>
        <w:tabs>
          <w:tab w:val="left" w:pos="709"/>
        </w:tabs>
      </w:pPr>
      <w:r>
        <w:t>8.1.1　布设</w:t>
      </w:r>
      <w:r>
        <w:rPr>
          <w:rFonts w:hint="eastAsia"/>
        </w:rPr>
        <w:t>稀土</w:t>
      </w:r>
      <w:r>
        <w:t>矿山生态环境监测点之前应进行</w:t>
      </w:r>
      <w:r>
        <w:rPr>
          <w:rFonts w:hint="eastAsia"/>
        </w:rPr>
        <w:t>充分地</w:t>
      </w:r>
      <w:r>
        <w:t>资料收集和调查工作，并应掌握矿区的交通、通讯、气象等情况。</w:t>
      </w:r>
    </w:p>
    <w:p w14:paraId="348559B6">
      <w:pPr>
        <w:pStyle w:val="54"/>
        <w:tabs>
          <w:tab w:val="left" w:pos="709"/>
        </w:tabs>
      </w:pPr>
      <w:r>
        <w:t>8.1.2　监测点</w:t>
      </w:r>
      <w:r>
        <w:rPr>
          <w:rFonts w:hint="eastAsia"/>
        </w:rPr>
        <w:t>应全面</w:t>
      </w:r>
      <w:r>
        <w:t>覆盖</w:t>
      </w:r>
      <w:r>
        <w:rPr>
          <w:rFonts w:hint="eastAsia"/>
        </w:rPr>
        <w:t>稀土矿山</w:t>
      </w:r>
      <w:r>
        <w:t>开采证确定的矿区范围，以及勘探、开采</w:t>
      </w:r>
      <w:r>
        <w:rPr>
          <w:rFonts w:hint="eastAsia"/>
        </w:rPr>
        <w:t>和</w:t>
      </w:r>
      <w:r>
        <w:t>矿山基本建设影响的区域。重点监控范围包括露天采场、</w:t>
      </w:r>
      <w:r>
        <w:rPr>
          <w:rFonts w:hint="eastAsia"/>
        </w:rPr>
        <w:t>配液池等浸选矿工业场地、</w:t>
      </w:r>
      <w:r>
        <w:t>洗选矿废水排放口</w:t>
      </w:r>
      <w:r>
        <w:rPr>
          <w:rFonts w:hint="eastAsia"/>
        </w:rPr>
        <w:t>、</w:t>
      </w:r>
      <w:r>
        <w:t>尾</w:t>
      </w:r>
      <w:r>
        <w:rPr>
          <w:rFonts w:hint="eastAsia"/>
        </w:rPr>
        <w:t>砂</w:t>
      </w:r>
      <w:r>
        <w:t>堆放场、</w:t>
      </w:r>
      <w:r>
        <w:rPr>
          <w:rFonts w:hint="eastAsia"/>
        </w:rPr>
        <w:t>废弃堆浸场</w:t>
      </w:r>
      <w:r>
        <w:t>以及所影响的区域。</w:t>
      </w:r>
    </w:p>
    <w:p w14:paraId="7ACF6B96">
      <w:pPr>
        <w:pStyle w:val="54"/>
        <w:tabs>
          <w:tab w:val="left" w:pos="709"/>
        </w:tabs>
      </w:pPr>
      <w:r>
        <w:t>8.1.3　监测点包括地</w:t>
      </w:r>
      <w:r>
        <w:rPr>
          <w:rFonts w:hint="eastAsia"/>
        </w:rPr>
        <w:t>表</w:t>
      </w:r>
      <w:r>
        <w:t>水质监测点、地下水位（水温）监测点、地下水质监测点、降水量监测点、土壤</w:t>
      </w:r>
      <w:r>
        <w:rPr>
          <w:rFonts w:hint="eastAsia"/>
        </w:rPr>
        <w:t>质量</w:t>
      </w:r>
      <w:r>
        <w:t>监测点、岩土体含水率监测点、</w:t>
      </w:r>
      <w:r>
        <w:rPr>
          <w:rFonts w:hint="eastAsia"/>
        </w:rPr>
        <w:t>植被状况监测点、</w:t>
      </w:r>
      <w:r>
        <w:t>地形地貌景观监测点等。监测点确定后及时建立档案。</w:t>
      </w:r>
      <w:r>
        <w:rPr>
          <w:rFonts w:hint="eastAsia"/>
        </w:rPr>
        <w:t>同一点位在满足技术要求的前提下，可同时为不同类型的监测点。</w:t>
      </w:r>
    </w:p>
    <w:p w14:paraId="025F5CD8">
      <w:pPr>
        <w:pStyle w:val="54"/>
        <w:tabs>
          <w:tab w:val="left" w:pos="709"/>
        </w:tabs>
      </w:pPr>
      <w:r>
        <w:t>8.1.4　及时优化调整监测网。矿山开采现状和矿山主要生态环境问题有较大变动时，应优化和调整矿山生态环境监测点，确保矿山生态环境监测数据采集准确、及时。半年以上动态不明显的监测点应降低监测频率，或及时更换；动态显著的监测区域应适当提高监测密度，或提高监测频率。</w:t>
      </w:r>
    </w:p>
    <w:p w14:paraId="1F798DFB">
      <w:pPr>
        <w:pStyle w:val="41"/>
      </w:pPr>
      <w:bookmarkStart w:id="167" w:name="_Toc225205367"/>
      <w:r>
        <w:t>8.2</w:t>
      </w:r>
      <w:r>
        <w:rPr>
          <w:rFonts w:hint="eastAsia"/>
        </w:rPr>
        <w:t xml:space="preserve"> 地表水环境监测点</w:t>
      </w:r>
      <w:bookmarkEnd w:id="167"/>
    </w:p>
    <w:p w14:paraId="1548A2EA">
      <w:pPr>
        <w:pStyle w:val="54"/>
        <w:numPr>
          <w:ilvl w:val="0"/>
          <w:numId w:val="13"/>
        </w:numPr>
        <w:tabs>
          <w:tab w:val="left" w:pos="709"/>
        </w:tabs>
        <w:ind w:left="0" w:firstLine="0"/>
      </w:pPr>
      <w:r>
        <w:rPr>
          <w:rFonts w:hint="eastAsia"/>
        </w:rPr>
        <w:t>稀土矿区地表水环境监测以布设水质监测为主。以矿区为原点，在地表水流域的上游、下游和矿区分别设立监测点。</w:t>
      </w:r>
    </w:p>
    <w:p w14:paraId="1E9EB57D">
      <w:pPr>
        <w:pStyle w:val="54"/>
        <w:numPr>
          <w:ilvl w:val="0"/>
          <w:numId w:val="13"/>
        </w:numPr>
        <w:tabs>
          <w:tab w:val="left" w:pos="709"/>
        </w:tabs>
        <w:ind w:left="0" w:firstLine="0"/>
      </w:pPr>
      <w:r>
        <w:rPr>
          <w:rFonts w:hint="eastAsia"/>
        </w:rPr>
        <w:t>矿区上游监测点布设在基本不受人类活动影响，远离矿区、工业区、农药化肥施用区及主要交通路线的地表水域，设置1</w:t>
      </w:r>
      <w:r>
        <w:t>-2</w:t>
      </w:r>
      <w:r>
        <w:rPr>
          <w:rFonts w:hint="eastAsia"/>
        </w:rPr>
        <w:t>个监测点。</w:t>
      </w:r>
    </w:p>
    <w:p w14:paraId="49A54504">
      <w:pPr>
        <w:pStyle w:val="54"/>
        <w:numPr>
          <w:ilvl w:val="0"/>
          <w:numId w:val="13"/>
        </w:numPr>
        <w:tabs>
          <w:tab w:val="left" w:pos="709"/>
        </w:tabs>
        <w:ind w:left="0" w:firstLine="0"/>
      </w:pPr>
      <w:r>
        <w:rPr>
          <w:rFonts w:hint="eastAsia"/>
        </w:rPr>
        <w:t>矿区监测点布设在原地浸矿区及其周边影响区域，根据污染质扩散特征，按照上下游的方向依次布设，采样点沿平面以300m～600m间隔为宜。</w:t>
      </w:r>
    </w:p>
    <w:p w14:paraId="645584AA">
      <w:pPr>
        <w:pStyle w:val="54"/>
        <w:numPr>
          <w:ilvl w:val="0"/>
          <w:numId w:val="13"/>
        </w:numPr>
        <w:tabs>
          <w:tab w:val="left" w:pos="709"/>
        </w:tabs>
        <w:ind w:left="0" w:firstLine="0"/>
      </w:pPr>
      <w:r>
        <w:rPr>
          <w:rFonts w:hint="eastAsia"/>
        </w:rPr>
        <w:t>矿区下游监测点沿地表水流向依次布设，如有分支水流则分别沿流向监测。监测点间隔5</w:t>
      </w:r>
      <w:r>
        <w:t>00</w:t>
      </w:r>
      <w:r>
        <w:rPr>
          <w:rFonts w:hint="eastAsia"/>
        </w:rPr>
        <w:t>m～</w:t>
      </w:r>
      <w:r>
        <w:t>800</w:t>
      </w:r>
      <w:r>
        <w:rPr>
          <w:rFonts w:hint="eastAsia"/>
        </w:rPr>
        <w:t>m布设，至能控制地表水污染范围的地点。</w:t>
      </w:r>
    </w:p>
    <w:p w14:paraId="11F9DC38">
      <w:pPr>
        <w:pStyle w:val="41"/>
      </w:pPr>
      <w:bookmarkStart w:id="168" w:name="_Toc225205368"/>
      <w:r>
        <w:rPr>
          <w:rFonts w:hint="eastAsia"/>
        </w:rPr>
        <w:t>8</w:t>
      </w:r>
      <w:r>
        <w:t>.3 地下水环境监测</w:t>
      </w:r>
      <w:r>
        <w:rPr>
          <w:rFonts w:hint="eastAsia"/>
        </w:rPr>
        <w:t>点</w:t>
      </w:r>
      <w:bookmarkEnd w:id="168"/>
    </w:p>
    <w:p w14:paraId="3981FA14">
      <w:pPr>
        <w:pStyle w:val="21"/>
        <w:widowControl/>
        <w:numPr>
          <w:ilvl w:val="0"/>
          <w:numId w:val="9"/>
        </w:numPr>
        <w:spacing w:before="312" w:beforeLines="100" w:after="312" w:afterLines="100"/>
        <w:ind w:firstLineChars="0"/>
        <w:outlineLvl w:val="1"/>
        <w:rPr>
          <w:rFonts w:ascii="黑体" w:hAnsi="Times New Roman" w:eastAsia="黑体" w:cs="Times New Roman"/>
          <w:vanish/>
          <w:kern w:val="0"/>
          <w:szCs w:val="20"/>
        </w:rPr>
      </w:pPr>
      <w:bookmarkStart w:id="169" w:name="_Toc104298558"/>
      <w:bookmarkEnd w:id="169"/>
      <w:bookmarkStart w:id="170" w:name="_Toc104327308"/>
      <w:bookmarkEnd w:id="170"/>
      <w:bookmarkStart w:id="171" w:name="_Toc204389135"/>
      <w:bookmarkEnd w:id="171"/>
      <w:bookmarkStart w:id="172" w:name="_Toc152342190"/>
      <w:bookmarkEnd w:id="172"/>
      <w:bookmarkStart w:id="173" w:name="_Toc225205369"/>
      <w:bookmarkEnd w:id="173"/>
      <w:bookmarkStart w:id="174" w:name="_Toc218656400"/>
      <w:bookmarkEnd w:id="174"/>
    </w:p>
    <w:p w14:paraId="4A63B1C6">
      <w:pPr>
        <w:pStyle w:val="21"/>
        <w:widowControl/>
        <w:numPr>
          <w:ilvl w:val="0"/>
          <w:numId w:val="9"/>
        </w:numPr>
        <w:spacing w:before="312" w:beforeLines="100" w:after="312" w:afterLines="100"/>
        <w:ind w:firstLineChars="0"/>
        <w:outlineLvl w:val="1"/>
        <w:rPr>
          <w:rFonts w:ascii="黑体" w:hAnsi="Times New Roman" w:eastAsia="黑体" w:cs="Times New Roman"/>
          <w:vanish/>
          <w:kern w:val="0"/>
          <w:szCs w:val="20"/>
        </w:rPr>
      </w:pPr>
      <w:bookmarkStart w:id="175" w:name="_Toc218656401"/>
      <w:bookmarkEnd w:id="175"/>
      <w:bookmarkStart w:id="176" w:name="_Toc104298559"/>
      <w:bookmarkEnd w:id="176"/>
      <w:bookmarkStart w:id="177" w:name="_Toc104327309"/>
      <w:bookmarkEnd w:id="177"/>
      <w:bookmarkStart w:id="178" w:name="_Toc152342191"/>
      <w:bookmarkEnd w:id="178"/>
      <w:bookmarkStart w:id="179" w:name="_Toc225205370"/>
      <w:bookmarkEnd w:id="179"/>
      <w:bookmarkStart w:id="180" w:name="_Toc204389136"/>
      <w:bookmarkEnd w:id="180"/>
    </w:p>
    <w:p w14:paraId="6DA7D0F8">
      <w:pPr>
        <w:pStyle w:val="21"/>
        <w:widowControl/>
        <w:numPr>
          <w:ilvl w:val="1"/>
          <w:numId w:val="9"/>
        </w:numPr>
        <w:spacing w:before="156" w:beforeLines="50" w:after="156" w:afterLines="50"/>
        <w:ind w:firstLineChars="0"/>
        <w:jc w:val="left"/>
        <w:outlineLvl w:val="2"/>
        <w:rPr>
          <w:rFonts w:ascii="黑体" w:hAnsi="Times New Roman" w:eastAsia="黑体" w:cs="Times New Roman"/>
          <w:vanish/>
          <w:kern w:val="0"/>
          <w:szCs w:val="21"/>
        </w:rPr>
      </w:pPr>
      <w:bookmarkStart w:id="181" w:name="_Toc104298560"/>
      <w:bookmarkEnd w:id="181"/>
      <w:bookmarkStart w:id="182" w:name="_Toc104327310"/>
      <w:bookmarkEnd w:id="182"/>
      <w:bookmarkStart w:id="183" w:name="_Toc152342192"/>
      <w:bookmarkEnd w:id="183"/>
      <w:bookmarkStart w:id="184" w:name="_Toc204389137"/>
      <w:bookmarkEnd w:id="184"/>
      <w:bookmarkStart w:id="185" w:name="_Toc218656402"/>
      <w:bookmarkEnd w:id="185"/>
      <w:bookmarkStart w:id="186" w:name="_Toc225205371"/>
      <w:bookmarkEnd w:id="186"/>
    </w:p>
    <w:p w14:paraId="5A08A457">
      <w:pPr>
        <w:pStyle w:val="21"/>
        <w:widowControl/>
        <w:numPr>
          <w:ilvl w:val="1"/>
          <w:numId w:val="9"/>
        </w:numPr>
        <w:spacing w:before="156" w:beforeLines="50" w:after="156" w:afterLines="50"/>
        <w:ind w:firstLineChars="0"/>
        <w:jc w:val="left"/>
        <w:outlineLvl w:val="2"/>
        <w:rPr>
          <w:rFonts w:ascii="黑体" w:hAnsi="Times New Roman" w:eastAsia="黑体" w:cs="Times New Roman"/>
          <w:vanish/>
          <w:kern w:val="0"/>
          <w:szCs w:val="21"/>
        </w:rPr>
      </w:pPr>
      <w:bookmarkStart w:id="187" w:name="_Toc104327311"/>
      <w:bookmarkEnd w:id="187"/>
      <w:bookmarkStart w:id="188" w:name="_Toc225205372"/>
      <w:bookmarkEnd w:id="188"/>
      <w:bookmarkStart w:id="189" w:name="_Toc152342193"/>
      <w:bookmarkEnd w:id="189"/>
      <w:bookmarkStart w:id="190" w:name="_Toc204389138"/>
      <w:bookmarkEnd w:id="190"/>
      <w:bookmarkStart w:id="191" w:name="_Toc218656403"/>
      <w:bookmarkEnd w:id="191"/>
      <w:bookmarkStart w:id="192" w:name="_Toc104298561"/>
      <w:bookmarkEnd w:id="192"/>
    </w:p>
    <w:p w14:paraId="18958D54">
      <w:pPr>
        <w:pStyle w:val="21"/>
        <w:widowControl/>
        <w:numPr>
          <w:ilvl w:val="1"/>
          <w:numId w:val="9"/>
        </w:numPr>
        <w:spacing w:before="156" w:beforeLines="50" w:after="156" w:afterLines="50"/>
        <w:ind w:firstLineChars="0"/>
        <w:jc w:val="left"/>
        <w:outlineLvl w:val="2"/>
        <w:rPr>
          <w:rFonts w:ascii="黑体" w:hAnsi="Times New Roman" w:eastAsia="黑体" w:cs="Times New Roman"/>
          <w:vanish/>
          <w:kern w:val="0"/>
          <w:szCs w:val="21"/>
        </w:rPr>
      </w:pPr>
      <w:bookmarkStart w:id="193" w:name="_Toc104327312"/>
      <w:bookmarkEnd w:id="193"/>
      <w:bookmarkStart w:id="194" w:name="_Toc225205373"/>
      <w:bookmarkEnd w:id="194"/>
      <w:bookmarkStart w:id="195" w:name="_Toc104298562"/>
      <w:bookmarkEnd w:id="195"/>
      <w:bookmarkStart w:id="196" w:name="_Toc204389139"/>
      <w:bookmarkEnd w:id="196"/>
      <w:bookmarkStart w:id="197" w:name="_Toc152342194"/>
      <w:bookmarkEnd w:id="197"/>
      <w:bookmarkStart w:id="198" w:name="_Toc218656404"/>
      <w:bookmarkEnd w:id="198"/>
    </w:p>
    <w:p w14:paraId="3C5B7C53">
      <w:pPr>
        <w:pStyle w:val="54"/>
      </w:pPr>
      <w:r>
        <w:rPr>
          <w:rFonts w:hint="eastAsia"/>
        </w:rPr>
        <w:t>8</w:t>
      </w:r>
      <w:r>
        <w:t>.3.1  在采矿活动预计影响到的地下水补给、径流、排泄区域，</w:t>
      </w:r>
      <w:r>
        <w:rPr>
          <w:rFonts w:hint="eastAsia"/>
        </w:rPr>
        <w:t>从矿区上游到下游</w:t>
      </w:r>
      <w:r>
        <w:t>沿地下水流向或垂直地下水流向</w:t>
      </w:r>
      <w:r>
        <w:rPr>
          <w:rFonts w:hint="eastAsia"/>
        </w:rPr>
        <w:t>，</w:t>
      </w:r>
      <w:r>
        <w:t>布设地下水质、地下水位（水温）监测点。</w:t>
      </w:r>
    </w:p>
    <w:p w14:paraId="246B1C09">
      <w:pPr>
        <w:pStyle w:val="54"/>
      </w:pPr>
      <w:r>
        <w:rPr>
          <w:rFonts w:hint="eastAsia"/>
        </w:rPr>
        <w:t>8</w:t>
      </w:r>
      <w:r>
        <w:t>.3.2  地下水环境背景监测点应优先选择矿区</w:t>
      </w:r>
      <w:r>
        <w:rPr>
          <w:rFonts w:hint="eastAsia"/>
        </w:rPr>
        <w:t>上游未受污染和人为影响的区域，以</w:t>
      </w:r>
      <w:r>
        <w:t>自然出露的泉眼</w:t>
      </w:r>
      <w:r>
        <w:rPr>
          <w:rFonts w:hint="eastAsia"/>
        </w:rPr>
        <w:t>或</w:t>
      </w:r>
      <w:r>
        <w:t>专门性监测井为主，生产井或居民生活饮用井为辅</w:t>
      </w:r>
      <w:r>
        <w:rPr>
          <w:rFonts w:hint="eastAsia"/>
        </w:rPr>
        <w:t>，设置1</w:t>
      </w:r>
      <w:r>
        <w:t>-2</w:t>
      </w:r>
      <w:r>
        <w:rPr>
          <w:rFonts w:hint="eastAsia"/>
        </w:rPr>
        <w:t>个监测点</w:t>
      </w:r>
      <w:r>
        <w:t>。</w:t>
      </w:r>
    </w:p>
    <w:p w14:paraId="3C1F5884">
      <w:pPr>
        <w:pStyle w:val="54"/>
      </w:pPr>
      <w:bookmarkStart w:id="199" w:name="_Toc338490529"/>
      <w:r>
        <w:rPr>
          <w:rFonts w:hint="eastAsia"/>
        </w:rPr>
        <w:t>8</w:t>
      </w:r>
      <w:r>
        <w:t>.3.</w:t>
      </w:r>
      <w:r>
        <w:rPr>
          <w:rFonts w:hint="eastAsia"/>
        </w:rPr>
        <w:t>3</w:t>
      </w:r>
      <w:r>
        <w:t xml:space="preserve">  </w:t>
      </w:r>
      <w:r>
        <w:rPr>
          <w:rFonts w:hint="eastAsia"/>
        </w:rPr>
        <w:t>通过布设地下水位（水温）、水质监测井，监测稀土矿区关键点位的地下潜水或风化壳浅层水、基岩裂隙水的水位（水温）、水质变化特征。通过采取地下水样品或现场测试，全面监测区域地下水质变化情况。</w:t>
      </w:r>
      <w:bookmarkEnd w:id="199"/>
    </w:p>
    <w:p w14:paraId="1993923A">
      <w:pPr>
        <w:pStyle w:val="54"/>
      </w:pPr>
      <w:bookmarkStart w:id="200" w:name="_Toc338490530"/>
      <w:r>
        <w:rPr>
          <w:rFonts w:hint="eastAsia"/>
        </w:rPr>
        <w:t>8</w:t>
      </w:r>
      <w:r>
        <w:t>.3.</w:t>
      </w:r>
      <w:r>
        <w:rPr>
          <w:rFonts w:hint="eastAsia"/>
        </w:rPr>
        <w:t>4</w:t>
      </w:r>
      <w:r>
        <w:t xml:space="preserve">  </w:t>
      </w:r>
      <w:r>
        <w:rPr>
          <w:rFonts w:hint="eastAsia"/>
        </w:rPr>
        <w:t>水文地质钻孔、浅井和地下水位（水温）、水质监测井应沿着地下水流向和垂直地下水流向布设，监测线间距应</w:t>
      </w:r>
      <w:r>
        <w:t>40</w:t>
      </w:r>
      <w:r>
        <w:rPr>
          <w:rFonts w:hint="eastAsia"/>
        </w:rPr>
        <w:t>0m～</w:t>
      </w:r>
      <w:r>
        <w:t>10</w:t>
      </w:r>
      <w:r>
        <w:rPr>
          <w:rFonts w:hint="eastAsia"/>
        </w:rPr>
        <w:t>00m。地下水污染严重区应加密布设监测点。</w:t>
      </w:r>
      <w:bookmarkEnd w:id="200"/>
      <w:r>
        <w:rPr>
          <w:rFonts w:hint="eastAsia"/>
        </w:rPr>
        <w:t xml:space="preserve"> </w:t>
      </w:r>
    </w:p>
    <w:p w14:paraId="4D5D7F7B">
      <w:pPr>
        <w:pStyle w:val="54"/>
      </w:pPr>
      <w:bookmarkStart w:id="201" w:name="_Toc338490531"/>
      <w:r>
        <w:rPr>
          <w:rFonts w:hint="eastAsia"/>
        </w:rPr>
        <w:t>8</w:t>
      </w:r>
      <w:r>
        <w:t>.3.</w:t>
      </w:r>
      <w:r>
        <w:rPr>
          <w:rFonts w:hint="eastAsia"/>
        </w:rPr>
        <w:t>5</w:t>
      </w:r>
      <w:r>
        <w:t xml:space="preserve">  </w:t>
      </w:r>
      <w:r>
        <w:rPr>
          <w:rFonts w:hint="eastAsia"/>
        </w:rPr>
        <w:t>地下水位（水温）、水质监测井可专门开凿，也可选用非开采井，但应具有地层岩性和井管结构资料，并能保证进行常年连续监测。监测井</w:t>
      </w:r>
      <w:r>
        <w:t>(</w:t>
      </w:r>
      <w:r>
        <w:rPr>
          <w:rFonts w:hint="eastAsia"/>
        </w:rPr>
        <w:t>孔)应远离地表水体，应修筑井台，防止地表水体倒灌。监测井（孔）监测目的层与其他含水层</w:t>
      </w:r>
      <w:r>
        <w:t>(</w:t>
      </w:r>
      <w:r>
        <w:rPr>
          <w:rFonts w:hint="eastAsia"/>
        </w:rPr>
        <w:t>组</w:t>
      </w:r>
      <w:r>
        <w:t>)</w:t>
      </w:r>
      <w:r>
        <w:rPr>
          <w:rFonts w:hint="eastAsia"/>
        </w:rPr>
        <w:t>之间应止水良好。修建保护装置，避免监测井</w:t>
      </w:r>
      <w:r>
        <w:t>(</w:t>
      </w:r>
      <w:r>
        <w:rPr>
          <w:rFonts w:hint="eastAsia"/>
        </w:rPr>
        <w:t>孔)和监测仪器、设备遭受破坏，并应及时清淤。</w:t>
      </w:r>
      <w:bookmarkEnd w:id="201"/>
    </w:p>
    <w:p w14:paraId="16F0654E">
      <w:pPr>
        <w:pStyle w:val="54"/>
      </w:pPr>
      <w:r>
        <w:rPr>
          <w:rFonts w:hint="eastAsia"/>
        </w:rPr>
        <w:t>8</w:t>
      </w:r>
      <w:r>
        <w:t>.3.</w:t>
      </w:r>
      <w:r>
        <w:rPr>
          <w:rFonts w:hint="eastAsia"/>
        </w:rPr>
        <w:t>6</w:t>
      </w:r>
      <w:r>
        <w:t xml:space="preserve"> </w:t>
      </w:r>
      <w:r>
        <w:rPr>
          <w:rFonts w:hint="eastAsia"/>
        </w:rPr>
        <w:t>阶段采矿活动结束更换采场或实施矿区地下水环境恢复治理工程后，在地下水污染区布设地下水环境恢复监测点，重点监测矿区地下水水质和水位的恢复情况。地下水环境恢复监测点应沿地下水流向布设，监测线间距以500m～1000m为宜，监测点应在地下水环境破坏监测点中优选，选择监测指标动态特征明显，且井口保护装置良好，井孔未出现淤塞，可正常取水的监测井。</w:t>
      </w:r>
    </w:p>
    <w:p w14:paraId="1F6B3016">
      <w:pPr>
        <w:pStyle w:val="41"/>
      </w:pPr>
      <w:bookmarkStart w:id="202" w:name="_Toc225205374"/>
      <w:r>
        <w:t>8.4　土壤环境监测</w:t>
      </w:r>
      <w:r>
        <w:rPr>
          <w:rFonts w:hint="eastAsia"/>
        </w:rPr>
        <w:t>点</w:t>
      </w:r>
      <w:bookmarkEnd w:id="202"/>
    </w:p>
    <w:p w14:paraId="6E209228">
      <w:pPr>
        <w:pStyle w:val="21"/>
        <w:widowControl/>
        <w:numPr>
          <w:ilvl w:val="1"/>
          <w:numId w:val="9"/>
        </w:numPr>
        <w:spacing w:before="156" w:beforeLines="50" w:after="156" w:afterLines="50"/>
        <w:ind w:firstLineChars="0"/>
        <w:jc w:val="left"/>
        <w:outlineLvl w:val="2"/>
        <w:rPr>
          <w:rFonts w:ascii="黑体" w:hAnsi="Times New Roman" w:eastAsia="黑体" w:cs="Times New Roman"/>
          <w:vanish/>
          <w:kern w:val="0"/>
          <w:szCs w:val="21"/>
        </w:rPr>
      </w:pPr>
      <w:bookmarkStart w:id="203" w:name="_Toc104327314"/>
      <w:bookmarkEnd w:id="203"/>
      <w:bookmarkStart w:id="204" w:name="_Toc218656406"/>
      <w:bookmarkEnd w:id="204"/>
      <w:bookmarkStart w:id="205" w:name="_Toc225205375"/>
      <w:bookmarkEnd w:id="205"/>
      <w:bookmarkStart w:id="206" w:name="_Toc104298564"/>
      <w:bookmarkEnd w:id="206"/>
      <w:bookmarkStart w:id="207" w:name="_Toc152342196"/>
      <w:bookmarkEnd w:id="207"/>
      <w:bookmarkStart w:id="208" w:name="_Toc204389141"/>
      <w:bookmarkEnd w:id="208"/>
    </w:p>
    <w:p w14:paraId="33792D8C">
      <w:pPr>
        <w:pStyle w:val="54"/>
      </w:pPr>
      <w:r>
        <w:rPr>
          <w:rFonts w:hint="eastAsia"/>
        </w:rPr>
        <w:t>8</w:t>
      </w:r>
      <w:r>
        <w:t>.4.1  在采矿活动预计影响到的矿区及周边区域，沿着地形由高到低布设土壤环境监测点</w:t>
      </w:r>
      <w:r>
        <w:rPr>
          <w:rFonts w:hint="eastAsia"/>
        </w:rPr>
        <w:t>。</w:t>
      </w:r>
      <w:r>
        <w:t>以矿</w:t>
      </w:r>
      <w:r>
        <w:rPr>
          <w:rFonts w:hint="eastAsia"/>
        </w:rPr>
        <w:t>区</w:t>
      </w:r>
      <w:r>
        <w:t>为单位，矿区范围内每个微地貌单元至少</w:t>
      </w:r>
      <w:r>
        <w:rPr>
          <w:rFonts w:hint="eastAsia"/>
        </w:rPr>
        <w:t>布设</w:t>
      </w:r>
      <w:r>
        <w:t>一个土壤环境监测点。</w:t>
      </w:r>
      <w:r>
        <w:rPr>
          <w:rFonts w:hint="eastAsia"/>
        </w:rPr>
        <w:t>在矿区上游未被扰动过的区域设置</w:t>
      </w:r>
      <w:r>
        <w:t>土壤环境背景监测</w:t>
      </w:r>
      <w:r>
        <w:rPr>
          <w:rFonts w:hint="eastAsia"/>
        </w:rPr>
        <w:t>点。</w:t>
      </w:r>
    </w:p>
    <w:p w14:paraId="4AD516C5">
      <w:pPr>
        <w:pStyle w:val="54"/>
      </w:pPr>
      <w:bookmarkStart w:id="209" w:name="_Toc338490539"/>
      <w:r>
        <w:t>8.4.</w:t>
      </w:r>
      <w:r>
        <w:rPr>
          <w:rFonts w:hint="eastAsia"/>
        </w:rPr>
        <w:t>2</w:t>
      </w:r>
      <w:r>
        <w:t xml:space="preserve">  </w:t>
      </w:r>
      <w:r>
        <w:rPr>
          <w:rFonts w:hint="eastAsia"/>
        </w:rPr>
        <w:t>土壤环境监测点主要布设在原地浸矿区注收液系统周边及下游，以及可能被洗选矿污水渗漏污染的地区，</w:t>
      </w:r>
      <w:bookmarkStart w:id="210" w:name="_Hlk224353006"/>
      <w:bookmarkStart w:id="211" w:name="_Toc338490540"/>
      <w:r>
        <w:rPr>
          <w:rFonts w:hint="eastAsia"/>
        </w:rPr>
        <w:t>根据污染质扩散特征，采样点沿平面</w:t>
      </w:r>
      <w:bookmarkEnd w:id="210"/>
      <w:r>
        <w:rPr>
          <w:rFonts w:hint="eastAsia"/>
        </w:rPr>
        <w:t>和垂向布设。平面采样点选在被采土壤类型特征明显的地方，地形相对平坦、稳定、植被良好的地点。土壤剖面采样点以剖面发育完整、层次较清楚、无侵入体为准。采样点离铁路、公路至少</w:t>
      </w:r>
      <w:r>
        <w:t>2</w:t>
      </w:r>
      <w:r>
        <w:rPr>
          <w:rFonts w:hint="eastAsia"/>
        </w:rPr>
        <w:t>00m以上。</w:t>
      </w:r>
      <w:bookmarkEnd w:id="211"/>
    </w:p>
    <w:p w14:paraId="6BD76545">
      <w:pPr>
        <w:pStyle w:val="54"/>
      </w:pPr>
      <w:r>
        <w:rPr>
          <w:rFonts w:hint="eastAsia"/>
        </w:rPr>
        <w:t>8</w:t>
      </w:r>
      <w:r>
        <w:t>.4.</w:t>
      </w:r>
      <w:r>
        <w:rPr>
          <w:rFonts w:hint="eastAsia"/>
        </w:rPr>
        <w:t>3</w:t>
      </w:r>
      <w:r>
        <w:t xml:space="preserve">  </w:t>
      </w:r>
      <w:r>
        <w:rPr>
          <w:rFonts w:hint="eastAsia"/>
        </w:rPr>
        <w:t>生产矿山落实“边开采边修复”要求开展土壤治理修复后，应在矿区布设土壤环境恢复监测点。布点方法依据监测区面积。面积较小的监测区采用对角线布点法和梅花形布点法，面积中等的监测区采用棋盘式布点法，面积较大的监测区采用蛇形布点法。</w:t>
      </w:r>
    </w:p>
    <w:p w14:paraId="755C1A1F">
      <w:pPr>
        <w:pStyle w:val="54"/>
      </w:pPr>
      <w:bookmarkStart w:id="212" w:name="_Toc338490541"/>
      <w:r>
        <w:rPr>
          <w:rFonts w:hint="eastAsia"/>
        </w:rPr>
        <w:t>8</w:t>
      </w:r>
      <w:r>
        <w:t>.4.</w:t>
      </w:r>
      <w:r>
        <w:rPr>
          <w:rFonts w:hint="eastAsia"/>
        </w:rPr>
        <w:t>4</w:t>
      </w:r>
      <w:r>
        <w:t xml:space="preserve">  </w:t>
      </w:r>
      <w:r>
        <w:rPr>
          <w:rFonts w:hint="eastAsia"/>
        </w:rPr>
        <w:t>土壤环境恢复监测点应布设平面采样点和剖面采样点，采样点间距500m～2</w:t>
      </w:r>
      <w:r>
        <w:t>0</w:t>
      </w:r>
      <w:r>
        <w:rPr>
          <w:rFonts w:hint="eastAsia"/>
        </w:rPr>
        <w:t>00m。平面采样点采集深度0～20cm，要求采集混合样。剖面采样点采集腐殖质淋溶层、沉积层、母质层样品，如对应层位有缺失则尽量采集不同层位或垂向间隔不小于5</w:t>
      </w:r>
      <w:r>
        <w:t>0</w:t>
      </w:r>
      <w:r>
        <w:rPr>
          <w:rFonts w:hint="eastAsia"/>
        </w:rPr>
        <w:t>cm的三处样品。</w:t>
      </w:r>
      <w:bookmarkEnd w:id="209"/>
      <w:bookmarkEnd w:id="212"/>
    </w:p>
    <w:p w14:paraId="696313CA">
      <w:pPr>
        <w:pStyle w:val="41"/>
      </w:pPr>
      <w:bookmarkStart w:id="213" w:name="_Toc225205376"/>
      <w:r>
        <w:rPr>
          <w:rFonts w:hint="eastAsia"/>
        </w:rPr>
        <w:t>8</w:t>
      </w:r>
      <w:r>
        <w:t xml:space="preserve">.5 </w:t>
      </w:r>
      <w:r>
        <w:rPr>
          <w:rFonts w:hint="eastAsia"/>
        </w:rPr>
        <w:t>植被</w:t>
      </w:r>
      <w:r>
        <w:t>监测</w:t>
      </w:r>
      <w:r>
        <w:rPr>
          <w:rFonts w:hint="eastAsia"/>
        </w:rPr>
        <w:t>点</w:t>
      </w:r>
      <w:bookmarkEnd w:id="213"/>
    </w:p>
    <w:p w14:paraId="1CDABF41">
      <w:pPr>
        <w:pStyle w:val="54"/>
      </w:pPr>
      <w:r>
        <w:rPr>
          <w:rFonts w:hint="eastAsia"/>
        </w:rPr>
        <w:t>8</w:t>
      </w:r>
      <w:r>
        <w:t xml:space="preserve">.5.1  </w:t>
      </w:r>
      <w:r>
        <w:rPr>
          <w:rFonts w:hint="eastAsia"/>
        </w:rPr>
        <w:t>植被监测点分别布设在</w:t>
      </w:r>
      <w:bookmarkStart w:id="214" w:name="_Hlk224350032"/>
      <w:r>
        <w:t>原地浸矿区注收液系统周边及下游</w:t>
      </w:r>
      <w:bookmarkEnd w:id="214"/>
      <w:r>
        <w:rPr>
          <w:rFonts w:hint="eastAsia"/>
        </w:rPr>
        <w:t>和修复区。选取原生优势物种进行监测，植被采样分析按种类采取矿区特征植被，分根、茎、叶，进行取样测试，特征优势作物类植被还需采取其果实样品进行分析测试。</w:t>
      </w:r>
    </w:p>
    <w:p w14:paraId="0EE7D272">
      <w:pPr>
        <w:pStyle w:val="41"/>
      </w:pPr>
      <w:bookmarkStart w:id="215" w:name="_Toc338490645"/>
      <w:bookmarkStart w:id="216" w:name="_Toc225205377"/>
      <w:bookmarkStart w:id="217" w:name="_Toc288050989"/>
      <w:bookmarkStart w:id="218" w:name="_Toc405558494"/>
      <w:bookmarkStart w:id="219" w:name="_Toc353367026"/>
      <w:bookmarkStart w:id="220" w:name="_Toc359596150"/>
      <w:bookmarkStart w:id="221" w:name="_Toc338490543"/>
      <w:bookmarkStart w:id="222" w:name="_Toc322698942"/>
      <w:bookmarkStart w:id="223" w:name="_Toc399488860"/>
      <w:bookmarkStart w:id="224" w:name="_Toc405556282"/>
      <w:r>
        <w:rPr>
          <w:rFonts w:hint="eastAsia"/>
        </w:rPr>
        <w:t>8</w:t>
      </w:r>
      <w:r>
        <w:t xml:space="preserve">.6 </w:t>
      </w:r>
      <w:r>
        <w:rPr>
          <w:rFonts w:hint="eastAsia"/>
        </w:rPr>
        <w:t>地形地貌景观破坏监测</w:t>
      </w:r>
      <w:bookmarkEnd w:id="215"/>
      <w:bookmarkEnd w:id="216"/>
      <w:bookmarkEnd w:id="217"/>
      <w:bookmarkEnd w:id="218"/>
      <w:bookmarkEnd w:id="219"/>
      <w:bookmarkEnd w:id="220"/>
      <w:bookmarkEnd w:id="221"/>
      <w:bookmarkEnd w:id="222"/>
      <w:bookmarkEnd w:id="223"/>
      <w:bookmarkEnd w:id="224"/>
    </w:p>
    <w:p w14:paraId="6E810ADF">
      <w:pPr>
        <w:pStyle w:val="54"/>
      </w:pPr>
      <w:bookmarkStart w:id="225" w:name="_Toc338490544"/>
      <w:r>
        <w:rPr>
          <w:rFonts w:hint="eastAsia"/>
        </w:rPr>
        <w:t>8</w:t>
      </w:r>
      <w:r>
        <w:t xml:space="preserve">.6.1  </w:t>
      </w:r>
      <w:r>
        <w:rPr>
          <w:rFonts w:hint="eastAsia"/>
        </w:rPr>
        <w:t>地形地貌景观破坏监测主要布设在露天采场和采矿造成的地表形变和工业场地等分布区域。重点监测植被损毁面积、岩土剥离体积等要素</w:t>
      </w:r>
      <w:bookmarkEnd w:id="225"/>
      <w:r>
        <w:rPr>
          <w:rFonts w:hint="eastAsia"/>
        </w:rPr>
        <w:t>。</w:t>
      </w:r>
    </w:p>
    <w:p w14:paraId="58CC73AA">
      <w:pPr>
        <w:pStyle w:val="54"/>
      </w:pPr>
      <w:bookmarkStart w:id="226" w:name="_Toc338490546"/>
      <w:r>
        <w:rPr>
          <w:rFonts w:hint="eastAsia"/>
        </w:rPr>
        <w:t>8</w:t>
      </w:r>
      <w:r>
        <w:t xml:space="preserve">.6.2  </w:t>
      </w:r>
      <w:bookmarkEnd w:id="226"/>
      <w:r>
        <w:rPr>
          <w:rFonts w:hint="eastAsia"/>
        </w:rPr>
        <w:t>阶段采矿活动结束更换采场或矿区地形地貌景观破坏恢复治理后，应在地形地貌景观破坏和已经治理的区域，布设地形地貌景观恢复监测点，监测地形地貌景观恢复进展。</w:t>
      </w:r>
    </w:p>
    <w:p w14:paraId="158D4664">
      <w:pPr>
        <w:pStyle w:val="41"/>
      </w:pPr>
      <w:bookmarkStart w:id="227" w:name="_Toc225205378"/>
      <w:r>
        <w:rPr>
          <w:rFonts w:hint="eastAsia"/>
        </w:rPr>
        <w:t>8.7 生态修复监测</w:t>
      </w:r>
      <w:bookmarkEnd w:id="227"/>
    </w:p>
    <w:p w14:paraId="130FD1DE">
      <w:pPr>
        <w:pStyle w:val="54"/>
      </w:pPr>
      <w:r>
        <w:rPr>
          <w:rFonts w:hint="eastAsia"/>
        </w:rPr>
        <w:t>8</w:t>
      </w:r>
      <w:r>
        <w:t>.</w:t>
      </w:r>
      <w:r>
        <w:rPr>
          <w:rFonts w:hint="eastAsia"/>
        </w:rPr>
        <w:t>7</w:t>
      </w:r>
      <w:r>
        <w:t>.</w:t>
      </w:r>
      <w:r>
        <w:rPr>
          <w:rFonts w:hint="eastAsia"/>
        </w:rPr>
        <w:t>1</w:t>
      </w:r>
      <w:r>
        <w:t xml:space="preserve">  </w:t>
      </w:r>
      <w:r>
        <w:rPr>
          <w:rFonts w:hint="eastAsia"/>
        </w:rPr>
        <w:t>生态修复监测主要是对矿区生态修复后的整体状况进行监测，监测范围为整个矿区。可采用遥感解译监测方法，也可使用无人机航拍等方法进行。面积较小的稀土矿区使用无人机航拍进行监测，面积大的矿区使用遥感手段进行监测。监测频率不低于一年1</w:t>
      </w:r>
      <w:r>
        <w:t>次。</w:t>
      </w:r>
    </w:p>
    <w:p w14:paraId="70403B4B">
      <w:pPr>
        <w:pStyle w:val="42"/>
        <w:numPr>
          <w:ilvl w:val="0"/>
          <w:numId w:val="8"/>
        </w:numPr>
        <w:ind w:left="0" w:firstLine="0"/>
      </w:pPr>
      <w:bookmarkStart w:id="228" w:name="_Toc225205379"/>
      <w:r>
        <w:rPr>
          <w:rFonts w:hint="eastAsia"/>
        </w:rPr>
        <w:t>监测方法</w:t>
      </w:r>
      <w:bookmarkEnd w:id="228"/>
    </w:p>
    <w:p w14:paraId="3CB997C1">
      <w:pPr>
        <w:widowControl/>
        <w:spacing w:before="312" w:beforeLines="100" w:after="312" w:afterLines="100"/>
        <w:outlineLvl w:val="1"/>
        <w:rPr>
          <w:rFonts w:ascii="黑体" w:hAnsi="Times New Roman" w:eastAsia="黑体" w:cs="Times New Roman"/>
          <w:vanish/>
          <w:kern w:val="0"/>
          <w:szCs w:val="20"/>
        </w:rPr>
      </w:pPr>
      <w:bookmarkStart w:id="229" w:name="_Toc104298568"/>
      <w:bookmarkEnd w:id="229"/>
      <w:bookmarkStart w:id="230" w:name="_Toc104327318"/>
      <w:bookmarkEnd w:id="230"/>
      <w:bookmarkStart w:id="231" w:name="_Toc204389145"/>
      <w:bookmarkEnd w:id="231"/>
      <w:bookmarkStart w:id="232" w:name="_Toc218656411"/>
      <w:bookmarkEnd w:id="232"/>
      <w:bookmarkStart w:id="233" w:name="_Toc152342200"/>
      <w:bookmarkEnd w:id="233"/>
      <w:bookmarkStart w:id="234" w:name="_Toc405556287"/>
      <w:bookmarkStart w:id="235" w:name="_Toc338490548"/>
      <w:bookmarkStart w:id="236" w:name="_Toc399488865"/>
      <w:bookmarkStart w:id="237" w:name="_Toc405558499"/>
      <w:bookmarkStart w:id="238" w:name="_Toc338490647"/>
      <w:bookmarkStart w:id="239" w:name="_Toc353367028"/>
      <w:bookmarkStart w:id="240" w:name="_Toc359596152"/>
    </w:p>
    <w:p w14:paraId="1E341252">
      <w:pPr>
        <w:pStyle w:val="41"/>
      </w:pPr>
      <w:bookmarkStart w:id="241" w:name="_Toc225205380"/>
      <w:r>
        <w:rPr>
          <w:rFonts w:hint="eastAsia"/>
        </w:rPr>
        <w:t>9</w:t>
      </w:r>
      <w:r>
        <w:t xml:space="preserve">.1 </w:t>
      </w:r>
      <w:r>
        <w:rPr>
          <w:rFonts w:hint="eastAsia"/>
        </w:rPr>
        <w:t>选取原则</w:t>
      </w:r>
      <w:bookmarkEnd w:id="234"/>
      <w:bookmarkEnd w:id="235"/>
      <w:bookmarkEnd w:id="236"/>
      <w:bookmarkEnd w:id="237"/>
      <w:bookmarkEnd w:id="238"/>
      <w:bookmarkEnd w:id="239"/>
      <w:bookmarkEnd w:id="240"/>
      <w:bookmarkEnd w:id="241"/>
    </w:p>
    <w:p w14:paraId="4EAF998C">
      <w:pPr>
        <w:pStyle w:val="54"/>
      </w:pPr>
      <w:bookmarkStart w:id="242" w:name="_Toc338490549"/>
      <w:r>
        <w:rPr>
          <w:rFonts w:hint="eastAsia"/>
        </w:rPr>
        <w:t>9</w:t>
      </w:r>
      <w:r>
        <w:t xml:space="preserve">.1.1  </w:t>
      </w:r>
      <w:r>
        <w:rPr>
          <w:rFonts w:hint="eastAsia"/>
        </w:rPr>
        <w:t>按照科学、高效的原则选取稀土矿山生态环境监测方法，并伴随着科技进步和对矿山生态环境认识水平的提高，不断优化监测方法和手段。</w:t>
      </w:r>
      <w:bookmarkEnd w:id="242"/>
    </w:p>
    <w:p w14:paraId="41A26DD2">
      <w:pPr>
        <w:pStyle w:val="54"/>
      </w:pPr>
      <w:bookmarkStart w:id="243" w:name="_Toc338490550"/>
      <w:r>
        <w:rPr>
          <w:rFonts w:hint="eastAsia"/>
        </w:rPr>
        <w:t>9</w:t>
      </w:r>
      <w:r>
        <w:t xml:space="preserve">.1.2  </w:t>
      </w:r>
      <w:r>
        <w:rPr>
          <w:rFonts w:hint="eastAsia"/>
        </w:rPr>
        <w:t>根据稀土矿区生态环境监测指标的动态特征，有针对性地选取监测方法和监测仪器及数据源。应保证监测精度和监测时效性。</w:t>
      </w:r>
      <w:bookmarkEnd w:id="243"/>
    </w:p>
    <w:p w14:paraId="0F5BE297">
      <w:pPr>
        <w:pStyle w:val="41"/>
      </w:pPr>
      <w:bookmarkStart w:id="244" w:name="_Toc338490551"/>
      <w:bookmarkStart w:id="245" w:name="_Toc338490648"/>
      <w:bookmarkStart w:id="246" w:name="_Toc399488866"/>
      <w:bookmarkStart w:id="247" w:name="_Toc405556288"/>
      <w:bookmarkStart w:id="248" w:name="_Toc405558500"/>
      <w:bookmarkStart w:id="249" w:name="_Toc225205381"/>
      <w:bookmarkStart w:id="250" w:name="_Toc359596153"/>
      <w:bookmarkStart w:id="251" w:name="_Toc353367029"/>
      <w:r>
        <w:rPr>
          <w:rFonts w:hint="eastAsia"/>
        </w:rPr>
        <w:t>9.2 方法与仪器</w:t>
      </w:r>
      <w:bookmarkEnd w:id="244"/>
      <w:bookmarkEnd w:id="245"/>
      <w:bookmarkEnd w:id="246"/>
      <w:bookmarkEnd w:id="247"/>
      <w:bookmarkEnd w:id="248"/>
      <w:bookmarkEnd w:id="249"/>
      <w:bookmarkEnd w:id="250"/>
      <w:bookmarkEnd w:id="251"/>
    </w:p>
    <w:p w14:paraId="0F93DF02">
      <w:pPr>
        <w:pStyle w:val="57"/>
        <w:numPr>
          <w:ilvl w:val="0"/>
          <w:numId w:val="0"/>
        </w:numPr>
      </w:pPr>
      <w:bookmarkStart w:id="252" w:name="_Toc338490552"/>
      <w:r>
        <w:rPr>
          <w:rFonts w:hint="eastAsia"/>
        </w:rPr>
        <w:t>9</w:t>
      </w:r>
      <w:r>
        <w:t xml:space="preserve">.2.1  </w:t>
      </w:r>
      <w:bookmarkStart w:id="253" w:name="_Hlk225202664"/>
      <w:r>
        <w:rPr>
          <w:rFonts w:hint="eastAsia"/>
        </w:rPr>
        <w:t>稀土矿山生态环境监测依据监测指标特点，采用多种方法协同开展。地下水位（水温）监测结合手动法与自动法，分别适用于人工监测与实时记录。水质与底泥监测采用现场测试与采样送检相结合的方式，兼顾快速筛查与精确分析。土壤理化性质、矿物质全量及稀土元素含量等指标以采样送检法为主，确保数据准确性。植被损毁面积、复绿面积及盖度等指标可选用遥感影像或无人机航测获取，亦或综合运用两种方法实现互补。地形地貌损毁（地表形变）、土地复垦及岩土体等相关指标监测可在多种方法中选择其一或集成多种方法实现量化监测。</w:t>
      </w:r>
    </w:p>
    <w:p w14:paraId="53107167">
      <w:pPr>
        <w:pStyle w:val="57"/>
        <w:numPr>
          <w:ilvl w:val="0"/>
          <w:numId w:val="0"/>
        </w:numPr>
      </w:pPr>
      <w:r>
        <w:rPr>
          <w:rFonts w:hint="eastAsia"/>
        </w:rPr>
        <w:t>9.2.2 监测仪器的选取以监测方法为依据，兼顾精度要求与现场适用性。需要取样送实验室检测的注意取样和送样材料及流程的规范化。具体监测仪器选配注重数据可靠性，应满足复杂矿山环境下的监测需求。稀土矿山环境监测方法</w:t>
      </w:r>
      <w:bookmarkEnd w:id="252"/>
      <w:bookmarkStart w:id="254" w:name="_Toc338490553"/>
      <w:r>
        <w:rPr>
          <w:rFonts w:hint="eastAsia"/>
        </w:rPr>
        <w:t>和选用的监测仪器见表1。本表供参照使用，监测工作中如有其他更适合的方法和仪器则根据具体情况选配使用。</w:t>
      </w:r>
      <w:bookmarkEnd w:id="254"/>
    </w:p>
    <w:p w14:paraId="38DB5F40">
      <w:pPr>
        <w:pStyle w:val="82"/>
      </w:pPr>
      <w:bookmarkStart w:id="255" w:name="OLE_LINK1"/>
      <w:r>
        <w:rPr>
          <w:rFonts w:hint="eastAsia"/>
        </w:rPr>
        <w:t>表1  稀土矿山生态环境监测方法及其仪器</w:t>
      </w:r>
      <w:bookmarkEnd w:id="255"/>
      <w:r>
        <w:rPr>
          <w:rFonts w:hint="eastAsia"/>
        </w:rPr>
        <w:t>一览表</w:t>
      </w:r>
    </w:p>
    <w:tbl>
      <w:tblPr>
        <w:tblStyle w:val="15"/>
        <w:tblW w:w="731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975"/>
        <w:gridCol w:w="1984"/>
        <w:gridCol w:w="3354"/>
      </w:tblGrid>
      <w:tr w14:paraId="7FBF3CD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1975" w:type="dxa"/>
            <w:tcBorders>
              <w:top w:val="single" w:color="auto" w:sz="8" w:space="0"/>
              <w:bottom w:val="single" w:color="auto" w:sz="8" w:space="0"/>
            </w:tcBorders>
            <w:vAlign w:val="center"/>
          </w:tcPr>
          <w:p w14:paraId="52E1E421">
            <w:pPr>
              <w:autoSpaceDE w:val="0"/>
              <w:autoSpaceDN w:val="0"/>
              <w:adjustRightInd w:val="0"/>
              <w:snapToGrid w:val="0"/>
              <w:jc w:val="center"/>
              <w:rPr>
                <w:rFonts w:hint="eastAsia" w:ascii="宋体" w:hAnsi="宋体" w:eastAsia="宋体"/>
                <w:b/>
                <w:sz w:val="18"/>
                <w:szCs w:val="18"/>
              </w:rPr>
            </w:pPr>
            <w:r>
              <w:rPr>
                <w:rFonts w:hint="eastAsia" w:ascii="宋体" w:hAnsi="宋体" w:eastAsia="宋体"/>
                <w:b/>
                <w:sz w:val="18"/>
                <w:szCs w:val="18"/>
              </w:rPr>
              <w:t>监测指标</w:t>
            </w:r>
          </w:p>
        </w:tc>
        <w:tc>
          <w:tcPr>
            <w:tcW w:w="1984" w:type="dxa"/>
            <w:tcBorders>
              <w:top w:val="single" w:color="auto" w:sz="8" w:space="0"/>
              <w:bottom w:val="single" w:color="auto" w:sz="8" w:space="0"/>
            </w:tcBorders>
            <w:vAlign w:val="center"/>
          </w:tcPr>
          <w:p w14:paraId="3EF9A393">
            <w:pPr>
              <w:autoSpaceDE w:val="0"/>
              <w:autoSpaceDN w:val="0"/>
              <w:adjustRightInd w:val="0"/>
              <w:snapToGrid w:val="0"/>
              <w:jc w:val="center"/>
              <w:rPr>
                <w:rFonts w:hint="eastAsia" w:ascii="宋体" w:hAnsi="宋体" w:eastAsia="宋体"/>
                <w:b/>
                <w:sz w:val="18"/>
                <w:szCs w:val="18"/>
              </w:rPr>
            </w:pPr>
            <w:r>
              <w:rPr>
                <w:rFonts w:hint="eastAsia" w:ascii="宋体" w:hAnsi="宋体" w:eastAsia="宋体"/>
                <w:b/>
                <w:sz w:val="18"/>
                <w:szCs w:val="18"/>
              </w:rPr>
              <w:t>监测方法</w:t>
            </w:r>
          </w:p>
        </w:tc>
        <w:tc>
          <w:tcPr>
            <w:tcW w:w="3354" w:type="dxa"/>
            <w:tcBorders>
              <w:top w:val="single" w:color="auto" w:sz="8" w:space="0"/>
              <w:bottom w:val="single" w:color="auto" w:sz="8" w:space="0"/>
            </w:tcBorders>
            <w:vAlign w:val="center"/>
          </w:tcPr>
          <w:p w14:paraId="0A05133A">
            <w:pPr>
              <w:autoSpaceDE w:val="0"/>
              <w:autoSpaceDN w:val="0"/>
              <w:adjustRightInd w:val="0"/>
              <w:snapToGrid w:val="0"/>
              <w:jc w:val="center"/>
              <w:rPr>
                <w:rFonts w:hint="eastAsia" w:ascii="宋体" w:hAnsi="宋体" w:eastAsia="宋体"/>
                <w:b/>
                <w:sz w:val="18"/>
                <w:szCs w:val="18"/>
              </w:rPr>
            </w:pPr>
            <w:r>
              <w:rPr>
                <w:rFonts w:hint="eastAsia" w:ascii="宋体" w:hAnsi="宋体" w:eastAsia="宋体"/>
                <w:b/>
                <w:sz w:val="18"/>
                <w:szCs w:val="18"/>
              </w:rPr>
              <w:t>监测仪器及数据类型</w:t>
            </w:r>
          </w:p>
        </w:tc>
      </w:tr>
      <w:tr w14:paraId="3CFCAD1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975" w:type="dxa"/>
            <w:vMerge w:val="restart"/>
            <w:tcBorders>
              <w:top w:val="single" w:color="auto" w:sz="8" w:space="0"/>
              <w:bottom w:val="single" w:color="auto" w:sz="4" w:space="0"/>
            </w:tcBorders>
            <w:vAlign w:val="center"/>
          </w:tcPr>
          <w:p w14:paraId="0036F62E">
            <w:pPr>
              <w:autoSpaceDE w:val="0"/>
              <w:autoSpaceDN w:val="0"/>
              <w:adjustRightInd w:val="0"/>
              <w:snapToGrid w:val="0"/>
              <w:jc w:val="center"/>
              <w:rPr>
                <w:rFonts w:hint="eastAsia" w:ascii="宋体" w:hAnsi="宋体" w:eastAsia="宋体"/>
                <w:sz w:val="18"/>
                <w:szCs w:val="18"/>
              </w:rPr>
            </w:pPr>
            <w:r>
              <w:rPr>
                <w:rFonts w:hint="eastAsia" w:ascii="宋体" w:hAnsi="宋体" w:eastAsia="宋体"/>
                <w:sz w:val="18"/>
                <w:szCs w:val="18"/>
              </w:rPr>
              <w:t>地下水位（水温）</w:t>
            </w:r>
          </w:p>
        </w:tc>
        <w:tc>
          <w:tcPr>
            <w:tcW w:w="1984" w:type="dxa"/>
            <w:tcBorders>
              <w:top w:val="single" w:color="auto" w:sz="8" w:space="0"/>
              <w:bottom w:val="single" w:color="auto" w:sz="4" w:space="0"/>
            </w:tcBorders>
            <w:vAlign w:val="center"/>
          </w:tcPr>
          <w:p w14:paraId="578EE9BF">
            <w:pPr>
              <w:autoSpaceDE w:val="0"/>
              <w:autoSpaceDN w:val="0"/>
              <w:adjustRightInd w:val="0"/>
              <w:snapToGrid w:val="0"/>
              <w:jc w:val="center"/>
              <w:rPr>
                <w:rFonts w:hint="eastAsia" w:ascii="宋体" w:hAnsi="宋体" w:eastAsia="宋体"/>
                <w:sz w:val="18"/>
                <w:szCs w:val="18"/>
              </w:rPr>
            </w:pPr>
            <w:r>
              <w:rPr>
                <w:rFonts w:hint="eastAsia" w:ascii="宋体" w:hAnsi="宋体" w:eastAsia="宋体"/>
                <w:sz w:val="18"/>
                <w:szCs w:val="18"/>
              </w:rPr>
              <w:t>手动监测法</w:t>
            </w:r>
          </w:p>
        </w:tc>
        <w:tc>
          <w:tcPr>
            <w:tcW w:w="3354" w:type="dxa"/>
            <w:tcBorders>
              <w:top w:val="single" w:color="auto" w:sz="8" w:space="0"/>
              <w:bottom w:val="single" w:color="auto" w:sz="4" w:space="0"/>
            </w:tcBorders>
            <w:vAlign w:val="center"/>
          </w:tcPr>
          <w:p w14:paraId="20AA3695">
            <w:pPr>
              <w:autoSpaceDE w:val="0"/>
              <w:autoSpaceDN w:val="0"/>
              <w:adjustRightInd w:val="0"/>
              <w:snapToGrid w:val="0"/>
              <w:jc w:val="center"/>
              <w:rPr>
                <w:rFonts w:hint="eastAsia" w:ascii="宋体" w:hAnsi="宋体" w:eastAsia="宋体"/>
                <w:sz w:val="18"/>
                <w:szCs w:val="18"/>
              </w:rPr>
            </w:pPr>
            <w:r>
              <w:rPr>
                <w:rFonts w:hint="eastAsia" w:ascii="宋体" w:hAnsi="宋体" w:eastAsia="宋体"/>
                <w:sz w:val="18"/>
                <w:szCs w:val="18"/>
              </w:rPr>
              <w:t>测绳、测钟、万用表、温度计</w:t>
            </w:r>
          </w:p>
        </w:tc>
      </w:tr>
      <w:tr w14:paraId="30ED002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975" w:type="dxa"/>
            <w:vMerge w:val="continue"/>
            <w:tcBorders>
              <w:top w:val="single" w:color="auto" w:sz="4" w:space="0"/>
              <w:bottom w:val="single" w:color="auto" w:sz="8" w:space="0"/>
            </w:tcBorders>
            <w:vAlign w:val="center"/>
          </w:tcPr>
          <w:p w14:paraId="4489700C">
            <w:pPr>
              <w:autoSpaceDE w:val="0"/>
              <w:autoSpaceDN w:val="0"/>
              <w:adjustRightInd w:val="0"/>
              <w:snapToGrid w:val="0"/>
              <w:jc w:val="center"/>
              <w:rPr>
                <w:rFonts w:hint="eastAsia" w:ascii="宋体" w:hAnsi="宋体" w:eastAsia="宋体"/>
                <w:sz w:val="18"/>
                <w:szCs w:val="18"/>
              </w:rPr>
            </w:pPr>
          </w:p>
        </w:tc>
        <w:tc>
          <w:tcPr>
            <w:tcW w:w="1984" w:type="dxa"/>
            <w:tcBorders>
              <w:top w:val="single" w:color="auto" w:sz="4" w:space="0"/>
              <w:bottom w:val="single" w:color="auto" w:sz="8" w:space="0"/>
            </w:tcBorders>
            <w:vAlign w:val="center"/>
          </w:tcPr>
          <w:p w14:paraId="679C5FA3">
            <w:pPr>
              <w:autoSpaceDE w:val="0"/>
              <w:autoSpaceDN w:val="0"/>
              <w:adjustRightInd w:val="0"/>
              <w:snapToGrid w:val="0"/>
              <w:jc w:val="center"/>
              <w:rPr>
                <w:rFonts w:hint="eastAsia" w:ascii="宋体" w:hAnsi="宋体" w:eastAsia="宋体"/>
                <w:sz w:val="18"/>
                <w:szCs w:val="18"/>
              </w:rPr>
            </w:pPr>
            <w:r>
              <w:rPr>
                <w:rFonts w:hint="eastAsia" w:ascii="宋体" w:hAnsi="宋体" w:eastAsia="宋体"/>
                <w:sz w:val="18"/>
                <w:szCs w:val="18"/>
              </w:rPr>
              <w:t>自动监测法</w:t>
            </w:r>
          </w:p>
        </w:tc>
        <w:tc>
          <w:tcPr>
            <w:tcW w:w="3354" w:type="dxa"/>
            <w:tcBorders>
              <w:top w:val="single" w:color="auto" w:sz="4" w:space="0"/>
              <w:bottom w:val="single" w:color="auto" w:sz="8" w:space="0"/>
            </w:tcBorders>
            <w:vAlign w:val="center"/>
          </w:tcPr>
          <w:p w14:paraId="750DE3E7">
            <w:pPr>
              <w:autoSpaceDE w:val="0"/>
              <w:autoSpaceDN w:val="0"/>
              <w:adjustRightInd w:val="0"/>
              <w:snapToGrid w:val="0"/>
              <w:jc w:val="center"/>
              <w:rPr>
                <w:rFonts w:hint="eastAsia" w:ascii="宋体" w:hAnsi="宋体" w:eastAsia="宋体"/>
                <w:sz w:val="18"/>
                <w:szCs w:val="18"/>
              </w:rPr>
            </w:pPr>
            <w:r>
              <w:rPr>
                <w:rFonts w:hint="eastAsia" w:ascii="宋体" w:hAnsi="宋体" w:eastAsia="宋体"/>
                <w:sz w:val="18"/>
                <w:szCs w:val="18"/>
              </w:rPr>
              <w:t>自动监测设备及自动传输仪</w:t>
            </w:r>
          </w:p>
        </w:tc>
      </w:tr>
      <w:tr w14:paraId="5422C6E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975" w:type="dxa"/>
            <w:vMerge w:val="restart"/>
            <w:tcBorders>
              <w:top w:val="single" w:color="auto" w:sz="8" w:space="0"/>
              <w:bottom w:val="single" w:color="auto" w:sz="4" w:space="0"/>
            </w:tcBorders>
            <w:vAlign w:val="center"/>
          </w:tcPr>
          <w:p w14:paraId="07D80972">
            <w:pPr>
              <w:autoSpaceDE w:val="0"/>
              <w:autoSpaceDN w:val="0"/>
              <w:adjustRightInd w:val="0"/>
              <w:snapToGrid w:val="0"/>
              <w:jc w:val="center"/>
              <w:rPr>
                <w:rFonts w:hint="eastAsia" w:ascii="宋体" w:hAnsi="宋体" w:eastAsia="宋体"/>
                <w:sz w:val="18"/>
                <w:szCs w:val="18"/>
              </w:rPr>
            </w:pPr>
            <w:r>
              <w:rPr>
                <w:rFonts w:hint="eastAsia" w:ascii="宋体" w:hAnsi="宋体" w:eastAsia="宋体"/>
                <w:sz w:val="18"/>
                <w:szCs w:val="18"/>
              </w:rPr>
              <w:t>地下水水质</w:t>
            </w:r>
          </w:p>
          <w:p w14:paraId="48F599E5">
            <w:pPr>
              <w:autoSpaceDE w:val="0"/>
              <w:autoSpaceDN w:val="0"/>
              <w:adjustRightInd w:val="0"/>
              <w:snapToGrid w:val="0"/>
              <w:jc w:val="center"/>
              <w:rPr>
                <w:rFonts w:hint="eastAsia" w:ascii="宋体" w:hAnsi="宋体" w:eastAsia="宋体"/>
                <w:sz w:val="18"/>
                <w:szCs w:val="18"/>
              </w:rPr>
            </w:pPr>
            <w:r>
              <w:rPr>
                <w:rFonts w:hint="eastAsia" w:ascii="宋体" w:hAnsi="宋体" w:eastAsia="宋体"/>
                <w:sz w:val="18"/>
                <w:szCs w:val="18"/>
              </w:rPr>
              <w:t>地表水水质</w:t>
            </w:r>
          </w:p>
          <w:p w14:paraId="0F2B3C39">
            <w:pPr>
              <w:autoSpaceDE w:val="0"/>
              <w:autoSpaceDN w:val="0"/>
              <w:adjustRightInd w:val="0"/>
              <w:snapToGrid w:val="0"/>
              <w:jc w:val="center"/>
              <w:rPr>
                <w:rFonts w:hint="eastAsia" w:ascii="宋体" w:hAnsi="宋体" w:eastAsia="宋体"/>
                <w:sz w:val="18"/>
                <w:szCs w:val="18"/>
              </w:rPr>
            </w:pPr>
            <w:r>
              <w:rPr>
                <w:rFonts w:hint="eastAsia" w:ascii="宋体" w:hAnsi="宋体" w:eastAsia="宋体"/>
                <w:sz w:val="18"/>
                <w:szCs w:val="18"/>
              </w:rPr>
              <w:t>底泥污染组分</w:t>
            </w:r>
          </w:p>
        </w:tc>
        <w:tc>
          <w:tcPr>
            <w:tcW w:w="1984" w:type="dxa"/>
            <w:tcBorders>
              <w:top w:val="single" w:color="auto" w:sz="8" w:space="0"/>
              <w:bottom w:val="single" w:color="auto" w:sz="4" w:space="0"/>
            </w:tcBorders>
            <w:vAlign w:val="center"/>
          </w:tcPr>
          <w:p w14:paraId="08B213B4">
            <w:pPr>
              <w:autoSpaceDE w:val="0"/>
              <w:autoSpaceDN w:val="0"/>
              <w:adjustRightInd w:val="0"/>
              <w:snapToGrid w:val="0"/>
              <w:jc w:val="center"/>
              <w:rPr>
                <w:rFonts w:hint="eastAsia" w:ascii="宋体" w:hAnsi="宋体" w:eastAsia="宋体"/>
                <w:sz w:val="18"/>
                <w:szCs w:val="18"/>
              </w:rPr>
            </w:pPr>
            <w:r>
              <w:rPr>
                <w:rFonts w:hint="eastAsia" w:ascii="宋体" w:hAnsi="宋体" w:eastAsia="宋体"/>
                <w:sz w:val="18"/>
                <w:szCs w:val="18"/>
              </w:rPr>
              <w:t>现场测试法</w:t>
            </w:r>
          </w:p>
        </w:tc>
        <w:tc>
          <w:tcPr>
            <w:tcW w:w="3354" w:type="dxa"/>
            <w:tcBorders>
              <w:top w:val="single" w:color="auto" w:sz="8" w:space="0"/>
              <w:bottom w:val="single" w:color="auto" w:sz="4" w:space="0"/>
            </w:tcBorders>
            <w:vAlign w:val="center"/>
          </w:tcPr>
          <w:p w14:paraId="32AA8E53">
            <w:pPr>
              <w:autoSpaceDE w:val="0"/>
              <w:autoSpaceDN w:val="0"/>
              <w:adjustRightInd w:val="0"/>
              <w:snapToGrid w:val="0"/>
              <w:jc w:val="center"/>
              <w:rPr>
                <w:rFonts w:hint="eastAsia" w:ascii="宋体" w:hAnsi="宋体" w:eastAsia="宋体"/>
                <w:sz w:val="18"/>
                <w:szCs w:val="18"/>
              </w:rPr>
            </w:pPr>
            <w:r>
              <w:rPr>
                <w:rFonts w:hint="eastAsia" w:ascii="宋体" w:hAnsi="宋体" w:eastAsia="宋体"/>
                <w:sz w:val="18"/>
                <w:szCs w:val="18"/>
              </w:rPr>
              <w:t>便携式水质测定仪</w:t>
            </w:r>
          </w:p>
        </w:tc>
      </w:tr>
      <w:tr w14:paraId="7B328A8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975" w:type="dxa"/>
            <w:vMerge w:val="continue"/>
            <w:tcBorders>
              <w:top w:val="single" w:color="auto" w:sz="4" w:space="0"/>
              <w:bottom w:val="single" w:color="auto" w:sz="8" w:space="0"/>
            </w:tcBorders>
            <w:vAlign w:val="center"/>
          </w:tcPr>
          <w:p w14:paraId="5534F045">
            <w:pPr>
              <w:autoSpaceDE w:val="0"/>
              <w:autoSpaceDN w:val="0"/>
              <w:adjustRightInd w:val="0"/>
              <w:snapToGrid w:val="0"/>
              <w:jc w:val="center"/>
              <w:rPr>
                <w:rFonts w:hint="eastAsia" w:ascii="宋体" w:hAnsi="宋体" w:eastAsia="宋体"/>
                <w:sz w:val="18"/>
                <w:szCs w:val="18"/>
              </w:rPr>
            </w:pPr>
          </w:p>
        </w:tc>
        <w:tc>
          <w:tcPr>
            <w:tcW w:w="1984" w:type="dxa"/>
            <w:tcBorders>
              <w:top w:val="single" w:color="auto" w:sz="4" w:space="0"/>
              <w:bottom w:val="single" w:color="auto" w:sz="8" w:space="0"/>
            </w:tcBorders>
            <w:vAlign w:val="center"/>
          </w:tcPr>
          <w:p w14:paraId="6AF25FEE">
            <w:pPr>
              <w:autoSpaceDE w:val="0"/>
              <w:autoSpaceDN w:val="0"/>
              <w:adjustRightInd w:val="0"/>
              <w:snapToGrid w:val="0"/>
              <w:jc w:val="center"/>
              <w:rPr>
                <w:rFonts w:hint="eastAsia" w:ascii="宋体" w:hAnsi="宋体" w:eastAsia="宋体"/>
                <w:sz w:val="18"/>
                <w:szCs w:val="18"/>
              </w:rPr>
            </w:pPr>
            <w:r>
              <w:rPr>
                <w:rFonts w:hint="eastAsia" w:ascii="宋体" w:hAnsi="宋体" w:eastAsia="宋体"/>
                <w:sz w:val="18"/>
                <w:szCs w:val="18"/>
              </w:rPr>
              <w:t>采样送检测试法</w:t>
            </w:r>
          </w:p>
        </w:tc>
        <w:tc>
          <w:tcPr>
            <w:tcW w:w="3354" w:type="dxa"/>
            <w:tcBorders>
              <w:top w:val="single" w:color="auto" w:sz="4" w:space="0"/>
              <w:bottom w:val="single" w:color="auto" w:sz="8" w:space="0"/>
            </w:tcBorders>
            <w:vAlign w:val="center"/>
          </w:tcPr>
          <w:p w14:paraId="6F5717A2">
            <w:pPr>
              <w:autoSpaceDE w:val="0"/>
              <w:autoSpaceDN w:val="0"/>
              <w:adjustRightInd w:val="0"/>
              <w:snapToGrid w:val="0"/>
              <w:jc w:val="center"/>
              <w:rPr>
                <w:rFonts w:hint="eastAsia" w:ascii="宋体" w:hAnsi="宋体" w:eastAsia="宋体"/>
                <w:sz w:val="18"/>
                <w:szCs w:val="18"/>
              </w:rPr>
            </w:pPr>
            <w:r>
              <w:rPr>
                <w:rFonts w:hint="eastAsia" w:ascii="宋体" w:hAnsi="宋体" w:eastAsia="宋体"/>
                <w:sz w:val="18"/>
                <w:szCs w:val="18"/>
              </w:rPr>
              <w:t>采样器、添加药品、水样容器</w:t>
            </w:r>
          </w:p>
        </w:tc>
      </w:tr>
      <w:tr w14:paraId="35627CB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1975" w:type="dxa"/>
            <w:vMerge w:val="restart"/>
            <w:tcBorders>
              <w:top w:val="single" w:color="auto" w:sz="8" w:space="0"/>
            </w:tcBorders>
            <w:vAlign w:val="center"/>
          </w:tcPr>
          <w:p w14:paraId="6CF8A029">
            <w:pPr>
              <w:autoSpaceDE w:val="0"/>
              <w:autoSpaceDN w:val="0"/>
              <w:adjustRightInd w:val="0"/>
              <w:snapToGrid w:val="0"/>
              <w:jc w:val="center"/>
              <w:rPr>
                <w:rFonts w:hint="eastAsia" w:ascii="宋体" w:hAnsi="宋体" w:eastAsia="宋体"/>
                <w:sz w:val="18"/>
                <w:szCs w:val="18"/>
              </w:rPr>
            </w:pPr>
            <w:r>
              <w:rPr>
                <w:rFonts w:hint="eastAsia" w:ascii="宋体" w:hAnsi="宋体" w:eastAsia="宋体"/>
                <w:sz w:val="18"/>
                <w:szCs w:val="18"/>
              </w:rPr>
              <w:t>土壤理化性质</w:t>
            </w:r>
          </w:p>
          <w:p w14:paraId="5529CDA8">
            <w:pPr>
              <w:autoSpaceDE w:val="0"/>
              <w:autoSpaceDN w:val="0"/>
              <w:adjustRightInd w:val="0"/>
              <w:snapToGrid w:val="0"/>
              <w:jc w:val="center"/>
              <w:rPr>
                <w:rFonts w:hint="eastAsia" w:ascii="宋体" w:hAnsi="宋体" w:eastAsia="宋体"/>
                <w:sz w:val="18"/>
                <w:szCs w:val="18"/>
              </w:rPr>
            </w:pPr>
            <w:r>
              <w:rPr>
                <w:rFonts w:hint="eastAsia" w:ascii="宋体" w:hAnsi="宋体" w:eastAsia="宋体"/>
                <w:sz w:val="18"/>
                <w:szCs w:val="18"/>
              </w:rPr>
              <w:t>矿物质全量</w:t>
            </w:r>
          </w:p>
          <w:p w14:paraId="4C54E56E">
            <w:pPr>
              <w:autoSpaceDE w:val="0"/>
              <w:autoSpaceDN w:val="0"/>
              <w:adjustRightInd w:val="0"/>
              <w:snapToGrid w:val="0"/>
              <w:jc w:val="center"/>
              <w:rPr>
                <w:rFonts w:hint="eastAsia" w:ascii="宋体" w:hAnsi="宋体" w:eastAsia="宋体"/>
                <w:sz w:val="18"/>
                <w:szCs w:val="18"/>
              </w:rPr>
            </w:pPr>
            <w:r>
              <w:rPr>
                <w:rFonts w:hint="eastAsia" w:ascii="宋体" w:hAnsi="宋体" w:eastAsia="宋体"/>
                <w:sz w:val="18"/>
                <w:szCs w:val="18"/>
              </w:rPr>
              <w:t>微量元素</w:t>
            </w:r>
          </w:p>
          <w:p w14:paraId="3EA9AB6D">
            <w:pPr>
              <w:autoSpaceDE w:val="0"/>
              <w:autoSpaceDN w:val="0"/>
              <w:adjustRightInd w:val="0"/>
              <w:snapToGrid w:val="0"/>
              <w:jc w:val="center"/>
              <w:rPr>
                <w:rFonts w:hint="eastAsia" w:ascii="宋体" w:hAnsi="宋体" w:eastAsia="宋体"/>
                <w:sz w:val="18"/>
                <w:szCs w:val="18"/>
              </w:rPr>
            </w:pPr>
            <w:r>
              <w:rPr>
                <w:rFonts w:hint="eastAsia" w:ascii="宋体" w:hAnsi="宋体" w:eastAsia="宋体"/>
                <w:sz w:val="18"/>
                <w:szCs w:val="18"/>
              </w:rPr>
              <w:t>稀土元素含量</w:t>
            </w:r>
          </w:p>
        </w:tc>
        <w:tc>
          <w:tcPr>
            <w:tcW w:w="1984" w:type="dxa"/>
            <w:tcBorders>
              <w:top w:val="single" w:color="auto" w:sz="8" w:space="0"/>
              <w:bottom w:val="single" w:color="auto" w:sz="4" w:space="0"/>
            </w:tcBorders>
            <w:vAlign w:val="center"/>
          </w:tcPr>
          <w:p w14:paraId="0E224A65">
            <w:pPr>
              <w:autoSpaceDE w:val="0"/>
              <w:autoSpaceDN w:val="0"/>
              <w:adjustRightInd w:val="0"/>
              <w:snapToGrid w:val="0"/>
              <w:jc w:val="center"/>
              <w:rPr>
                <w:rFonts w:hint="eastAsia" w:ascii="宋体" w:hAnsi="宋体" w:eastAsia="宋体"/>
                <w:sz w:val="18"/>
                <w:szCs w:val="18"/>
              </w:rPr>
            </w:pPr>
            <w:r>
              <w:rPr>
                <w:rFonts w:hint="eastAsia" w:ascii="宋体" w:hAnsi="宋体" w:eastAsia="宋体"/>
                <w:sz w:val="18"/>
                <w:szCs w:val="18"/>
              </w:rPr>
              <w:t>采样送检测试法</w:t>
            </w:r>
          </w:p>
        </w:tc>
        <w:tc>
          <w:tcPr>
            <w:tcW w:w="3354" w:type="dxa"/>
            <w:tcBorders>
              <w:top w:val="single" w:color="auto" w:sz="8" w:space="0"/>
              <w:bottom w:val="single" w:color="auto" w:sz="4" w:space="0"/>
            </w:tcBorders>
            <w:vAlign w:val="center"/>
          </w:tcPr>
          <w:p w14:paraId="548CB758">
            <w:pPr>
              <w:autoSpaceDE w:val="0"/>
              <w:autoSpaceDN w:val="0"/>
              <w:adjustRightInd w:val="0"/>
              <w:snapToGrid w:val="0"/>
              <w:jc w:val="center"/>
              <w:rPr>
                <w:rFonts w:hint="eastAsia" w:ascii="宋体" w:hAnsi="宋体" w:eastAsia="宋体"/>
                <w:sz w:val="18"/>
                <w:szCs w:val="18"/>
              </w:rPr>
            </w:pPr>
            <w:r>
              <w:rPr>
                <w:rFonts w:hint="eastAsia" w:ascii="宋体" w:hAnsi="宋体" w:eastAsia="宋体"/>
                <w:sz w:val="18"/>
                <w:szCs w:val="18"/>
              </w:rPr>
              <w:t>采样器、样品袋</w:t>
            </w:r>
          </w:p>
        </w:tc>
      </w:tr>
      <w:tr w14:paraId="76B728D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1975" w:type="dxa"/>
            <w:vMerge w:val="continue"/>
            <w:tcBorders>
              <w:bottom w:val="single" w:color="auto" w:sz="8" w:space="0"/>
            </w:tcBorders>
            <w:vAlign w:val="center"/>
          </w:tcPr>
          <w:p w14:paraId="1E5758D7">
            <w:pPr>
              <w:autoSpaceDE w:val="0"/>
              <w:autoSpaceDN w:val="0"/>
              <w:adjustRightInd w:val="0"/>
              <w:snapToGrid w:val="0"/>
              <w:jc w:val="center"/>
              <w:rPr>
                <w:rFonts w:hint="eastAsia" w:ascii="宋体" w:hAnsi="宋体" w:eastAsia="宋体"/>
                <w:sz w:val="18"/>
                <w:szCs w:val="18"/>
              </w:rPr>
            </w:pPr>
          </w:p>
        </w:tc>
        <w:tc>
          <w:tcPr>
            <w:tcW w:w="1984" w:type="dxa"/>
            <w:tcBorders>
              <w:top w:val="single" w:color="auto" w:sz="4" w:space="0"/>
              <w:bottom w:val="single" w:color="auto" w:sz="8" w:space="0"/>
            </w:tcBorders>
            <w:vAlign w:val="center"/>
          </w:tcPr>
          <w:p w14:paraId="17F7FA36">
            <w:pPr>
              <w:autoSpaceDE w:val="0"/>
              <w:autoSpaceDN w:val="0"/>
              <w:adjustRightInd w:val="0"/>
              <w:snapToGrid w:val="0"/>
              <w:jc w:val="center"/>
              <w:rPr>
                <w:rFonts w:hint="eastAsia" w:ascii="宋体" w:hAnsi="宋体" w:eastAsia="宋体"/>
                <w:sz w:val="18"/>
                <w:szCs w:val="18"/>
              </w:rPr>
            </w:pPr>
            <w:r>
              <w:rPr>
                <w:rFonts w:hint="eastAsia" w:ascii="宋体" w:hAnsi="宋体" w:eastAsia="宋体"/>
                <w:sz w:val="18"/>
                <w:szCs w:val="18"/>
              </w:rPr>
              <w:t>现场测试法</w:t>
            </w:r>
          </w:p>
        </w:tc>
        <w:tc>
          <w:tcPr>
            <w:tcW w:w="3354" w:type="dxa"/>
            <w:tcBorders>
              <w:top w:val="single" w:color="auto" w:sz="4" w:space="0"/>
              <w:bottom w:val="single" w:color="auto" w:sz="8" w:space="0"/>
            </w:tcBorders>
            <w:vAlign w:val="center"/>
          </w:tcPr>
          <w:p w14:paraId="1F46B5BF">
            <w:pPr>
              <w:autoSpaceDE w:val="0"/>
              <w:autoSpaceDN w:val="0"/>
              <w:adjustRightInd w:val="0"/>
              <w:snapToGrid w:val="0"/>
              <w:jc w:val="center"/>
              <w:rPr>
                <w:rFonts w:hint="eastAsia" w:ascii="宋体" w:hAnsi="宋体" w:eastAsia="宋体"/>
                <w:sz w:val="18"/>
                <w:szCs w:val="18"/>
              </w:rPr>
            </w:pPr>
            <w:r>
              <w:rPr>
                <w:rFonts w:hint="eastAsia" w:ascii="宋体" w:hAnsi="宋体" w:eastAsia="宋体"/>
                <w:sz w:val="18"/>
                <w:szCs w:val="18"/>
              </w:rPr>
              <w:t>便携式测定仪</w:t>
            </w:r>
          </w:p>
        </w:tc>
      </w:tr>
      <w:tr w14:paraId="7364B42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1975" w:type="dxa"/>
            <w:vMerge w:val="restart"/>
            <w:tcBorders>
              <w:top w:val="single" w:color="auto" w:sz="8" w:space="0"/>
              <w:bottom w:val="single" w:color="auto" w:sz="4" w:space="0"/>
            </w:tcBorders>
            <w:vAlign w:val="center"/>
          </w:tcPr>
          <w:p w14:paraId="4FA07A18">
            <w:pPr>
              <w:autoSpaceDE w:val="0"/>
              <w:autoSpaceDN w:val="0"/>
              <w:adjustRightInd w:val="0"/>
              <w:snapToGrid w:val="0"/>
              <w:jc w:val="center"/>
              <w:rPr>
                <w:rFonts w:hint="eastAsia" w:ascii="宋体" w:hAnsi="宋体" w:eastAsia="宋体"/>
                <w:sz w:val="18"/>
                <w:szCs w:val="18"/>
              </w:rPr>
            </w:pPr>
            <w:r>
              <w:rPr>
                <w:rFonts w:hint="eastAsia" w:ascii="宋体" w:hAnsi="宋体" w:eastAsia="宋体"/>
                <w:sz w:val="18"/>
                <w:szCs w:val="18"/>
              </w:rPr>
              <w:t>植被损毁面积</w:t>
            </w:r>
          </w:p>
          <w:p w14:paraId="6BA6B2BE">
            <w:pPr>
              <w:autoSpaceDE w:val="0"/>
              <w:autoSpaceDN w:val="0"/>
              <w:adjustRightInd w:val="0"/>
              <w:snapToGrid w:val="0"/>
              <w:jc w:val="center"/>
              <w:rPr>
                <w:rFonts w:hint="eastAsia" w:ascii="宋体" w:hAnsi="宋体" w:eastAsia="宋体"/>
                <w:sz w:val="18"/>
                <w:szCs w:val="18"/>
              </w:rPr>
            </w:pPr>
            <w:r>
              <w:rPr>
                <w:rFonts w:hint="eastAsia" w:ascii="宋体" w:hAnsi="宋体" w:eastAsia="宋体"/>
                <w:sz w:val="18"/>
                <w:szCs w:val="18"/>
              </w:rPr>
              <w:t>复绿面积及植被盖度</w:t>
            </w:r>
          </w:p>
        </w:tc>
        <w:tc>
          <w:tcPr>
            <w:tcW w:w="1984" w:type="dxa"/>
            <w:tcBorders>
              <w:top w:val="single" w:color="auto" w:sz="8" w:space="0"/>
              <w:bottom w:val="single" w:color="auto" w:sz="4" w:space="0"/>
            </w:tcBorders>
            <w:vAlign w:val="center"/>
          </w:tcPr>
          <w:p w14:paraId="75241FED">
            <w:pPr>
              <w:autoSpaceDE w:val="0"/>
              <w:autoSpaceDN w:val="0"/>
              <w:adjustRightInd w:val="0"/>
              <w:snapToGrid w:val="0"/>
              <w:jc w:val="center"/>
              <w:rPr>
                <w:rFonts w:hint="eastAsia" w:ascii="宋体" w:hAnsi="宋体" w:eastAsia="宋体"/>
                <w:sz w:val="18"/>
                <w:szCs w:val="18"/>
              </w:rPr>
            </w:pPr>
            <w:r>
              <w:rPr>
                <w:rFonts w:hint="eastAsia" w:ascii="宋体" w:hAnsi="宋体" w:eastAsia="宋体"/>
                <w:sz w:val="18"/>
                <w:szCs w:val="18"/>
              </w:rPr>
              <w:t>GNSS定位法</w:t>
            </w:r>
          </w:p>
        </w:tc>
        <w:tc>
          <w:tcPr>
            <w:tcW w:w="3354" w:type="dxa"/>
            <w:tcBorders>
              <w:top w:val="single" w:color="auto" w:sz="8" w:space="0"/>
              <w:bottom w:val="single" w:color="auto" w:sz="4" w:space="0"/>
            </w:tcBorders>
            <w:vAlign w:val="center"/>
          </w:tcPr>
          <w:p w14:paraId="05E9BF83">
            <w:pPr>
              <w:autoSpaceDE w:val="0"/>
              <w:autoSpaceDN w:val="0"/>
              <w:adjustRightInd w:val="0"/>
              <w:snapToGrid w:val="0"/>
              <w:jc w:val="center"/>
              <w:rPr>
                <w:rFonts w:hint="eastAsia" w:ascii="宋体" w:hAnsi="宋体" w:eastAsia="宋体"/>
                <w:sz w:val="18"/>
                <w:szCs w:val="18"/>
              </w:rPr>
            </w:pPr>
            <w:r>
              <w:rPr>
                <w:rFonts w:hint="eastAsia" w:ascii="宋体" w:hAnsi="宋体" w:eastAsia="宋体"/>
                <w:sz w:val="18"/>
                <w:szCs w:val="18"/>
              </w:rPr>
              <w:t>GNSS定位系统</w:t>
            </w:r>
          </w:p>
        </w:tc>
      </w:tr>
      <w:tr w14:paraId="0221600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1975" w:type="dxa"/>
            <w:vMerge w:val="continue"/>
            <w:tcBorders>
              <w:top w:val="single" w:color="auto" w:sz="4" w:space="0"/>
              <w:bottom w:val="single" w:color="auto" w:sz="4" w:space="0"/>
            </w:tcBorders>
            <w:vAlign w:val="center"/>
          </w:tcPr>
          <w:p w14:paraId="7960BC92">
            <w:pPr>
              <w:autoSpaceDE w:val="0"/>
              <w:autoSpaceDN w:val="0"/>
              <w:adjustRightInd w:val="0"/>
              <w:snapToGrid w:val="0"/>
              <w:jc w:val="center"/>
              <w:rPr>
                <w:rFonts w:hint="eastAsia" w:ascii="宋体" w:hAnsi="宋体" w:eastAsia="宋体"/>
                <w:sz w:val="18"/>
                <w:szCs w:val="18"/>
              </w:rPr>
            </w:pPr>
          </w:p>
        </w:tc>
        <w:tc>
          <w:tcPr>
            <w:tcW w:w="1984" w:type="dxa"/>
            <w:tcBorders>
              <w:top w:val="single" w:color="auto" w:sz="4" w:space="0"/>
              <w:bottom w:val="single" w:color="auto" w:sz="4" w:space="0"/>
            </w:tcBorders>
            <w:vAlign w:val="center"/>
          </w:tcPr>
          <w:p w14:paraId="0F2F1D0F">
            <w:pPr>
              <w:autoSpaceDE w:val="0"/>
              <w:autoSpaceDN w:val="0"/>
              <w:adjustRightInd w:val="0"/>
              <w:snapToGrid w:val="0"/>
              <w:jc w:val="center"/>
              <w:rPr>
                <w:rFonts w:hint="eastAsia" w:ascii="宋体" w:hAnsi="宋体" w:eastAsia="宋体"/>
                <w:sz w:val="18"/>
                <w:szCs w:val="18"/>
              </w:rPr>
            </w:pPr>
            <w:r>
              <w:rPr>
                <w:rFonts w:hint="eastAsia" w:ascii="宋体" w:hAnsi="宋体" w:eastAsia="宋体"/>
                <w:sz w:val="18"/>
                <w:szCs w:val="18"/>
              </w:rPr>
              <w:t>遥感影像监测法</w:t>
            </w:r>
          </w:p>
        </w:tc>
        <w:tc>
          <w:tcPr>
            <w:tcW w:w="3354" w:type="dxa"/>
            <w:tcBorders>
              <w:top w:val="single" w:color="auto" w:sz="4" w:space="0"/>
              <w:bottom w:val="single" w:color="auto" w:sz="4" w:space="0"/>
            </w:tcBorders>
            <w:vAlign w:val="center"/>
          </w:tcPr>
          <w:p w14:paraId="1D7A9135">
            <w:pPr>
              <w:autoSpaceDE w:val="0"/>
              <w:autoSpaceDN w:val="0"/>
              <w:adjustRightInd w:val="0"/>
              <w:snapToGrid w:val="0"/>
              <w:jc w:val="center"/>
              <w:rPr>
                <w:rFonts w:hint="eastAsia" w:ascii="宋体" w:hAnsi="宋体" w:eastAsia="宋体"/>
                <w:sz w:val="18"/>
                <w:szCs w:val="18"/>
              </w:rPr>
            </w:pPr>
            <w:r>
              <w:rPr>
                <w:rFonts w:ascii="宋体" w:hAnsi="宋体" w:eastAsia="宋体"/>
                <w:sz w:val="18"/>
                <w:szCs w:val="18"/>
              </w:rPr>
              <w:t>全色及多光谱</w:t>
            </w:r>
            <w:r>
              <w:rPr>
                <w:rFonts w:hint="eastAsia" w:ascii="宋体" w:hAnsi="宋体" w:eastAsia="宋体"/>
                <w:sz w:val="18"/>
                <w:szCs w:val="18"/>
              </w:rPr>
              <w:t>捆绑数据，空间分辨率2.5m或优于2.5m</w:t>
            </w:r>
          </w:p>
        </w:tc>
      </w:tr>
      <w:tr w14:paraId="57BD6D2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1975" w:type="dxa"/>
            <w:vMerge w:val="continue"/>
            <w:tcBorders>
              <w:top w:val="single" w:color="auto" w:sz="4" w:space="0"/>
              <w:bottom w:val="single" w:color="auto" w:sz="8" w:space="0"/>
            </w:tcBorders>
            <w:vAlign w:val="center"/>
          </w:tcPr>
          <w:p w14:paraId="556E4BE7">
            <w:pPr>
              <w:autoSpaceDE w:val="0"/>
              <w:autoSpaceDN w:val="0"/>
              <w:adjustRightInd w:val="0"/>
              <w:snapToGrid w:val="0"/>
              <w:jc w:val="center"/>
              <w:rPr>
                <w:rFonts w:hint="eastAsia" w:ascii="宋体" w:hAnsi="宋体" w:eastAsia="宋体"/>
                <w:sz w:val="18"/>
                <w:szCs w:val="18"/>
              </w:rPr>
            </w:pPr>
          </w:p>
        </w:tc>
        <w:tc>
          <w:tcPr>
            <w:tcW w:w="1984" w:type="dxa"/>
            <w:tcBorders>
              <w:top w:val="single" w:color="auto" w:sz="4" w:space="0"/>
              <w:bottom w:val="single" w:color="auto" w:sz="8" w:space="0"/>
            </w:tcBorders>
            <w:vAlign w:val="center"/>
          </w:tcPr>
          <w:p w14:paraId="0362C8D2">
            <w:pPr>
              <w:autoSpaceDE w:val="0"/>
              <w:autoSpaceDN w:val="0"/>
              <w:adjustRightInd w:val="0"/>
              <w:snapToGrid w:val="0"/>
              <w:jc w:val="center"/>
              <w:rPr>
                <w:rFonts w:hint="eastAsia" w:ascii="宋体" w:hAnsi="宋体" w:eastAsia="宋体"/>
                <w:sz w:val="18"/>
                <w:szCs w:val="18"/>
              </w:rPr>
            </w:pPr>
            <w:r>
              <w:rPr>
                <w:rFonts w:hint="eastAsia" w:ascii="宋体" w:hAnsi="宋体" w:eastAsia="宋体"/>
                <w:sz w:val="18"/>
                <w:szCs w:val="18"/>
              </w:rPr>
              <w:t>无人机航测、摄影、摄像法</w:t>
            </w:r>
          </w:p>
        </w:tc>
        <w:tc>
          <w:tcPr>
            <w:tcW w:w="3354" w:type="dxa"/>
            <w:tcBorders>
              <w:top w:val="single" w:color="auto" w:sz="4" w:space="0"/>
              <w:bottom w:val="single" w:color="auto" w:sz="8" w:space="0"/>
            </w:tcBorders>
            <w:vAlign w:val="center"/>
          </w:tcPr>
          <w:p w14:paraId="7FBED9FB">
            <w:pPr>
              <w:autoSpaceDE w:val="0"/>
              <w:autoSpaceDN w:val="0"/>
              <w:adjustRightInd w:val="0"/>
              <w:snapToGrid w:val="0"/>
              <w:jc w:val="center"/>
              <w:rPr>
                <w:rFonts w:hint="eastAsia" w:ascii="宋体" w:hAnsi="宋体" w:eastAsia="宋体"/>
                <w:sz w:val="18"/>
                <w:szCs w:val="18"/>
              </w:rPr>
            </w:pPr>
            <w:r>
              <w:rPr>
                <w:rFonts w:hint="eastAsia" w:ascii="宋体" w:hAnsi="宋体" w:eastAsia="宋体"/>
                <w:sz w:val="18"/>
                <w:szCs w:val="18"/>
              </w:rPr>
              <w:t>无人机、照相机、录像机</w:t>
            </w:r>
          </w:p>
        </w:tc>
      </w:tr>
      <w:tr w14:paraId="0BE72B8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975" w:type="dxa"/>
            <w:vMerge w:val="restart"/>
            <w:tcBorders>
              <w:top w:val="single" w:color="auto" w:sz="8" w:space="0"/>
            </w:tcBorders>
            <w:vAlign w:val="center"/>
          </w:tcPr>
          <w:p w14:paraId="75BEE4DE">
            <w:pPr>
              <w:autoSpaceDE w:val="0"/>
              <w:autoSpaceDN w:val="0"/>
              <w:adjustRightInd w:val="0"/>
              <w:snapToGrid w:val="0"/>
              <w:jc w:val="center"/>
              <w:rPr>
                <w:rFonts w:hint="eastAsia" w:ascii="宋体" w:hAnsi="宋体" w:eastAsia="宋体"/>
                <w:sz w:val="18"/>
                <w:szCs w:val="18"/>
              </w:rPr>
            </w:pPr>
            <w:r>
              <w:rPr>
                <w:rFonts w:hint="eastAsia" w:ascii="宋体" w:hAnsi="宋体" w:eastAsia="宋体"/>
                <w:sz w:val="18"/>
                <w:szCs w:val="18"/>
              </w:rPr>
              <w:t>地形地貌损毁</w:t>
            </w:r>
          </w:p>
          <w:p w14:paraId="1303D6F4">
            <w:pPr>
              <w:autoSpaceDE w:val="0"/>
              <w:autoSpaceDN w:val="0"/>
              <w:adjustRightInd w:val="0"/>
              <w:snapToGrid w:val="0"/>
              <w:jc w:val="center"/>
              <w:rPr>
                <w:rFonts w:hint="eastAsia" w:ascii="宋体" w:hAnsi="宋体" w:eastAsia="宋体"/>
                <w:sz w:val="18"/>
                <w:szCs w:val="18"/>
              </w:rPr>
            </w:pPr>
            <w:r>
              <w:rPr>
                <w:rFonts w:hint="eastAsia" w:ascii="宋体" w:hAnsi="宋体" w:eastAsia="宋体"/>
                <w:sz w:val="18"/>
                <w:szCs w:val="18"/>
              </w:rPr>
              <w:t>（地表形变）</w:t>
            </w:r>
          </w:p>
        </w:tc>
        <w:tc>
          <w:tcPr>
            <w:tcW w:w="1984" w:type="dxa"/>
            <w:tcBorders>
              <w:top w:val="single" w:color="auto" w:sz="8" w:space="0"/>
              <w:bottom w:val="single" w:color="auto" w:sz="4" w:space="0"/>
            </w:tcBorders>
            <w:vAlign w:val="center"/>
          </w:tcPr>
          <w:p w14:paraId="155A0AF6">
            <w:pPr>
              <w:autoSpaceDE w:val="0"/>
              <w:autoSpaceDN w:val="0"/>
              <w:adjustRightInd w:val="0"/>
              <w:snapToGrid w:val="0"/>
              <w:jc w:val="center"/>
              <w:rPr>
                <w:rFonts w:hint="eastAsia" w:ascii="宋体" w:hAnsi="宋体" w:eastAsia="宋体"/>
                <w:sz w:val="18"/>
                <w:szCs w:val="18"/>
              </w:rPr>
            </w:pPr>
            <w:r>
              <w:rPr>
                <w:rFonts w:hint="eastAsia" w:ascii="宋体" w:hAnsi="宋体" w:eastAsia="宋体"/>
                <w:sz w:val="18"/>
                <w:szCs w:val="18"/>
              </w:rPr>
              <w:t>水准测量法</w:t>
            </w:r>
          </w:p>
        </w:tc>
        <w:tc>
          <w:tcPr>
            <w:tcW w:w="3354" w:type="dxa"/>
            <w:tcBorders>
              <w:top w:val="single" w:color="auto" w:sz="8" w:space="0"/>
              <w:bottom w:val="single" w:color="auto" w:sz="4" w:space="0"/>
            </w:tcBorders>
            <w:vAlign w:val="center"/>
          </w:tcPr>
          <w:p w14:paraId="3A633B4F">
            <w:pPr>
              <w:autoSpaceDE w:val="0"/>
              <w:autoSpaceDN w:val="0"/>
              <w:adjustRightInd w:val="0"/>
              <w:snapToGrid w:val="0"/>
              <w:jc w:val="center"/>
              <w:rPr>
                <w:rFonts w:hint="eastAsia" w:ascii="宋体" w:hAnsi="宋体" w:eastAsia="宋体"/>
                <w:sz w:val="18"/>
                <w:szCs w:val="18"/>
              </w:rPr>
            </w:pPr>
            <w:r>
              <w:rPr>
                <w:rFonts w:hint="eastAsia" w:ascii="宋体" w:hAnsi="宋体" w:eastAsia="宋体"/>
                <w:sz w:val="18"/>
                <w:szCs w:val="18"/>
              </w:rPr>
              <w:t>水准仪、全站仪</w:t>
            </w:r>
          </w:p>
        </w:tc>
      </w:tr>
      <w:tr w14:paraId="032C260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975" w:type="dxa"/>
            <w:vMerge w:val="continue"/>
            <w:vAlign w:val="center"/>
          </w:tcPr>
          <w:p w14:paraId="2E71E263">
            <w:pPr>
              <w:autoSpaceDE w:val="0"/>
              <w:autoSpaceDN w:val="0"/>
              <w:adjustRightInd w:val="0"/>
              <w:snapToGrid w:val="0"/>
              <w:jc w:val="center"/>
              <w:rPr>
                <w:rFonts w:hint="eastAsia" w:ascii="宋体" w:hAnsi="宋体" w:eastAsia="宋体"/>
                <w:sz w:val="18"/>
                <w:szCs w:val="18"/>
              </w:rPr>
            </w:pPr>
          </w:p>
        </w:tc>
        <w:tc>
          <w:tcPr>
            <w:tcW w:w="1984" w:type="dxa"/>
            <w:tcBorders>
              <w:top w:val="single" w:color="auto" w:sz="8" w:space="0"/>
              <w:bottom w:val="single" w:color="auto" w:sz="4" w:space="0"/>
            </w:tcBorders>
            <w:vAlign w:val="center"/>
          </w:tcPr>
          <w:p w14:paraId="6206AB62">
            <w:pPr>
              <w:autoSpaceDE w:val="0"/>
              <w:autoSpaceDN w:val="0"/>
              <w:adjustRightInd w:val="0"/>
              <w:snapToGrid w:val="0"/>
              <w:jc w:val="center"/>
              <w:rPr>
                <w:rFonts w:hint="eastAsia" w:ascii="宋体" w:hAnsi="宋体" w:eastAsia="宋体"/>
                <w:sz w:val="18"/>
                <w:szCs w:val="18"/>
              </w:rPr>
            </w:pPr>
            <w:r>
              <w:rPr>
                <w:rFonts w:hint="eastAsia" w:ascii="宋体" w:hAnsi="宋体" w:eastAsia="宋体"/>
                <w:sz w:val="18"/>
                <w:szCs w:val="18"/>
              </w:rPr>
              <w:t>GNSS定位法</w:t>
            </w:r>
          </w:p>
        </w:tc>
        <w:tc>
          <w:tcPr>
            <w:tcW w:w="3354" w:type="dxa"/>
            <w:tcBorders>
              <w:top w:val="single" w:color="auto" w:sz="8" w:space="0"/>
              <w:bottom w:val="single" w:color="auto" w:sz="4" w:space="0"/>
            </w:tcBorders>
            <w:vAlign w:val="center"/>
          </w:tcPr>
          <w:p w14:paraId="34E9AA04">
            <w:pPr>
              <w:autoSpaceDE w:val="0"/>
              <w:autoSpaceDN w:val="0"/>
              <w:adjustRightInd w:val="0"/>
              <w:snapToGrid w:val="0"/>
              <w:jc w:val="center"/>
              <w:rPr>
                <w:rFonts w:hint="eastAsia" w:ascii="宋体" w:hAnsi="宋体" w:eastAsia="宋体"/>
                <w:sz w:val="18"/>
                <w:szCs w:val="18"/>
              </w:rPr>
            </w:pPr>
            <w:r>
              <w:rPr>
                <w:rFonts w:hint="eastAsia" w:ascii="宋体" w:hAnsi="宋体" w:eastAsia="宋体"/>
                <w:sz w:val="18"/>
                <w:szCs w:val="18"/>
              </w:rPr>
              <w:t>GNSS定位系统</w:t>
            </w:r>
          </w:p>
        </w:tc>
      </w:tr>
      <w:tr w14:paraId="4B73075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975" w:type="dxa"/>
            <w:vMerge w:val="continue"/>
            <w:vAlign w:val="center"/>
          </w:tcPr>
          <w:p w14:paraId="1B67F174">
            <w:pPr>
              <w:autoSpaceDE w:val="0"/>
              <w:autoSpaceDN w:val="0"/>
              <w:adjustRightInd w:val="0"/>
              <w:snapToGrid w:val="0"/>
              <w:jc w:val="center"/>
              <w:rPr>
                <w:rFonts w:hint="eastAsia" w:ascii="宋体" w:hAnsi="宋体" w:eastAsia="宋体"/>
                <w:sz w:val="18"/>
                <w:szCs w:val="18"/>
              </w:rPr>
            </w:pPr>
          </w:p>
        </w:tc>
        <w:tc>
          <w:tcPr>
            <w:tcW w:w="1984" w:type="dxa"/>
            <w:tcBorders>
              <w:top w:val="single" w:color="auto" w:sz="8" w:space="0"/>
              <w:bottom w:val="single" w:color="auto" w:sz="4" w:space="0"/>
            </w:tcBorders>
            <w:vAlign w:val="center"/>
          </w:tcPr>
          <w:p w14:paraId="7DA6BDD0">
            <w:pPr>
              <w:autoSpaceDE w:val="0"/>
              <w:autoSpaceDN w:val="0"/>
              <w:adjustRightInd w:val="0"/>
              <w:snapToGrid w:val="0"/>
              <w:jc w:val="center"/>
              <w:rPr>
                <w:rFonts w:hint="eastAsia" w:ascii="宋体" w:hAnsi="宋体" w:eastAsia="宋体"/>
                <w:sz w:val="18"/>
                <w:szCs w:val="18"/>
              </w:rPr>
            </w:pPr>
            <w:r>
              <w:rPr>
                <w:rFonts w:hint="eastAsia" w:ascii="宋体" w:hAnsi="宋体" w:eastAsia="宋体"/>
                <w:sz w:val="18"/>
                <w:szCs w:val="18"/>
              </w:rPr>
              <w:t>遥感影像监测法</w:t>
            </w:r>
          </w:p>
        </w:tc>
        <w:tc>
          <w:tcPr>
            <w:tcW w:w="3354" w:type="dxa"/>
            <w:tcBorders>
              <w:top w:val="single" w:color="auto" w:sz="8" w:space="0"/>
              <w:bottom w:val="single" w:color="auto" w:sz="4" w:space="0"/>
            </w:tcBorders>
            <w:vAlign w:val="center"/>
          </w:tcPr>
          <w:p w14:paraId="00CCCA21">
            <w:pPr>
              <w:autoSpaceDE w:val="0"/>
              <w:autoSpaceDN w:val="0"/>
              <w:adjustRightInd w:val="0"/>
              <w:snapToGrid w:val="0"/>
              <w:jc w:val="center"/>
              <w:rPr>
                <w:rFonts w:hint="eastAsia" w:ascii="宋体" w:hAnsi="宋体" w:eastAsia="宋体"/>
                <w:sz w:val="18"/>
                <w:szCs w:val="18"/>
              </w:rPr>
            </w:pPr>
            <w:r>
              <w:rPr>
                <w:rFonts w:ascii="宋体" w:hAnsi="宋体" w:eastAsia="宋体"/>
                <w:sz w:val="18"/>
                <w:szCs w:val="18"/>
              </w:rPr>
              <w:t>全色及多光谱</w:t>
            </w:r>
            <w:r>
              <w:rPr>
                <w:rFonts w:hint="eastAsia" w:ascii="宋体" w:hAnsi="宋体" w:eastAsia="宋体"/>
                <w:sz w:val="18"/>
                <w:szCs w:val="18"/>
              </w:rPr>
              <w:t xml:space="preserve">捆绑数据，空间分辨率2.5m或优于2.5m </w:t>
            </w:r>
          </w:p>
        </w:tc>
      </w:tr>
      <w:tr w14:paraId="15CCFB2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975" w:type="dxa"/>
            <w:vMerge w:val="continue"/>
            <w:vAlign w:val="center"/>
          </w:tcPr>
          <w:p w14:paraId="67C92A6D">
            <w:pPr>
              <w:autoSpaceDE w:val="0"/>
              <w:autoSpaceDN w:val="0"/>
              <w:adjustRightInd w:val="0"/>
              <w:snapToGrid w:val="0"/>
              <w:jc w:val="center"/>
              <w:rPr>
                <w:rFonts w:hint="eastAsia" w:ascii="宋体" w:hAnsi="宋体" w:eastAsia="宋体"/>
                <w:sz w:val="18"/>
                <w:szCs w:val="18"/>
              </w:rPr>
            </w:pPr>
          </w:p>
        </w:tc>
        <w:tc>
          <w:tcPr>
            <w:tcW w:w="1984" w:type="dxa"/>
            <w:tcBorders>
              <w:top w:val="single" w:color="auto" w:sz="8" w:space="0"/>
              <w:bottom w:val="single" w:color="auto" w:sz="4" w:space="0"/>
            </w:tcBorders>
            <w:vAlign w:val="center"/>
          </w:tcPr>
          <w:p w14:paraId="2B6D775C">
            <w:pPr>
              <w:autoSpaceDE w:val="0"/>
              <w:autoSpaceDN w:val="0"/>
              <w:adjustRightInd w:val="0"/>
              <w:snapToGrid w:val="0"/>
              <w:jc w:val="center"/>
              <w:rPr>
                <w:rFonts w:hint="eastAsia" w:ascii="宋体" w:hAnsi="宋体" w:eastAsia="宋体"/>
                <w:sz w:val="18"/>
                <w:szCs w:val="18"/>
              </w:rPr>
            </w:pPr>
            <w:r>
              <w:rPr>
                <w:rFonts w:hint="eastAsia" w:ascii="宋体" w:hAnsi="宋体" w:eastAsia="宋体"/>
                <w:sz w:val="18"/>
                <w:szCs w:val="18"/>
              </w:rPr>
              <w:t>激光扫描法</w:t>
            </w:r>
          </w:p>
        </w:tc>
        <w:tc>
          <w:tcPr>
            <w:tcW w:w="3354" w:type="dxa"/>
            <w:tcBorders>
              <w:top w:val="single" w:color="auto" w:sz="8" w:space="0"/>
              <w:bottom w:val="single" w:color="auto" w:sz="4" w:space="0"/>
            </w:tcBorders>
            <w:vAlign w:val="center"/>
          </w:tcPr>
          <w:p w14:paraId="2188BD25">
            <w:pPr>
              <w:autoSpaceDE w:val="0"/>
              <w:autoSpaceDN w:val="0"/>
              <w:adjustRightInd w:val="0"/>
              <w:snapToGrid w:val="0"/>
              <w:jc w:val="center"/>
              <w:rPr>
                <w:rFonts w:hint="eastAsia" w:ascii="宋体" w:hAnsi="宋体" w:eastAsia="宋体"/>
                <w:sz w:val="18"/>
                <w:szCs w:val="18"/>
              </w:rPr>
            </w:pPr>
            <w:r>
              <w:rPr>
                <w:rFonts w:hint="eastAsia" w:ascii="宋体" w:hAnsi="宋体" w:eastAsia="宋体"/>
                <w:sz w:val="18"/>
                <w:szCs w:val="18"/>
              </w:rPr>
              <w:t>三维激光扫描仪</w:t>
            </w:r>
          </w:p>
        </w:tc>
      </w:tr>
      <w:tr w14:paraId="58979E7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975" w:type="dxa"/>
            <w:vMerge w:val="continue"/>
            <w:vAlign w:val="center"/>
          </w:tcPr>
          <w:p w14:paraId="2BFCFD1D">
            <w:pPr>
              <w:autoSpaceDE w:val="0"/>
              <w:autoSpaceDN w:val="0"/>
              <w:adjustRightInd w:val="0"/>
              <w:snapToGrid w:val="0"/>
              <w:jc w:val="center"/>
              <w:rPr>
                <w:rFonts w:hint="eastAsia" w:ascii="宋体" w:hAnsi="宋体" w:eastAsia="宋体"/>
                <w:sz w:val="18"/>
                <w:szCs w:val="18"/>
              </w:rPr>
            </w:pPr>
          </w:p>
        </w:tc>
        <w:tc>
          <w:tcPr>
            <w:tcW w:w="1984" w:type="dxa"/>
            <w:tcBorders>
              <w:top w:val="single" w:color="auto" w:sz="8" w:space="0"/>
              <w:bottom w:val="single" w:color="auto" w:sz="4" w:space="0"/>
            </w:tcBorders>
            <w:vAlign w:val="center"/>
          </w:tcPr>
          <w:p w14:paraId="2387166E">
            <w:pPr>
              <w:autoSpaceDE w:val="0"/>
              <w:autoSpaceDN w:val="0"/>
              <w:adjustRightInd w:val="0"/>
              <w:snapToGrid w:val="0"/>
              <w:jc w:val="center"/>
              <w:rPr>
                <w:rFonts w:hint="eastAsia" w:ascii="宋体" w:hAnsi="宋体" w:eastAsia="宋体"/>
                <w:sz w:val="18"/>
                <w:szCs w:val="18"/>
              </w:rPr>
            </w:pPr>
            <w:r>
              <w:rPr>
                <w:rFonts w:hint="eastAsia" w:ascii="宋体" w:hAnsi="宋体" w:eastAsia="宋体"/>
                <w:sz w:val="18"/>
                <w:szCs w:val="18"/>
              </w:rPr>
              <w:t>测距法</w:t>
            </w:r>
          </w:p>
        </w:tc>
        <w:tc>
          <w:tcPr>
            <w:tcW w:w="3354" w:type="dxa"/>
            <w:tcBorders>
              <w:top w:val="single" w:color="auto" w:sz="8" w:space="0"/>
              <w:bottom w:val="single" w:color="auto" w:sz="4" w:space="0"/>
            </w:tcBorders>
            <w:vAlign w:val="center"/>
          </w:tcPr>
          <w:p w14:paraId="10744C16">
            <w:pPr>
              <w:autoSpaceDE w:val="0"/>
              <w:autoSpaceDN w:val="0"/>
              <w:adjustRightInd w:val="0"/>
              <w:snapToGrid w:val="0"/>
              <w:jc w:val="center"/>
              <w:rPr>
                <w:rFonts w:hint="eastAsia" w:ascii="宋体" w:hAnsi="宋体" w:eastAsia="宋体"/>
                <w:sz w:val="18"/>
                <w:szCs w:val="18"/>
              </w:rPr>
            </w:pPr>
            <w:r>
              <w:rPr>
                <w:rFonts w:hint="eastAsia" w:ascii="宋体" w:hAnsi="宋体" w:eastAsia="宋体"/>
                <w:sz w:val="18"/>
                <w:szCs w:val="18"/>
              </w:rPr>
              <w:t>土体沉降仪、激光测距仪、钢尺</w:t>
            </w:r>
          </w:p>
        </w:tc>
      </w:tr>
      <w:tr w14:paraId="6FC8BF1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975" w:type="dxa"/>
            <w:vMerge w:val="continue"/>
            <w:vAlign w:val="center"/>
          </w:tcPr>
          <w:p w14:paraId="46A5368B">
            <w:pPr>
              <w:autoSpaceDE w:val="0"/>
              <w:autoSpaceDN w:val="0"/>
              <w:adjustRightInd w:val="0"/>
              <w:snapToGrid w:val="0"/>
              <w:jc w:val="center"/>
              <w:rPr>
                <w:rFonts w:hint="eastAsia" w:ascii="宋体" w:hAnsi="宋体" w:eastAsia="宋体"/>
                <w:sz w:val="18"/>
                <w:szCs w:val="18"/>
              </w:rPr>
            </w:pPr>
          </w:p>
        </w:tc>
        <w:tc>
          <w:tcPr>
            <w:tcW w:w="1984" w:type="dxa"/>
            <w:tcBorders>
              <w:top w:val="single" w:color="auto" w:sz="8" w:space="0"/>
              <w:bottom w:val="single" w:color="auto" w:sz="4" w:space="0"/>
            </w:tcBorders>
            <w:vAlign w:val="center"/>
          </w:tcPr>
          <w:p w14:paraId="4B2A47C4">
            <w:pPr>
              <w:autoSpaceDE w:val="0"/>
              <w:autoSpaceDN w:val="0"/>
              <w:adjustRightInd w:val="0"/>
              <w:snapToGrid w:val="0"/>
              <w:jc w:val="center"/>
              <w:rPr>
                <w:rFonts w:hint="eastAsia" w:ascii="宋体" w:hAnsi="宋体" w:eastAsia="宋体"/>
                <w:sz w:val="18"/>
                <w:szCs w:val="18"/>
              </w:rPr>
            </w:pPr>
            <w:r>
              <w:rPr>
                <w:rFonts w:hint="eastAsia" w:ascii="宋体" w:hAnsi="宋体" w:eastAsia="宋体"/>
                <w:sz w:val="18"/>
                <w:szCs w:val="18"/>
              </w:rPr>
              <w:t>测缝法</w:t>
            </w:r>
          </w:p>
        </w:tc>
        <w:tc>
          <w:tcPr>
            <w:tcW w:w="3354" w:type="dxa"/>
            <w:tcBorders>
              <w:top w:val="single" w:color="auto" w:sz="8" w:space="0"/>
              <w:bottom w:val="single" w:color="auto" w:sz="4" w:space="0"/>
            </w:tcBorders>
            <w:vAlign w:val="center"/>
          </w:tcPr>
          <w:p w14:paraId="300FF8CE">
            <w:pPr>
              <w:autoSpaceDE w:val="0"/>
              <w:autoSpaceDN w:val="0"/>
              <w:adjustRightInd w:val="0"/>
              <w:snapToGrid w:val="0"/>
              <w:jc w:val="center"/>
              <w:rPr>
                <w:rFonts w:hint="eastAsia" w:ascii="宋体" w:hAnsi="宋体" w:eastAsia="宋体"/>
                <w:sz w:val="18"/>
                <w:szCs w:val="18"/>
              </w:rPr>
            </w:pPr>
            <w:r>
              <w:rPr>
                <w:rFonts w:hint="eastAsia" w:ascii="宋体" w:hAnsi="宋体" w:eastAsia="宋体"/>
                <w:sz w:val="18"/>
                <w:szCs w:val="18"/>
              </w:rPr>
              <w:t>裂缝计、卡尺</w:t>
            </w:r>
          </w:p>
        </w:tc>
      </w:tr>
      <w:tr w14:paraId="309673A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975" w:type="dxa"/>
            <w:vMerge w:val="continue"/>
            <w:vAlign w:val="center"/>
          </w:tcPr>
          <w:p w14:paraId="04C8811E">
            <w:pPr>
              <w:autoSpaceDE w:val="0"/>
              <w:autoSpaceDN w:val="0"/>
              <w:adjustRightInd w:val="0"/>
              <w:snapToGrid w:val="0"/>
              <w:jc w:val="center"/>
              <w:rPr>
                <w:rFonts w:hint="eastAsia" w:ascii="宋体" w:hAnsi="宋体" w:eastAsia="宋体"/>
                <w:sz w:val="18"/>
                <w:szCs w:val="18"/>
              </w:rPr>
            </w:pPr>
          </w:p>
        </w:tc>
        <w:tc>
          <w:tcPr>
            <w:tcW w:w="1984" w:type="dxa"/>
            <w:tcBorders>
              <w:top w:val="single" w:color="auto" w:sz="8" w:space="0"/>
              <w:bottom w:val="single" w:color="auto" w:sz="4" w:space="0"/>
            </w:tcBorders>
            <w:vAlign w:val="center"/>
          </w:tcPr>
          <w:p w14:paraId="1B0E0423">
            <w:pPr>
              <w:autoSpaceDE w:val="0"/>
              <w:autoSpaceDN w:val="0"/>
              <w:adjustRightInd w:val="0"/>
              <w:snapToGrid w:val="0"/>
              <w:jc w:val="center"/>
              <w:rPr>
                <w:rFonts w:hint="eastAsia" w:ascii="宋体" w:hAnsi="宋体" w:eastAsia="宋体"/>
                <w:sz w:val="18"/>
                <w:szCs w:val="18"/>
              </w:rPr>
            </w:pPr>
            <w:r>
              <w:rPr>
                <w:rFonts w:hint="eastAsia" w:ascii="宋体" w:hAnsi="宋体" w:eastAsia="宋体"/>
                <w:sz w:val="18"/>
                <w:szCs w:val="18"/>
              </w:rPr>
              <w:t>干涉雷达法</w:t>
            </w:r>
          </w:p>
        </w:tc>
        <w:tc>
          <w:tcPr>
            <w:tcW w:w="3354" w:type="dxa"/>
            <w:tcBorders>
              <w:top w:val="single" w:color="auto" w:sz="8" w:space="0"/>
              <w:bottom w:val="single" w:color="auto" w:sz="4" w:space="0"/>
            </w:tcBorders>
            <w:vAlign w:val="center"/>
          </w:tcPr>
          <w:p w14:paraId="03C17AF3">
            <w:pPr>
              <w:autoSpaceDE w:val="0"/>
              <w:autoSpaceDN w:val="0"/>
              <w:adjustRightInd w:val="0"/>
              <w:snapToGrid w:val="0"/>
              <w:jc w:val="center"/>
              <w:rPr>
                <w:rFonts w:hint="eastAsia" w:ascii="宋体" w:hAnsi="宋体" w:eastAsia="宋体"/>
                <w:sz w:val="18"/>
                <w:szCs w:val="18"/>
              </w:rPr>
            </w:pPr>
            <w:r>
              <w:rPr>
                <w:rFonts w:ascii="宋体" w:hAnsi="宋体" w:eastAsia="宋体"/>
                <w:sz w:val="18"/>
                <w:szCs w:val="18"/>
              </w:rPr>
              <w:t>高分辨率的InSAR数据</w:t>
            </w:r>
          </w:p>
        </w:tc>
      </w:tr>
      <w:tr w14:paraId="1118E44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975" w:type="dxa"/>
            <w:vMerge w:val="continue"/>
            <w:vAlign w:val="center"/>
          </w:tcPr>
          <w:p w14:paraId="3266EE51">
            <w:pPr>
              <w:autoSpaceDE w:val="0"/>
              <w:autoSpaceDN w:val="0"/>
              <w:adjustRightInd w:val="0"/>
              <w:snapToGrid w:val="0"/>
              <w:jc w:val="center"/>
              <w:rPr>
                <w:rFonts w:hint="eastAsia" w:ascii="宋体" w:hAnsi="宋体" w:eastAsia="宋体"/>
                <w:sz w:val="18"/>
                <w:szCs w:val="18"/>
              </w:rPr>
            </w:pPr>
          </w:p>
        </w:tc>
        <w:tc>
          <w:tcPr>
            <w:tcW w:w="1984" w:type="dxa"/>
            <w:tcBorders>
              <w:top w:val="single" w:color="auto" w:sz="8" w:space="0"/>
              <w:bottom w:val="single" w:color="auto" w:sz="4" w:space="0"/>
            </w:tcBorders>
            <w:vAlign w:val="center"/>
          </w:tcPr>
          <w:p w14:paraId="31D15B4A">
            <w:pPr>
              <w:autoSpaceDE w:val="0"/>
              <w:autoSpaceDN w:val="0"/>
              <w:adjustRightInd w:val="0"/>
              <w:snapToGrid w:val="0"/>
              <w:jc w:val="center"/>
              <w:rPr>
                <w:rFonts w:hint="eastAsia" w:ascii="宋体" w:hAnsi="宋体" w:eastAsia="宋体"/>
                <w:sz w:val="18"/>
                <w:szCs w:val="18"/>
              </w:rPr>
            </w:pPr>
            <w:r>
              <w:rPr>
                <w:rFonts w:hint="eastAsia" w:ascii="宋体" w:hAnsi="宋体" w:eastAsia="宋体"/>
                <w:sz w:val="18"/>
                <w:szCs w:val="18"/>
              </w:rPr>
              <w:t>应变测量法</w:t>
            </w:r>
          </w:p>
        </w:tc>
        <w:tc>
          <w:tcPr>
            <w:tcW w:w="3354" w:type="dxa"/>
            <w:tcBorders>
              <w:top w:val="single" w:color="auto" w:sz="8" w:space="0"/>
              <w:bottom w:val="single" w:color="auto" w:sz="4" w:space="0"/>
            </w:tcBorders>
            <w:vAlign w:val="center"/>
          </w:tcPr>
          <w:p w14:paraId="47A7F2C2">
            <w:pPr>
              <w:autoSpaceDE w:val="0"/>
              <w:autoSpaceDN w:val="0"/>
              <w:adjustRightInd w:val="0"/>
              <w:snapToGrid w:val="0"/>
              <w:jc w:val="center"/>
              <w:rPr>
                <w:rFonts w:hint="eastAsia" w:ascii="宋体" w:hAnsi="宋体" w:eastAsia="宋体"/>
                <w:sz w:val="18"/>
                <w:szCs w:val="18"/>
              </w:rPr>
            </w:pPr>
            <w:r>
              <w:rPr>
                <w:rFonts w:hint="eastAsia" w:ascii="宋体" w:hAnsi="宋体" w:eastAsia="宋体"/>
                <w:sz w:val="18"/>
                <w:szCs w:val="18"/>
              </w:rPr>
              <w:t>光纤应变计、埋入式振弦应变计</w:t>
            </w:r>
          </w:p>
        </w:tc>
      </w:tr>
      <w:tr w14:paraId="26DCFEA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975" w:type="dxa"/>
            <w:vMerge w:val="restart"/>
            <w:tcBorders>
              <w:top w:val="single" w:color="auto" w:sz="8" w:space="0"/>
            </w:tcBorders>
            <w:vAlign w:val="center"/>
          </w:tcPr>
          <w:p w14:paraId="6D61AA5E">
            <w:pPr>
              <w:autoSpaceDE w:val="0"/>
              <w:autoSpaceDN w:val="0"/>
              <w:adjustRightInd w:val="0"/>
              <w:snapToGrid w:val="0"/>
              <w:jc w:val="center"/>
              <w:rPr>
                <w:rFonts w:hint="eastAsia" w:ascii="宋体" w:hAnsi="宋体" w:eastAsia="宋体"/>
                <w:sz w:val="18"/>
                <w:szCs w:val="18"/>
              </w:rPr>
            </w:pPr>
            <w:r>
              <w:rPr>
                <w:rFonts w:hint="eastAsia" w:ascii="宋体" w:hAnsi="宋体" w:eastAsia="宋体"/>
                <w:sz w:val="18"/>
                <w:szCs w:val="18"/>
              </w:rPr>
              <w:t>土地平整及复垦面积</w:t>
            </w:r>
          </w:p>
        </w:tc>
        <w:tc>
          <w:tcPr>
            <w:tcW w:w="1984" w:type="dxa"/>
            <w:tcBorders>
              <w:top w:val="single" w:color="auto" w:sz="8" w:space="0"/>
              <w:bottom w:val="single" w:color="auto" w:sz="4" w:space="0"/>
            </w:tcBorders>
            <w:vAlign w:val="center"/>
          </w:tcPr>
          <w:p w14:paraId="56D1C192">
            <w:pPr>
              <w:autoSpaceDE w:val="0"/>
              <w:autoSpaceDN w:val="0"/>
              <w:adjustRightInd w:val="0"/>
              <w:snapToGrid w:val="0"/>
              <w:jc w:val="center"/>
              <w:rPr>
                <w:rFonts w:hint="eastAsia" w:ascii="宋体" w:hAnsi="宋体" w:eastAsia="宋体"/>
                <w:sz w:val="18"/>
                <w:szCs w:val="18"/>
              </w:rPr>
            </w:pPr>
            <w:r>
              <w:rPr>
                <w:rFonts w:hint="eastAsia" w:ascii="宋体" w:hAnsi="宋体" w:eastAsia="宋体"/>
                <w:sz w:val="18"/>
                <w:szCs w:val="18"/>
              </w:rPr>
              <w:t>水准测量</w:t>
            </w:r>
          </w:p>
        </w:tc>
        <w:tc>
          <w:tcPr>
            <w:tcW w:w="3354" w:type="dxa"/>
            <w:tcBorders>
              <w:top w:val="single" w:color="auto" w:sz="8" w:space="0"/>
              <w:bottom w:val="single" w:color="auto" w:sz="4" w:space="0"/>
            </w:tcBorders>
            <w:vAlign w:val="center"/>
          </w:tcPr>
          <w:p w14:paraId="47FBEDC2">
            <w:pPr>
              <w:autoSpaceDE w:val="0"/>
              <w:autoSpaceDN w:val="0"/>
              <w:adjustRightInd w:val="0"/>
              <w:snapToGrid w:val="0"/>
              <w:jc w:val="center"/>
              <w:rPr>
                <w:rFonts w:hint="eastAsia" w:ascii="宋体" w:hAnsi="宋体" w:eastAsia="宋体"/>
                <w:sz w:val="18"/>
                <w:szCs w:val="18"/>
              </w:rPr>
            </w:pPr>
            <w:r>
              <w:rPr>
                <w:rFonts w:hint="eastAsia" w:ascii="宋体" w:hAnsi="宋体" w:eastAsia="宋体"/>
                <w:sz w:val="18"/>
                <w:szCs w:val="18"/>
              </w:rPr>
              <w:t>水准仪、全站仪</w:t>
            </w:r>
          </w:p>
        </w:tc>
      </w:tr>
      <w:tr w14:paraId="48D7B28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975" w:type="dxa"/>
            <w:vMerge w:val="continue"/>
            <w:vAlign w:val="center"/>
          </w:tcPr>
          <w:p w14:paraId="47EB8318">
            <w:pPr>
              <w:autoSpaceDE w:val="0"/>
              <w:autoSpaceDN w:val="0"/>
              <w:adjustRightInd w:val="0"/>
              <w:snapToGrid w:val="0"/>
              <w:jc w:val="center"/>
              <w:rPr>
                <w:rFonts w:hint="eastAsia" w:ascii="宋体" w:hAnsi="宋体" w:eastAsia="宋体"/>
                <w:sz w:val="18"/>
                <w:szCs w:val="18"/>
              </w:rPr>
            </w:pPr>
          </w:p>
        </w:tc>
        <w:tc>
          <w:tcPr>
            <w:tcW w:w="1984" w:type="dxa"/>
            <w:tcBorders>
              <w:top w:val="single" w:color="auto" w:sz="8" w:space="0"/>
              <w:bottom w:val="single" w:color="auto" w:sz="4" w:space="0"/>
            </w:tcBorders>
            <w:vAlign w:val="center"/>
          </w:tcPr>
          <w:p w14:paraId="31111A6B">
            <w:pPr>
              <w:autoSpaceDE w:val="0"/>
              <w:autoSpaceDN w:val="0"/>
              <w:adjustRightInd w:val="0"/>
              <w:snapToGrid w:val="0"/>
              <w:jc w:val="center"/>
              <w:rPr>
                <w:rFonts w:hint="eastAsia" w:ascii="宋体" w:hAnsi="宋体" w:eastAsia="宋体"/>
                <w:sz w:val="18"/>
                <w:szCs w:val="18"/>
              </w:rPr>
            </w:pPr>
            <w:r>
              <w:rPr>
                <w:rFonts w:hint="eastAsia" w:ascii="宋体" w:hAnsi="宋体" w:eastAsia="宋体"/>
                <w:sz w:val="18"/>
                <w:szCs w:val="18"/>
              </w:rPr>
              <w:t>GNSS定位法</w:t>
            </w:r>
          </w:p>
        </w:tc>
        <w:tc>
          <w:tcPr>
            <w:tcW w:w="3354" w:type="dxa"/>
            <w:tcBorders>
              <w:top w:val="single" w:color="auto" w:sz="8" w:space="0"/>
              <w:bottom w:val="single" w:color="auto" w:sz="4" w:space="0"/>
            </w:tcBorders>
            <w:vAlign w:val="center"/>
          </w:tcPr>
          <w:p w14:paraId="782F4785">
            <w:pPr>
              <w:autoSpaceDE w:val="0"/>
              <w:autoSpaceDN w:val="0"/>
              <w:adjustRightInd w:val="0"/>
              <w:snapToGrid w:val="0"/>
              <w:jc w:val="center"/>
              <w:rPr>
                <w:rFonts w:hint="eastAsia" w:ascii="宋体" w:hAnsi="宋体" w:eastAsia="宋体"/>
                <w:sz w:val="18"/>
                <w:szCs w:val="18"/>
              </w:rPr>
            </w:pPr>
            <w:r>
              <w:rPr>
                <w:rFonts w:hint="eastAsia" w:ascii="宋体" w:hAnsi="宋体" w:eastAsia="宋体"/>
                <w:sz w:val="18"/>
                <w:szCs w:val="18"/>
              </w:rPr>
              <w:t>GNSS定位系统</w:t>
            </w:r>
          </w:p>
        </w:tc>
      </w:tr>
      <w:tr w14:paraId="6D2FC27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975" w:type="dxa"/>
            <w:vMerge w:val="continue"/>
            <w:vAlign w:val="center"/>
          </w:tcPr>
          <w:p w14:paraId="29D9EB65">
            <w:pPr>
              <w:autoSpaceDE w:val="0"/>
              <w:autoSpaceDN w:val="0"/>
              <w:adjustRightInd w:val="0"/>
              <w:snapToGrid w:val="0"/>
              <w:jc w:val="center"/>
              <w:rPr>
                <w:rFonts w:hint="eastAsia" w:ascii="宋体" w:hAnsi="宋体" w:eastAsia="宋体"/>
                <w:sz w:val="18"/>
                <w:szCs w:val="18"/>
              </w:rPr>
            </w:pPr>
          </w:p>
        </w:tc>
        <w:tc>
          <w:tcPr>
            <w:tcW w:w="1984" w:type="dxa"/>
            <w:tcBorders>
              <w:top w:val="single" w:color="auto" w:sz="8" w:space="0"/>
              <w:bottom w:val="single" w:color="auto" w:sz="4" w:space="0"/>
            </w:tcBorders>
            <w:vAlign w:val="center"/>
          </w:tcPr>
          <w:p w14:paraId="28283804">
            <w:pPr>
              <w:autoSpaceDE w:val="0"/>
              <w:autoSpaceDN w:val="0"/>
              <w:adjustRightInd w:val="0"/>
              <w:snapToGrid w:val="0"/>
              <w:jc w:val="center"/>
              <w:rPr>
                <w:rFonts w:hint="eastAsia" w:ascii="宋体" w:hAnsi="宋体" w:eastAsia="宋体"/>
                <w:sz w:val="18"/>
                <w:szCs w:val="18"/>
              </w:rPr>
            </w:pPr>
            <w:r>
              <w:rPr>
                <w:rFonts w:hint="eastAsia" w:ascii="宋体" w:hAnsi="宋体" w:eastAsia="宋体"/>
                <w:sz w:val="18"/>
                <w:szCs w:val="18"/>
              </w:rPr>
              <w:t>遥感影像监测法</w:t>
            </w:r>
          </w:p>
        </w:tc>
        <w:tc>
          <w:tcPr>
            <w:tcW w:w="3354" w:type="dxa"/>
            <w:tcBorders>
              <w:top w:val="single" w:color="auto" w:sz="8" w:space="0"/>
              <w:bottom w:val="single" w:color="auto" w:sz="4" w:space="0"/>
            </w:tcBorders>
            <w:vAlign w:val="center"/>
          </w:tcPr>
          <w:p w14:paraId="29F9BF61">
            <w:pPr>
              <w:autoSpaceDE w:val="0"/>
              <w:autoSpaceDN w:val="0"/>
              <w:adjustRightInd w:val="0"/>
              <w:snapToGrid w:val="0"/>
              <w:jc w:val="center"/>
              <w:rPr>
                <w:rFonts w:hint="eastAsia" w:ascii="宋体" w:hAnsi="宋体" w:eastAsia="宋体"/>
                <w:sz w:val="18"/>
                <w:szCs w:val="18"/>
              </w:rPr>
            </w:pPr>
            <w:r>
              <w:rPr>
                <w:rFonts w:ascii="宋体" w:hAnsi="宋体" w:eastAsia="宋体"/>
                <w:sz w:val="18"/>
                <w:szCs w:val="18"/>
              </w:rPr>
              <w:t>全色及多光谱</w:t>
            </w:r>
            <w:r>
              <w:rPr>
                <w:rFonts w:hint="eastAsia" w:ascii="宋体" w:hAnsi="宋体" w:eastAsia="宋体"/>
                <w:sz w:val="18"/>
                <w:szCs w:val="18"/>
              </w:rPr>
              <w:t xml:space="preserve">捆绑数据，空间分辨率2.5m或优于2.5m </w:t>
            </w:r>
          </w:p>
        </w:tc>
      </w:tr>
      <w:tr w14:paraId="060F739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975" w:type="dxa"/>
            <w:vMerge w:val="continue"/>
            <w:vAlign w:val="center"/>
          </w:tcPr>
          <w:p w14:paraId="5214F75E">
            <w:pPr>
              <w:autoSpaceDE w:val="0"/>
              <w:autoSpaceDN w:val="0"/>
              <w:adjustRightInd w:val="0"/>
              <w:snapToGrid w:val="0"/>
              <w:jc w:val="center"/>
              <w:rPr>
                <w:rFonts w:hint="eastAsia" w:ascii="宋体" w:hAnsi="宋体" w:eastAsia="宋体"/>
                <w:sz w:val="18"/>
                <w:szCs w:val="18"/>
              </w:rPr>
            </w:pPr>
          </w:p>
        </w:tc>
        <w:tc>
          <w:tcPr>
            <w:tcW w:w="1984" w:type="dxa"/>
            <w:tcBorders>
              <w:top w:val="single" w:color="auto" w:sz="8" w:space="0"/>
              <w:bottom w:val="single" w:color="auto" w:sz="4" w:space="0"/>
            </w:tcBorders>
            <w:vAlign w:val="center"/>
          </w:tcPr>
          <w:p w14:paraId="0962BABA">
            <w:pPr>
              <w:autoSpaceDE w:val="0"/>
              <w:autoSpaceDN w:val="0"/>
              <w:adjustRightInd w:val="0"/>
              <w:snapToGrid w:val="0"/>
              <w:jc w:val="center"/>
              <w:rPr>
                <w:rFonts w:hint="eastAsia" w:ascii="宋体" w:hAnsi="宋体" w:eastAsia="宋体"/>
                <w:sz w:val="18"/>
                <w:szCs w:val="18"/>
              </w:rPr>
            </w:pPr>
            <w:r>
              <w:rPr>
                <w:rFonts w:hint="eastAsia" w:ascii="宋体" w:hAnsi="宋体" w:eastAsia="宋体"/>
                <w:sz w:val="18"/>
                <w:szCs w:val="18"/>
              </w:rPr>
              <w:t>激光扫描法</w:t>
            </w:r>
          </w:p>
        </w:tc>
        <w:tc>
          <w:tcPr>
            <w:tcW w:w="3354" w:type="dxa"/>
            <w:tcBorders>
              <w:top w:val="single" w:color="auto" w:sz="8" w:space="0"/>
              <w:bottom w:val="single" w:color="auto" w:sz="4" w:space="0"/>
            </w:tcBorders>
            <w:vAlign w:val="center"/>
          </w:tcPr>
          <w:p w14:paraId="2BA2226D">
            <w:pPr>
              <w:autoSpaceDE w:val="0"/>
              <w:autoSpaceDN w:val="0"/>
              <w:adjustRightInd w:val="0"/>
              <w:snapToGrid w:val="0"/>
              <w:jc w:val="center"/>
              <w:rPr>
                <w:rFonts w:hint="eastAsia" w:ascii="宋体" w:hAnsi="宋体" w:eastAsia="宋体"/>
                <w:sz w:val="18"/>
                <w:szCs w:val="18"/>
              </w:rPr>
            </w:pPr>
            <w:r>
              <w:rPr>
                <w:rFonts w:hint="eastAsia" w:ascii="宋体" w:hAnsi="宋体" w:eastAsia="宋体"/>
                <w:sz w:val="18"/>
                <w:szCs w:val="18"/>
              </w:rPr>
              <w:t>三维激光扫描仪</w:t>
            </w:r>
          </w:p>
        </w:tc>
      </w:tr>
      <w:tr w14:paraId="0A8772D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975" w:type="dxa"/>
            <w:vMerge w:val="continue"/>
            <w:vAlign w:val="center"/>
          </w:tcPr>
          <w:p w14:paraId="6F526F76">
            <w:pPr>
              <w:autoSpaceDE w:val="0"/>
              <w:autoSpaceDN w:val="0"/>
              <w:adjustRightInd w:val="0"/>
              <w:snapToGrid w:val="0"/>
              <w:jc w:val="center"/>
              <w:rPr>
                <w:rFonts w:hint="eastAsia" w:ascii="宋体" w:hAnsi="宋体" w:eastAsia="宋体"/>
                <w:sz w:val="18"/>
                <w:szCs w:val="18"/>
              </w:rPr>
            </w:pPr>
          </w:p>
        </w:tc>
        <w:tc>
          <w:tcPr>
            <w:tcW w:w="1984" w:type="dxa"/>
            <w:tcBorders>
              <w:top w:val="single" w:color="auto" w:sz="8" w:space="0"/>
              <w:bottom w:val="single" w:color="auto" w:sz="4" w:space="0"/>
            </w:tcBorders>
            <w:vAlign w:val="center"/>
          </w:tcPr>
          <w:p w14:paraId="488AEEE3">
            <w:pPr>
              <w:autoSpaceDE w:val="0"/>
              <w:autoSpaceDN w:val="0"/>
              <w:adjustRightInd w:val="0"/>
              <w:snapToGrid w:val="0"/>
              <w:jc w:val="center"/>
              <w:rPr>
                <w:rFonts w:hint="eastAsia" w:ascii="宋体" w:hAnsi="宋体" w:eastAsia="宋体"/>
                <w:sz w:val="18"/>
                <w:szCs w:val="18"/>
              </w:rPr>
            </w:pPr>
            <w:r>
              <w:rPr>
                <w:rFonts w:hint="eastAsia" w:ascii="宋体" w:hAnsi="宋体" w:eastAsia="宋体"/>
                <w:sz w:val="18"/>
                <w:szCs w:val="18"/>
              </w:rPr>
              <w:t>摄影、录像法</w:t>
            </w:r>
          </w:p>
        </w:tc>
        <w:tc>
          <w:tcPr>
            <w:tcW w:w="3354" w:type="dxa"/>
            <w:tcBorders>
              <w:top w:val="single" w:color="auto" w:sz="8" w:space="0"/>
              <w:bottom w:val="single" w:color="auto" w:sz="4" w:space="0"/>
            </w:tcBorders>
            <w:vAlign w:val="center"/>
          </w:tcPr>
          <w:p w14:paraId="14FB5F65">
            <w:pPr>
              <w:autoSpaceDE w:val="0"/>
              <w:autoSpaceDN w:val="0"/>
              <w:adjustRightInd w:val="0"/>
              <w:snapToGrid w:val="0"/>
              <w:jc w:val="center"/>
              <w:rPr>
                <w:rFonts w:hint="eastAsia" w:ascii="宋体" w:hAnsi="宋体" w:eastAsia="宋体"/>
                <w:sz w:val="18"/>
                <w:szCs w:val="18"/>
              </w:rPr>
            </w:pPr>
            <w:r>
              <w:rPr>
                <w:rFonts w:hint="eastAsia" w:ascii="宋体" w:hAnsi="宋体" w:eastAsia="宋体"/>
                <w:sz w:val="18"/>
                <w:szCs w:val="18"/>
              </w:rPr>
              <w:t>照相机、录像机</w:t>
            </w:r>
          </w:p>
        </w:tc>
      </w:tr>
      <w:tr w14:paraId="7435F2E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975" w:type="dxa"/>
            <w:vMerge w:val="restart"/>
            <w:tcBorders>
              <w:top w:val="single" w:color="auto" w:sz="8" w:space="0"/>
            </w:tcBorders>
            <w:vAlign w:val="center"/>
          </w:tcPr>
          <w:p w14:paraId="72711EDE">
            <w:pPr>
              <w:autoSpaceDE w:val="0"/>
              <w:autoSpaceDN w:val="0"/>
              <w:adjustRightInd w:val="0"/>
              <w:snapToGrid w:val="0"/>
              <w:jc w:val="center"/>
              <w:rPr>
                <w:rFonts w:hint="eastAsia" w:ascii="宋体" w:hAnsi="宋体" w:eastAsia="宋体"/>
                <w:sz w:val="18"/>
                <w:szCs w:val="18"/>
              </w:rPr>
            </w:pPr>
            <w:r>
              <w:rPr>
                <w:rFonts w:hint="eastAsia" w:ascii="宋体" w:hAnsi="宋体" w:eastAsia="宋体"/>
                <w:sz w:val="18"/>
                <w:szCs w:val="18"/>
              </w:rPr>
              <w:t>剥离岩土体积</w:t>
            </w:r>
          </w:p>
          <w:p w14:paraId="1910DAC4">
            <w:pPr>
              <w:autoSpaceDE w:val="0"/>
              <w:autoSpaceDN w:val="0"/>
              <w:adjustRightInd w:val="0"/>
              <w:snapToGrid w:val="0"/>
              <w:jc w:val="center"/>
              <w:rPr>
                <w:rFonts w:hint="eastAsia" w:ascii="宋体" w:hAnsi="宋体" w:eastAsia="宋体"/>
                <w:sz w:val="18"/>
                <w:szCs w:val="18"/>
              </w:rPr>
            </w:pPr>
            <w:r>
              <w:rPr>
                <w:rFonts w:hint="eastAsia" w:ascii="宋体" w:hAnsi="宋体" w:eastAsia="宋体"/>
                <w:sz w:val="18"/>
                <w:szCs w:val="18"/>
              </w:rPr>
              <w:t>危岩治理体积</w:t>
            </w:r>
          </w:p>
        </w:tc>
        <w:tc>
          <w:tcPr>
            <w:tcW w:w="1984" w:type="dxa"/>
            <w:tcBorders>
              <w:top w:val="single" w:color="auto" w:sz="8" w:space="0"/>
              <w:bottom w:val="single" w:color="auto" w:sz="4" w:space="0"/>
            </w:tcBorders>
            <w:vAlign w:val="center"/>
          </w:tcPr>
          <w:p w14:paraId="36A55F21">
            <w:pPr>
              <w:autoSpaceDE w:val="0"/>
              <w:autoSpaceDN w:val="0"/>
              <w:adjustRightInd w:val="0"/>
              <w:snapToGrid w:val="0"/>
              <w:jc w:val="center"/>
              <w:rPr>
                <w:rFonts w:hint="eastAsia" w:ascii="宋体" w:hAnsi="宋体" w:eastAsia="宋体"/>
                <w:sz w:val="18"/>
                <w:szCs w:val="18"/>
              </w:rPr>
            </w:pPr>
            <w:r>
              <w:rPr>
                <w:rFonts w:hint="eastAsia" w:ascii="宋体" w:hAnsi="宋体" w:eastAsia="宋体"/>
                <w:sz w:val="18"/>
                <w:szCs w:val="18"/>
              </w:rPr>
              <w:t>水准测量</w:t>
            </w:r>
          </w:p>
        </w:tc>
        <w:tc>
          <w:tcPr>
            <w:tcW w:w="3354" w:type="dxa"/>
            <w:tcBorders>
              <w:top w:val="single" w:color="auto" w:sz="8" w:space="0"/>
              <w:bottom w:val="single" w:color="auto" w:sz="4" w:space="0"/>
            </w:tcBorders>
            <w:vAlign w:val="center"/>
          </w:tcPr>
          <w:p w14:paraId="013F4B3C">
            <w:pPr>
              <w:autoSpaceDE w:val="0"/>
              <w:autoSpaceDN w:val="0"/>
              <w:adjustRightInd w:val="0"/>
              <w:snapToGrid w:val="0"/>
              <w:jc w:val="center"/>
              <w:rPr>
                <w:rFonts w:hint="eastAsia" w:ascii="宋体" w:hAnsi="宋体" w:eastAsia="宋体"/>
                <w:sz w:val="18"/>
                <w:szCs w:val="18"/>
              </w:rPr>
            </w:pPr>
            <w:r>
              <w:rPr>
                <w:rFonts w:hint="eastAsia" w:ascii="宋体" w:hAnsi="宋体" w:eastAsia="宋体"/>
                <w:sz w:val="18"/>
                <w:szCs w:val="18"/>
              </w:rPr>
              <w:t>水准仪、全站仪</w:t>
            </w:r>
          </w:p>
        </w:tc>
      </w:tr>
      <w:tr w14:paraId="1C6930D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975" w:type="dxa"/>
            <w:vMerge w:val="continue"/>
            <w:vAlign w:val="center"/>
          </w:tcPr>
          <w:p w14:paraId="54B41A93">
            <w:pPr>
              <w:autoSpaceDE w:val="0"/>
              <w:autoSpaceDN w:val="0"/>
              <w:adjustRightInd w:val="0"/>
              <w:snapToGrid w:val="0"/>
              <w:jc w:val="center"/>
              <w:rPr>
                <w:rFonts w:hint="eastAsia" w:ascii="宋体" w:hAnsi="宋体" w:eastAsia="宋体"/>
                <w:sz w:val="18"/>
                <w:szCs w:val="18"/>
              </w:rPr>
            </w:pPr>
          </w:p>
        </w:tc>
        <w:tc>
          <w:tcPr>
            <w:tcW w:w="1984" w:type="dxa"/>
            <w:tcBorders>
              <w:top w:val="single" w:color="auto" w:sz="4" w:space="0"/>
              <w:bottom w:val="single" w:color="auto" w:sz="4" w:space="0"/>
            </w:tcBorders>
            <w:vAlign w:val="center"/>
          </w:tcPr>
          <w:p w14:paraId="1C6C67A0">
            <w:pPr>
              <w:autoSpaceDE w:val="0"/>
              <w:autoSpaceDN w:val="0"/>
              <w:adjustRightInd w:val="0"/>
              <w:snapToGrid w:val="0"/>
              <w:jc w:val="center"/>
              <w:rPr>
                <w:rFonts w:hint="eastAsia" w:ascii="宋体" w:hAnsi="宋体" w:eastAsia="宋体"/>
                <w:sz w:val="18"/>
                <w:szCs w:val="18"/>
              </w:rPr>
            </w:pPr>
            <w:r>
              <w:rPr>
                <w:rFonts w:hint="eastAsia" w:ascii="宋体" w:hAnsi="宋体" w:eastAsia="宋体"/>
                <w:sz w:val="18"/>
                <w:szCs w:val="18"/>
              </w:rPr>
              <w:t>GNSS定位法</w:t>
            </w:r>
          </w:p>
        </w:tc>
        <w:tc>
          <w:tcPr>
            <w:tcW w:w="3354" w:type="dxa"/>
            <w:tcBorders>
              <w:top w:val="single" w:color="auto" w:sz="4" w:space="0"/>
              <w:bottom w:val="single" w:color="auto" w:sz="4" w:space="0"/>
            </w:tcBorders>
            <w:vAlign w:val="center"/>
          </w:tcPr>
          <w:p w14:paraId="05D02006">
            <w:pPr>
              <w:autoSpaceDE w:val="0"/>
              <w:autoSpaceDN w:val="0"/>
              <w:adjustRightInd w:val="0"/>
              <w:snapToGrid w:val="0"/>
              <w:jc w:val="center"/>
              <w:rPr>
                <w:rFonts w:hint="eastAsia" w:ascii="宋体" w:hAnsi="宋体" w:eastAsia="宋体"/>
                <w:sz w:val="18"/>
                <w:szCs w:val="18"/>
              </w:rPr>
            </w:pPr>
            <w:r>
              <w:rPr>
                <w:rFonts w:hint="eastAsia" w:ascii="宋体" w:hAnsi="宋体" w:eastAsia="宋体"/>
                <w:sz w:val="18"/>
                <w:szCs w:val="18"/>
              </w:rPr>
              <w:t>GNSS定位系统</w:t>
            </w:r>
          </w:p>
        </w:tc>
      </w:tr>
      <w:tr w14:paraId="634BB35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975" w:type="dxa"/>
            <w:vMerge w:val="continue"/>
            <w:vAlign w:val="center"/>
          </w:tcPr>
          <w:p w14:paraId="0A8282F8">
            <w:pPr>
              <w:autoSpaceDE w:val="0"/>
              <w:autoSpaceDN w:val="0"/>
              <w:adjustRightInd w:val="0"/>
              <w:snapToGrid w:val="0"/>
              <w:jc w:val="center"/>
              <w:rPr>
                <w:rFonts w:hint="eastAsia" w:ascii="宋体" w:hAnsi="宋体" w:eastAsia="宋体"/>
                <w:sz w:val="18"/>
                <w:szCs w:val="18"/>
              </w:rPr>
            </w:pPr>
          </w:p>
        </w:tc>
        <w:tc>
          <w:tcPr>
            <w:tcW w:w="1984" w:type="dxa"/>
            <w:tcBorders>
              <w:top w:val="single" w:color="auto" w:sz="4" w:space="0"/>
              <w:bottom w:val="single" w:color="auto" w:sz="4" w:space="0"/>
            </w:tcBorders>
            <w:vAlign w:val="center"/>
          </w:tcPr>
          <w:p w14:paraId="4BE70AAE">
            <w:pPr>
              <w:autoSpaceDE w:val="0"/>
              <w:autoSpaceDN w:val="0"/>
              <w:adjustRightInd w:val="0"/>
              <w:snapToGrid w:val="0"/>
              <w:jc w:val="center"/>
              <w:rPr>
                <w:rFonts w:hint="eastAsia" w:ascii="宋体" w:hAnsi="宋体" w:eastAsia="宋体"/>
                <w:sz w:val="18"/>
                <w:szCs w:val="18"/>
              </w:rPr>
            </w:pPr>
            <w:r>
              <w:rPr>
                <w:rFonts w:hint="eastAsia" w:ascii="宋体" w:hAnsi="宋体" w:eastAsia="宋体"/>
                <w:sz w:val="18"/>
                <w:szCs w:val="18"/>
              </w:rPr>
              <w:t>激光扫描法</w:t>
            </w:r>
          </w:p>
        </w:tc>
        <w:tc>
          <w:tcPr>
            <w:tcW w:w="3354" w:type="dxa"/>
            <w:tcBorders>
              <w:top w:val="single" w:color="auto" w:sz="4" w:space="0"/>
              <w:bottom w:val="single" w:color="auto" w:sz="4" w:space="0"/>
            </w:tcBorders>
            <w:vAlign w:val="center"/>
          </w:tcPr>
          <w:p w14:paraId="7991A3F4">
            <w:pPr>
              <w:autoSpaceDE w:val="0"/>
              <w:autoSpaceDN w:val="0"/>
              <w:adjustRightInd w:val="0"/>
              <w:snapToGrid w:val="0"/>
              <w:jc w:val="center"/>
              <w:rPr>
                <w:rFonts w:hint="eastAsia" w:ascii="宋体" w:hAnsi="宋体" w:eastAsia="宋体"/>
                <w:sz w:val="18"/>
                <w:szCs w:val="18"/>
              </w:rPr>
            </w:pPr>
            <w:r>
              <w:rPr>
                <w:rFonts w:hint="eastAsia" w:ascii="宋体" w:hAnsi="宋体" w:eastAsia="宋体"/>
                <w:sz w:val="18"/>
                <w:szCs w:val="18"/>
              </w:rPr>
              <w:t>三维激光扫描仪</w:t>
            </w:r>
          </w:p>
        </w:tc>
      </w:tr>
      <w:tr w14:paraId="40C02B2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975" w:type="dxa"/>
            <w:vMerge w:val="continue"/>
            <w:tcBorders>
              <w:bottom w:val="single" w:color="auto" w:sz="8" w:space="0"/>
            </w:tcBorders>
            <w:vAlign w:val="center"/>
          </w:tcPr>
          <w:p w14:paraId="6A2ADEA6">
            <w:pPr>
              <w:autoSpaceDE w:val="0"/>
              <w:autoSpaceDN w:val="0"/>
              <w:adjustRightInd w:val="0"/>
              <w:snapToGrid w:val="0"/>
              <w:jc w:val="center"/>
              <w:rPr>
                <w:rFonts w:hint="eastAsia" w:ascii="宋体" w:hAnsi="宋体" w:eastAsia="宋体"/>
                <w:sz w:val="18"/>
                <w:szCs w:val="18"/>
              </w:rPr>
            </w:pPr>
          </w:p>
        </w:tc>
        <w:tc>
          <w:tcPr>
            <w:tcW w:w="1984" w:type="dxa"/>
            <w:tcBorders>
              <w:top w:val="single" w:color="auto" w:sz="4" w:space="0"/>
              <w:bottom w:val="single" w:color="auto" w:sz="8" w:space="0"/>
            </w:tcBorders>
            <w:vAlign w:val="center"/>
          </w:tcPr>
          <w:p w14:paraId="09AC774D">
            <w:pPr>
              <w:autoSpaceDE w:val="0"/>
              <w:autoSpaceDN w:val="0"/>
              <w:adjustRightInd w:val="0"/>
              <w:snapToGrid w:val="0"/>
              <w:jc w:val="center"/>
              <w:rPr>
                <w:rFonts w:hint="eastAsia" w:ascii="宋体" w:hAnsi="宋体" w:eastAsia="宋体"/>
                <w:sz w:val="18"/>
                <w:szCs w:val="18"/>
              </w:rPr>
            </w:pPr>
            <w:r>
              <w:rPr>
                <w:rFonts w:hint="eastAsia" w:ascii="宋体" w:hAnsi="宋体" w:eastAsia="宋体"/>
                <w:sz w:val="18"/>
                <w:szCs w:val="18"/>
              </w:rPr>
              <w:t>摄影、摄像法</w:t>
            </w:r>
          </w:p>
        </w:tc>
        <w:tc>
          <w:tcPr>
            <w:tcW w:w="3354" w:type="dxa"/>
            <w:tcBorders>
              <w:top w:val="single" w:color="auto" w:sz="4" w:space="0"/>
              <w:bottom w:val="single" w:color="auto" w:sz="8" w:space="0"/>
            </w:tcBorders>
            <w:vAlign w:val="center"/>
          </w:tcPr>
          <w:p w14:paraId="38697527">
            <w:pPr>
              <w:autoSpaceDE w:val="0"/>
              <w:autoSpaceDN w:val="0"/>
              <w:adjustRightInd w:val="0"/>
              <w:snapToGrid w:val="0"/>
              <w:jc w:val="center"/>
              <w:rPr>
                <w:rFonts w:hint="eastAsia" w:ascii="宋体" w:hAnsi="宋体" w:eastAsia="宋体"/>
                <w:sz w:val="18"/>
                <w:szCs w:val="18"/>
              </w:rPr>
            </w:pPr>
            <w:r>
              <w:rPr>
                <w:rFonts w:hint="eastAsia" w:ascii="宋体" w:hAnsi="宋体" w:eastAsia="宋体"/>
                <w:sz w:val="18"/>
                <w:szCs w:val="18"/>
              </w:rPr>
              <w:t>照相机、录像机</w:t>
            </w:r>
          </w:p>
        </w:tc>
      </w:tr>
      <w:bookmarkEnd w:id="253"/>
    </w:tbl>
    <w:p w14:paraId="5194195A">
      <w:pPr>
        <w:pStyle w:val="41"/>
      </w:pPr>
      <w:bookmarkStart w:id="256" w:name="_Toc399488852"/>
      <w:bookmarkStart w:id="257" w:name="_Toc405558486"/>
      <w:bookmarkStart w:id="258" w:name="_Toc225205382"/>
      <w:bookmarkStart w:id="259" w:name="_Toc405556274"/>
      <w:r>
        <w:rPr>
          <w:rFonts w:hint="eastAsia"/>
        </w:rPr>
        <w:t>9</w:t>
      </w:r>
      <w:r>
        <w:t>.</w:t>
      </w:r>
      <w:r>
        <w:rPr>
          <w:rFonts w:hint="eastAsia"/>
        </w:rPr>
        <w:t>3</w:t>
      </w:r>
      <w:r>
        <w:t xml:space="preserve"> </w:t>
      </w:r>
      <w:r>
        <w:rPr>
          <w:rFonts w:hint="eastAsia"/>
        </w:rPr>
        <w:t>监测频率</w:t>
      </w:r>
      <w:bookmarkEnd w:id="256"/>
      <w:bookmarkEnd w:id="257"/>
      <w:bookmarkEnd w:id="258"/>
      <w:bookmarkEnd w:id="259"/>
    </w:p>
    <w:p w14:paraId="399D82FD">
      <w:pPr>
        <w:pStyle w:val="41"/>
      </w:pPr>
      <w:bookmarkStart w:id="260" w:name="_Toc101791513"/>
      <w:bookmarkStart w:id="261" w:name="_Toc225205383"/>
      <w:bookmarkStart w:id="262" w:name="_Toc218656415"/>
      <w:r>
        <w:rPr>
          <w:rFonts w:hint="eastAsia"/>
        </w:rPr>
        <w:t>9</w:t>
      </w:r>
      <w:r>
        <w:t>.</w:t>
      </w:r>
      <w:r>
        <w:rPr>
          <w:rFonts w:hint="eastAsia"/>
        </w:rPr>
        <w:t>3</w:t>
      </w:r>
      <w:r>
        <w:t xml:space="preserve">.1 </w:t>
      </w:r>
      <w:r>
        <w:rPr>
          <w:rFonts w:hint="eastAsia"/>
        </w:rPr>
        <w:t>年度监测</w:t>
      </w:r>
      <w:bookmarkEnd w:id="260"/>
      <w:bookmarkEnd w:id="261"/>
      <w:bookmarkEnd w:id="262"/>
    </w:p>
    <w:p w14:paraId="6AB6EFF6">
      <w:pPr>
        <w:pStyle w:val="54"/>
        <w:numPr>
          <w:ilvl w:val="0"/>
          <w:numId w:val="14"/>
        </w:numPr>
        <w:ind w:left="0" w:firstLine="0"/>
      </w:pPr>
      <w:bookmarkStart w:id="263" w:name="_Toc338490477"/>
      <w:r>
        <w:rPr>
          <w:rFonts w:hint="eastAsia"/>
        </w:rPr>
        <w:t>地表水、地下水和土壤控制性采样检测一般每年2次，枯、丰水期各一次。</w:t>
      </w:r>
    </w:p>
    <w:p w14:paraId="07209839">
      <w:pPr>
        <w:pStyle w:val="54"/>
        <w:numPr>
          <w:ilvl w:val="0"/>
          <w:numId w:val="14"/>
        </w:numPr>
        <w:ind w:left="0" w:firstLine="0"/>
      </w:pPr>
      <w:r>
        <w:rPr>
          <w:rFonts w:hint="eastAsia"/>
        </w:rPr>
        <w:t>植被覆盖度和成分控制性采样检测一般每年1次，应选择在7-9月份，当地特征作物类植物物种选择在成熟季。</w:t>
      </w:r>
    </w:p>
    <w:p w14:paraId="087C6CBF">
      <w:pPr>
        <w:pStyle w:val="54"/>
        <w:numPr>
          <w:ilvl w:val="0"/>
          <w:numId w:val="14"/>
        </w:numPr>
        <w:ind w:left="0" w:firstLine="0"/>
      </w:pPr>
      <w:r>
        <w:rPr>
          <w:rFonts w:hint="eastAsia"/>
        </w:rPr>
        <w:t>遥感监测地形地貌景观破坏和生态修复状况，每年采集数据</w:t>
      </w:r>
      <w:r>
        <w:t>1</w:t>
      </w:r>
      <w:r>
        <w:rPr>
          <w:rFonts w:hint="eastAsia"/>
        </w:rPr>
        <w:t>次，选择在6</w:t>
      </w:r>
      <w:r>
        <w:t>-9</w:t>
      </w:r>
      <w:r>
        <w:rPr>
          <w:rFonts w:hint="eastAsia"/>
        </w:rPr>
        <w:t>月。</w:t>
      </w:r>
    </w:p>
    <w:bookmarkEnd w:id="263"/>
    <w:p w14:paraId="28648B0B">
      <w:pPr>
        <w:pStyle w:val="41"/>
      </w:pPr>
      <w:bookmarkStart w:id="264" w:name="_Toc218656416"/>
      <w:bookmarkStart w:id="265" w:name="_Toc101791514"/>
      <w:bookmarkStart w:id="266" w:name="_Toc225205384"/>
      <w:r>
        <w:rPr>
          <w:rFonts w:hint="eastAsia"/>
        </w:rPr>
        <w:t>9</w:t>
      </w:r>
      <w:r>
        <w:t>.</w:t>
      </w:r>
      <w:r>
        <w:rPr>
          <w:rFonts w:hint="eastAsia"/>
        </w:rPr>
        <w:t>3</w:t>
      </w:r>
      <w:r>
        <w:t xml:space="preserve">.2  </w:t>
      </w:r>
      <w:r>
        <w:rPr>
          <w:rFonts w:hint="eastAsia"/>
        </w:rPr>
        <w:t>月度监测</w:t>
      </w:r>
      <w:bookmarkEnd w:id="264"/>
      <w:bookmarkEnd w:id="265"/>
      <w:bookmarkEnd w:id="266"/>
    </w:p>
    <w:p w14:paraId="3436EC8E">
      <w:pPr>
        <w:pStyle w:val="54"/>
        <w:numPr>
          <w:ilvl w:val="0"/>
          <w:numId w:val="15"/>
        </w:numPr>
        <w:ind w:left="0" w:firstLine="0"/>
      </w:pPr>
      <w:r>
        <w:rPr>
          <w:rFonts w:hint="eastAsia"/>
        </w:rPr>
        <w:t>在确定存在污染质分布的原地浸矿区注收液系统周边及下游等监测地表水质和地下水质，每月采集监测1次。</w:t>
      </w:r>
    </w:p>
    <w:p w14:paraId="3A1DC8F8">
      <w:pPr>
        <w:pStyle w:val="54"/>
        <w:numPr>
          <w:ilvl w:val="0"/>
          <w:numId w:val="15"/>
        </w:numPr>
        <w:ind w:left="0" w:firstLine="0"/>
      </w:pPr>
      <w:r>
        <w:rPr>
          <w:rFonts w:hint="eastAsia"/>
        </w:rPr>
        <w:t>在确定存在污染质分布的淋滤水流经处等区域监测土壤成分，每2月采集检测1次。</w:t>
      </w:r>
    </w:p>
    <w:p w14:paraId="23B3B394">
      <w:pPr>
        <w:pStyle w:val="54"/>
        <w:numPr>
          <w:ilvl w:val="0"/>
          <w:numId w:val="15"/>
        </w:numPr>
        <w:ind w:left="0" w:firstLine="0"/>
      </w:pPr>
      <w:r>
        <w:rPr>
          <w:rFonts w:hint="eastAsia"/>
        </w:rPr>
        <w:t>监测复绿植被长势、盖度，夏季应每月监测2次，春季和秋季应每月监测1次，植被污染采样检测每2月1次。</w:t>
      </w:r>
    </w:p>
    <w:p w14:paraId="3FFCF44E">
      <w:pPr>
        <w:pStyle w:val="54"/>
        <w:numPr>
          <w:ilvl w:val="0"/>
          <w:numId w:val="15"/>
        </w:numPr>
        <w:ind w:left="0" w:firstLine="0"/>
      </w:pPr>
      <w:r>
        <w:rPr>
          <w:rFonts w:hint="eastAsia"/>
        </w:rPr>
        <w:t>监测矿山生态修复工程进展、质量，每月1次。</w:t>
      </w:r>
    </w:p>
    <w:p w14:paraId="66352F5F">
      <w:pPr>
        <w:pStyle w:val="41"/>
      </w:pPr>
      <w:bookmarkStart w:id="267" w:name="_Toc218656417"/>
      <w:bookmarkStart w:id="268" w:name="_Toc225205385"/>
      <w:bookmarkStart w:id="269" w:name="_Toc101791515"/>
      <w:r>
        <w:rPr>
          <w:rFonts w:hint="eastAsia"/>
        </w:rPr>
        <w:t>9</w:t>
      </w:r>
      <w:r>
        <w:t>.</w:t>
      </w:r>
      <w:r>
        <w:rPr>
          <w:rFonts w:hint="eastAsia"/>
        </w:rPr>
        <w:t>3</w:t>
      </w:r>
      <w:r>
        <w:t xml:space="preserve">.3  </w:t>
      </w:r>
      <w:r>
        <w:rPr>
          <w:rFonts w:hint="eastAsia"/>
        </w:rPr>
        <w:t>实时监测</w:t>
      </w:r>
      <w:bookmarkEnd w:id="267"/>
      <w:bookmarkEnd w:id="268"/>
      <w:bookmarkEnd w:id="269"/>
    </w:p>
    <w:p w14:paraId="216743F4">
      <w:pPr>
        <w:pStyle w:val="54"/>
        <w:numPr>
          <w:ilvl w:val="0"/>
          <w:numId w:val="16"/>
        </w:numPr>
        <w:ind w:left="0" w:firstLine="0"/>
      </w:pPr>
      <w:r>
        <w:rPr>
          <w:rFonts w:hint="eastAsia"/>
        </w:rPr>
        <w:t>采用自动监测仪监测地下水水质、地表水水质，可设定为每天检测</w:t>
      </w:r>
      <w:r>
        <w:t>2</w:t>
      </w:r>
      <w:r>
        <w:rPr>
          <w:rFonts w:hint="eastAsia"/>
        </w:rPr>
        <w:t>-</w:t>
      </w:r>
      <w:r>
        <w:t>5</w:t>
      </w:r>
      <w:r>
        <w:rPr>
          <w:rFonts w:hint="eastAsia"/>
        </w:rPr>
        <w:t>次。</w:t>
      </w:r>
    </w:p>
    <w:p w14:paraId="11A6A576">
      <w:pPr>
        <w:pStyle w:val="54"/>
        <w:numPr>
          <w:ilvl w:val="0"/>
          <w:numId w:val="16"/>
        </w:numPr>
        <w:ind w:left="0" w:firstLine="0"/>
      </w:pPr>
      <w:r>
        <w:rPr>
          <w:rFonts w:hint="eastAsia"/>
        </w:rPr>
        <w:t>采用自动监测仪监测土壤含水率、降雨量，可设定为每天</w:t>
      </w:r>
      <w:r>
        <w:t>3-10</w:t>
      </w:r>
      <w:r>
        <w:rPr>
          <w:rFonts w:hint="eastAsia"/>
        </w:rPr>
        <w:t>次。</w:t>
      </w:r>
    </w:p>
    <w:p w14:paraId="41264DB9">
      <w:pPr>
        <w:pStyle w:val="54"/>
        <w:numPr>
          <w:ilvl w:val="0"/>
          <w:numId w:val="16"/>
        </w:numPr>
        <w:ind w:left="0" w:firstLine="0"/>
      </w:pPr>
      <w:r>
        <w:rPr>
          <w:rFonts w:hint="eastAsia"/>
        </w:rPr>
        <w:t>采用GNSS自动监测边坡形变，可设定为每天6-12次。</w:t>
      </w:r>
    </w:p>
    <w:p w14:paraId="75809256">
      <w:pPr>
        <w:pStyle w:val="54"/>
        <w:numPr>
          <w:ilvl w:val="0"/>
          <w:numId w:val="16"/>
        </w:numPr>
        <w:ind w:left="0" w:firstLine="0"/>
      </w:pPr>
      <w:r>
        <w:rPr>
          <w:rFonts w:hint="eastAsia"/>
        </w:rPr>
        <w:t>监测指标动态出现异常变化时，可提高监测频率或增加监测点密度。监测指标数值半年以上无变化或变幅特小时，可适当降低监测频率或监测点密度。</w:t>
      </w:r>
    </w:p>
    <w:p w14:paraId="7772F745">
      <w:pPr>
        <w:pStyle w:val="42"/>
        <w:numPr>
          <w:ilvl w:val="0"/>
          <w:numId w:val="8"/>
        </w:numPr>
        <w:ind w:left="0" w:firstLine="0"/>
      </w:pPr>
      <w:bookmarkStart w:id="270" w:name="_Toc225205386"/>
      <w:r>
        <w:rPr>
          <w:rFonts w:hint="eastAsia"/>
        </w:rPr>
        <w:t>数据处理与分析</w:t>
      </w:r>
      <w:bookmarkEnd w:id="270"/>
    </w:p>
    <w:p w14:paraId="108500AA">
      <w:pPr>
        <w:pStyle w:val="21"/>
        <w:widowControl/>
        <w:numPr>
          <w:ilvl w:val="0"/>
          <w:numId w:val="17"/>
        </w:numPr>
        <w:spacing w:before="312" w:beforeLines="100" w:after="312" w:afterLines="100"/>
        <w:ind w:firstLineChars="0"/>
        <w:outlineLvl w:val="1"/>
        <w:rPr>
          <w:rFonts w:ascii="黑体" w:hAnsi="Times New Roman" w:eastAsia="黑体" w:cs="Times New Roman"/>
          <w:vanish/>
          <w:kern w:val="0"/>
          <w:szCs w:val="20"/>
        </w:rPr>
      </w:pPr>
      <w:bookmarkStart w:id="271" w:name="_Toc104298575"/>
      <w:bookmarkEnd w:id="271"/>
      <w:bookmarkStart w:id="272" w:name="_Toc152342207"/>
      <w:bookmarkEnd w:id="272"/>
      <w:bookmarkStart w:id="273" w:name="_Toc218656420"/>
      <w:bookmarkEnd w:id="273"/>
      <w:bookmarkStart w:id="274" w:name="_Toc104327325"/>
      <w:bookmarkEnd w:id="274"/>
      <w:bookmarkStart w:id="275" w:name="_Toc225205387"/>
      <w:bookmarkEnd w:id="275"/>
      <w:bookmarkStart w:id="276" w:name="_Toc204389152"/>
      <w:bookmarkEnd w:id="276"/>
      <w:bookmarkStart w:id="277" w:name="_Toc405556290"/>
      <w:bookmarkStart w:id="278" w:name="_Toc405558502"/>
      <w:bookmarkStart w:id="279" w:name="_Toc399488868"/>
    </w:p>
    <w:p w14:paraId="59773121">
      <w:pPr>
        <w:pStyle w:val="21"/>
        <w:widowControl/>
        <w:numPr>
          <w:ilvl w:val="0"/>
          <w:numId w:val="17"/>
        </w:numPr>
        <w:spacing w:before="312" w:beforeLines="100" w:after="312" w:afterLines="100"/>
        <w:ind w:firstLineChars="0"/>
        <w:outlineLvl w:val="1"/>
        <w:rPr>
          <w:rFonts w:ascii="黑体" w:hAnsi="Times New Roman" w:eastAsia="黑体" w:cs="Times New Roman"/>
          <w:vanish/>
          <w:kern w:val="0"/>
          <w:szCs w:val="20"/>
        </w:rPr>
      </w:pPr>
      <w:bookmarkStart w:id="280" w:name="_Toc218656421"/>
      <w:bookmarkEnd w:id="280"/>
      <w:bookmarkStart w:id="281" w:name="_Toc104298576"/>
      <w:bookmarkEnd w:id="281"/>
      <w:bookmarkStart w:id="282" w:name="_Toc152342208"/>
      <w:bookmarkEnd w:id="282"/>
      <w:bookmarkStart w:id="283" w:name="_Toc225205388"/>
      <w:bookmarkEnd w:id="283"/>
      <w:bookmarkStart w:id="284" w:name="_Toc104327326"/>
      <w:bookmarkEnd w:id="284"/>
      <w:bookmarkStart w:id="285" w:name="_Toc204389153"/>
      <w:bookmarkEnd w:id="285"/>
    </w:p>
    <w:p w14:paraId="4CA4A1BE">
      <w:pPr>
        <w:pStyle w:val="41"/>
      </w:pPr>
      <w:bookmarkStart w:id="286" w:name="_Toc225205389"/>
      <w:r>
        <w:rPr>
          <w:rFonts w:hint="eastAsia"/>
        </w:rPr>
        <w:t>1</w:t>
      </w:r>
      <w:r>
        <w:t xml:space="preserve">0.1 </w:t>
      </w:r>
      <w:r>
        <w:rPr>
          <w:rFonts w:hint="eastAsia"/>
        </w:rPr>
        <w:t>数据采集</w:t>
      </w:r>
      <w:bookmarkEnd w:id="277"/>
      <w:bookmarkEnd w:id="278"/>
      <w:bookmarkEnd w:id="279"/>
      <w:bookmarkEnd w:id="286"/>
    </w:p>
    <w:p w14:paraId="62DDDF4C">
      <w:pPr>
        <w:pStyle w:val="57"/>
        <w:numPr>
          <w:ilvl w:val="2"/>
          <w:numId w:val="18"/>
        </w:numPr>
      </w:pPr>
      <w:r>
        <w:rPr>
          <w:rFonts w:hint="eastAsia"/>
        </w:rPr>
        <w:t>现场测量、记录和检查至少应由</w:t>
      </w:r>
      <w:r>
        <w:t>2</w:t>
      </w:r>
      <w:r>
        <w:rPr>
          <w:rFonts w:hint="eastAsia"/>
        </w:rPr>
        <w:t>人完成。手动测量时应提前检查测量工具是否完好并做好校正，2次测量误差小于1mm方可记录。采用仪器测量时，应严格按照说明书要求操作，保障视野通畅，环境温度、磁场干扰等满足仪器正常工作，待数值稳定30秒后方可记录。</w:t>
      </w:r>
    </w:p>
    <w:p w14:paraId="74CC4850">
      <w:pPr>
        <w:pStyle w:val="57"/>
        <w:numPr>
          <w:ilvl w:val="2"/>
          <w:numId w:val="18"/>
        </w:numPr>
      </w:pPr>
      <w:r>
        <w:rPr>
          <w:rFonts w:hint="eastAsia"/>
        </w:rPr>
        <w:t>自动采集监测数据时，应掌握自动采集仪器工作原理，清楚采集数据类型及数据转化关系，并了解安装地点的温度、湿度、地磁、高程等因素对采集数据精度的影响。应根据工作需求，合理设定数据采集频率。当自动采集的数据波动过大或出现异常时，应及时排查原因，做好记录。</w:t>
      </w:r>
    </w:p>
    <w:p w14:paraId="5BFF1FDE">
      <w:pPr>
        <w:pStyle w:val="57"/>
        <w:numPr>
          <w:ilvl w:val="2"/>
          <w:numId w:val="18"/>
        </w:numPr>
      </w:pPr>
      <w:r>
        <w:rPr>
          <w:rFonts w:hint="eastAsia"/>
        </w:rPr>
        <w:t>自动传输监测数据时，应保障电力供应和信号发射，避免工作环境温度过高或者过低、湿度过大、磁干扰过强等因素影响数据传输。有线传输应保障线路通畅，无线传输应保障网络环境。</w:t>
      </w:r>
    </w:p>
    <w:p w14:paraId="65767CC2">
      <w:pPr>
        <w:pStyle w:val="57"/>
        <w:numPr>
          <w:ilvl w:val="2"/>
          <w:numId w:val="18"/>
        </w:numPr>
      </w:pPr>
      <w:r>
        <w:rPr>
          <w:rFonts w:hint="eastAsia"/>
        </w:rPr>
        <w:t>采集地下水样品时，应在充分抽汲后进行。采集地表水和地下水样品时应用采样水清洗采样器和水样容器2次～3次。水样容器应密封，做好标记，运输时谨防倾倒和挤压。</w:t>
      </w:r>
    </w:p>
    <w:p w14:paraId="0D9D1B03">
      <w:pPr>
        <w:pStyle w:val="57"/>
        <w:numPr>
          <w:ilvl w:val="2"/>
          <w:numId w:val="18"/>
        </w:numPr>
      </w:pPr>
      <w:r>
        <w:rPr>
          <w:rFonts w:hint="eastAsia"/>
        </w:rPr>
        <w:t>采集土壤样品时，应避免采用金属器具。样品标注应清晰，避免运输时浸染。</w:t>
      </w:r>
    </w:p>
    <w:p w14:paraId="5F21F138">
      <w:pPr>
        <w:pStyle w:val="41"/>
        <w:numPr>
          <w:ilvl w:val="1"/>
          <w:numId w:val="19"/>
        </w:numPr>
      </w:pPr>
      <w:bookmarkStart w:id="287" w:name="_Toc399488869"/>
      <w:bookmarkStart w:id="288" w:name="_Toc405556291"/>
      <w:bookmarkStart w:id="289" w:name="_Toc405558503"/>
      <w:r>
        <w:t xml:space="preserve"> </w:t>
      </w:r>
      <w:bookmarkStart w:id="290" w:name="_Toc225205390"/>
      <w:r>
        <w:rPr>
          <w:rFonts w:hint="eastAsia"/>
        </w:rPr>
        <w:t>数据记录</w:t>
      </w:r>
      <w:bookmarkEnd w:id="287"/>
      <w:bookmarkEnd w:id="288"/>
      <w:bookmarkEnd w:id="289"/>
      <w:bookmarkEnd w:id="290"/>
    </w:p>
    <w:p w14:paraId="342FD4D9">
      <w:pPr>
        <w:pStyle w:val="57"/>
        <w:numPr>
          <w:ilvl w:val="2"/>
          <w:numId w:val="20"/>
        </w:numPr>
      </w:pPr>
      <w:r>
        <w:rPr>
          <w:rFonts w:hint="eastAsia"/>
        </w:rPr>
        <w:t>原始测量数值和记录事项均要在现场直接记录于电子记录系统或人工记录手簿。</w:t>
      </w:r>
    </w:p>
    <w:p w14:paraId="2A056B11">
      <w:pPr>
        <w:pStyle w:val="57"/>
        <w:numPr>
          <w:ilvl w:val="2"/>
          <w:numId w:val="20"/>
        </w:numPr>
      </w:pPr>
      <w:r>
        <w:rPr>
          <w:rFonts w:hint="eastAsia"/>
        </w:rPr>
        <w:t>人工手簿中任何原始记录均不应任意涂改。如出现记录错误，应以单线划去，在其上方写出正确的数字与文字，并注明原因。作废的测量数据应以单线划去，重测记录需加注“重测”二字，并注明原作废数据记录于何处。</w:t>
      </w:r>
    </w:p>
    <w:p w14:paraId="2CE923AC">
      <w:pPr>
        <w:pStyle w:val="57"/>
        <w:numPr>
          <w:ilvl w:val="2"/>
          <w:numId w:val="20"/>
        </w:numPr>
      </w:pPr>
      <w:r>
        <w:rPr>
          <w:rFonts w:hint="eastAsia"/>
        </w:rPr>
        <w:t>电子记录系统中所有原始记录在首次录入确定后不应擅自修改，如检查确定存在错误数据只能标注显示错误，并注明错误原因。重测数据另建档录入，应标注原始记录存档位置。</w:t>
      </w:r>
    </w:p>
    <w:p w14:paraId="070A55AE">
      <w:pPr>
        <w:pStyle w:val="41"/>
      </w:pPr>
      <w:bookmarkStart w:id="291" w:name="_Toc359596156"/>
      <w:bookmarkStart w:id="292" w:name="_Toc353367032"/>
      <w:bookmarkStart w:id="293" w:name="_Toc405558505"/>
      <w:bookmarkStart w:id="294" w:name="_Toc405556293"/>
      <w:bookmarkStart w:id="295" w:name="_Toc399488871"/>
      <w:bookmarkStart w:id="296" w:name="_Toc225205391"/>
      <w:bookmarkStart w:id="297" w:name="_Toc338490651"/>
      <w:bookmarkStart w:id="298" w:name="_Toc322698953"/>
      <w:bookmarkStart w:id="299" w:name="_Toc338490560"/>
      <w:bookmarkStart w:id="300" w:name="_Toc288050995"/>
      <w:r>
        <w:rPr>
          <w:rFonts w:hint="eastAsia"/>
        </w:rPr>
        <w:t>1</w:t>
      </w:r>
      <w:r>
        <w:t xml:space="preserve">0.3 </w:t>
      </w:r>
      <w:r>
        <w:rPr>
          <w:rFonts w:hint="eastAsia"/>
        </w:rPr>
        <w:t>数据预处理</w:t>
      </w:r>
      <w:bookmarkEnd w:id="291"/>
      <w:bookmarkEnd w:id="292"/>
      <w:bookmarkEnd w:id="293"/>
      <w:bookmarkEnd w:id="294"/>
      <w:bookmarkEnd w:id="295"/>
      <w:bookmarkEnd w:id="296"/>
      <w:bookmarkEnd w:id="297"/>
      <w:bookmarkEnd w:id="298"/>
      <w:bookmarkEnd w:id="299"/>
      <w:bookmarkEnd w:id="300"/>
      <w:bookmarkStart w:id="301" w:name="_Toc288050996"/>
    </w:p>
    <w:p w14:paraId="32859FAC">
      <w:pPr>
        <w:pStyle w:val="54"/>
        <w:rPr>
          <w:szCs w:val="21"/>
        </w:rPr>
      </w:pPr>
      <w:bookmarkStart w:id="302" w:name="_Toc342398456"/>
      <w:bookmarkStart w:id="303" w:name="_Toc338490561"/>
      <w:bookmarkStart w:id="304" w:name="_Toc322698954"/>
      <w:r>
        <w:rPr>
          <w:rFonts w:hint="eastAsia"/>
        </w:rPr>
        <w:t>1</w:t>
      </w:r>
      <w:r>
        <w:t xml:space="preserve">0.3.1  </w:t>
      </w:r>
      <w:r>
        <w:rPr>
          <w:rFonts w:hint="eastAsia"/>
          <w:szCs w:val="21"/>
        </w:rPr>
        <w:t>监测数据采集后，应对监测数据进行预处理，减小系统误差、随机误差和</w:t>
      </w:r>
      <w:bookmarkEnd w:id="302"/>
      <w:bookmarkEnd w:id="303"/>
      <w:bookmarkStart w:id="305" w:name="_Toc342398457"/>
      <w:r>
        <w:rPr>
          <w:rFonts w:hint="eastAsia"/>
          <w:szCs w:val="21"/>
        </w:rPr>
        <w:t>其它原因造成的监测数据失真对分析、评价结果的影响。</w:t>
      </w:r>
      <w:bookmarkEnd w:id="304"/>
      <w:bookmarkEnd w:id="305"/>
    </w:p>
    <w:p w14:paraId="4B4B4A72">
      <w:pPr>
        <w:pStyle w:val="54"/>
      </w:pPr>
      <w:bookmarkStart w:id="306" w:name="_Toc322698955"/>
      <w:bookmarkStart w:id="307" w:name="_Toc342398458"/>
      <w:bookmarkStart w:id="308" w:name="_Toc338490562"/>
      <w:r>
        <w:rPr>
          <w:rFonts w:hint="eastAsia"/>
        </w:rPr>
        <w:t>1</w:t>
      </w:r>
      <w:r>
        <w:t xml:space="preserve">0.3.2  </w:t>
      </w:r>
      <w:r>
        <w:rPr>
          <w:rFonts w:hint="eastAsia"/>
        </w:rPr>
        <w:t>由于计数或记录错误、操作不当、突然冲击振动等产生个别的粗大误差，采用统计的方法判别，确定后应予以剔除，</w:t>
      </w:r>
      <w:r>
        <w:t>并在数据处理报告中详细说明异常原因及剔除依据；非异常值但波动剧烈的数据应结合现场工况进行标注说明。</w:t>
      </w:r>
      <w:r>
        <w:rPr>
          <w:rFonts w:hint="eastAsia"/>
        </w:rPr>
        <w:t>。</w:t>
      </w:r>
      <w:bookmarkEnd w:id="306"/>
      <w:bookmarkEnd w:id="307"/>
      <w:bookmarkEnd w:id="308"/>
    </w:p>
    <w:p w14:paraId="2273E3C3">
      <w:pPr>
        <w:pStyle w:val="54"/>
      </w:pPr>
      <w:bookmarkStart w:id="309" w:name="_Toc322698956"/>
      <w:bookmarkStart w:id="310" w:name="_Toc342398459"/>
      <w:bookmarkStart w:id="311" w:name="_Toc338490563"/>
      <w:r>
        <w:rPr>
          <w:rFonts w:hint="eastAsia"/>
        </w:rPr>
        <w:t>1</w:t>
      </w:r>
      <w:r>
        <w:t xml:space="preserve">0.3.3 </w:t>
      </w:r>
      <w:r>
        <w:rPr>
          <w:rFonts w:hint="eastAsia"/>
        </w:rPr>
        <w:t>系统误差中的恒值系统误差采用标准量代替法或抵消法消除，线性系统误差采用标准量代替法、平均斜率法或最小二乘法消除。</w:t>
      </w:r>
      <w:bookmarkEnd w:id="309"/>
      <w:bookmarkEnd w:id="310"/>
      <w:bookmarkEnd w:id="311"/>
    </w:p>
    <w:p w14:paraId="52F57C57">
      <w:pPr>
        <w:pStyle w:val="54"/>
      </w:pPr>
      <w:bookmarkStart w:id="312" w:name="_Toc342398460"/>
      <w:bookmarkStart w:id="313" w:name="_Toc322698957"/>
      <w:bookmarkStart w:id="314" w:name="_Toc338490564"/>
      <w:r>
        <w:rPr>
          <w:rFonts w:hint="eastAsia"/>
        </w:rPr>
        <w:t>1</w:t>
      </w:r>
      <w:r>
        <w:t xml:space="preserve">0.3.4  </w:t>
      </w:r>
      <w:r>
        <w:rPr>
          <w:rFonts w:hint="eastAsia"/>
        </w:rPr>
        <w:t>随机误差应确定其分布参数，主要是均值和均方值（标准误差），并设法减小标准误差。减少标准误差的方法包括平均值法、排队剔除法和数字滤波法。</w:t>
      </w:r>
      <w:bookmarkEnd w:id="301"/>
      <w:bookmarkEnd w:id="312"/>
      <w:bookmarkEnd w:id="313"/>
      <w:bookmarkEnd w:id="314"/>
      <w:bookmarkStart w:id="315" w:name="_Toc288051003"/>
    </w:p>
    <w:p w14:paraId="2EB000E7">
      <w:pPr>
        <w:pStyle w:val="41"/>
      </w:pPr>
      <w:bookmarkStart w:id="316" w:name="_Toc353367034"/>
      <w:bookmarkStart w:id="317" w:name="_Toc399488872"/>
      <w:bookmarkStart w:id="318" w:name="_Toc338490653"/>
      <w:bookmarkStart w:id="319" w:name="_Toc338490566"/>
      <w:bookmarkStart w:id="320" w:name="_Toc359596158"/>
      <w:bookmarkStart w:id="321" w:name="_Toc225205392"/>
      <w:bookmarkStart w:id="322" w:name="_Toc405556294"/>
      <w:bookmarkStart w:id="323" w:name="_Toc405558506"/>
      <w:r>
        <w:rPr>
          <w:rFonts w:hint="eastAsia"/>
        </w:rPr>
        <w:t>1</w:t>
      </w:r>
      <w:r>
        <w:t xml:space="preserve">0.4 </w:t>
      </w:r>
      <w:r>
        <w:rPr>
          <w:rFonts w:hint="eastAsia"/>
        </w:rPr>
        <w:t>数据</w:t>
      </w:r>
      <w:bookmarkEnd w:id="316"/>
      <w:bookmarkEnd w:id="317"/>
      <w:bookmarkEnd w:id="318"/>
      <w:bookmarkEnd w:id="319"/>
      <w:bookmarkEnd w:id="320"/>
      <w:r>
        <w:rPr>
          <w:rFonts w:hint="eastAsia"/>
        </w:rPr>
        <w:t>保存</w:t>
      </w:r>
      <w:bookmarkEnd w:id="321"/>
      <w:bookmarkEnd w:id="322"/>
      <w:bookmarkEnd w:id="323"/>
    </w:p>
    <w:p w14:paraId="311F7BF4">
      <w:pPr>
        <w:pStyle w:val="54"/>
      </w:pPr>
      <w:bookmarkStart w:id="324" w:name="_Toc338490567"/>
      <w:r>
        <w:rPr>
          <w:rFonts w:hint="eastAsia"/>
        </w:rPr>
        <w:t>1</w:t>
      </w:r>
      <w:r>
        <w:t xml:space="preserve">0.4.1  </w:t>
      </w:r>
      <w:r>
        <w:rPr>
          <w:rFonts w:hint="eastAsia"/>
        </w:rPr>
        <w:t>各类监测数据应及时分类整理、编目、存档。在原始纸介质资料保存的同时，建立监测数据库，进行电子文档资料存储。</w:t>
      </w:r>
      <w:bookmarkEnd w:id="324"/>
    </w:p>
    <w:p w14:paraId="1FE317E9">
      <w:pPr>
        <w:pStyle w:val="54"/>
      </w:pPr>
      <w:bookmarkStart w:id="325" w:name="_Toc338490568"/>
      <w:r>
        <w:rPr>
          <w:rFonts w:hint="eastAsia"/>
        </w:rPr>
        <w:t>1</w:t>
      </w:r>
      <w:r>
        <w:t xml:space="preserve">0.4.2  </w:t>
      </w:r>
      <w:r>
        <w:rPr>
          <w:rFonts w:hint="eastAsia"/>
        </w:rPr>
        <w:t>监测数据库包括属性数据库和空间数据库。能够查询检索、综合统计、计算分析、图表自动生成，数据信息能够动态更新、实时保存。</w:t>
      </w:r>
      <w:bookmarkEnd w:id="325"/>
    </w:p>
    <w:p w14:paraId="6618F812">
      <w:pPr>
        <w:pStyle w:val="54"/>
      </w:pPr>
      <w:bookmarkStart w:id="326" w:name="_Toc338490569"/>
      <w:r>
        <w:rPr>
          <w:rFonts w:hint="eastAsia"/>
        </w:rPr>
        <w:t>1</w:t>
      </w:r>
      <w:r>
        <w:t xml:space="preserve">0.4.3  </w:t>
      </w:r>
      <w:r>
        <w:rPr>
          <w:rFonts w:hint="eastAsia"/>
        </w:rPr>
        <w:t>监测数据库主要包括:矿山地质环境背景数据、监测点基础数据、动态监测数据、分析数据等。</w:t>
      </w:r>
      <w:bookmarkEnd w:id="326"/>
    </w:p>
    <w:p w14:paraId="35A206E2">
      <w:pPr>
        <w:pStyle w:val="41"/>
      </w:pPr>
      <w:bookmarkStart w:id="327" w:name="_Toc225205393"/>
      <w:r>
        <w:rPr>
          <w:rFonts w:hint="eastAsia"/>
        </w:rPr>
        <w:t xml:space="preserve">10.5 </w:t>
      </w:r>
      <w:r>
        <w:t>数据质量控制</w:t>
      </w:r>
      <w:bookmarkEnd w:id="327"/>
    </w:p>
    <w:p w14:paraId="53BC91B9">
      <w:pPr>
        <w:pStyle w:val="37"/>
        <w:ind w:firstLine="0" w:firstLineChars="0"/>
      </w:pPr>
      <w:r>
        <w:rPr>
          <w:rFonts w:hint="eastAsia"/>
        </w:rPr>
        <w:t>10.5</w:t>
      </w:r>
      <w:r>
        <w:t>.1 数据有效性控制</w:t>
      </w:r>
    </w:p>
    <w:p w14:paraId="23EEE711">
      <w:pPr>
        <w:pStyle w:val="37"/>
        <w:ind w:firstLine="0" w:firstLineChars="0"/>
      </w:pPr>
      <w:r>
        <w:t>监测数据的采集、传输、存储与处理应全过程留痕。原始监测记录</w:t>
      </w:r>
      <w:r>
        <w:rPr>
          <w:rFonts w:hint="eastAsia"/>
        </w:rPr>
        <w:t>（</w:t>
      </w:r>
      <w:r>
        <w:t>含人工采样记录、自动监测日志等</w:t>
      </w:r>
      <w:r>
        <w:rPr>
          <w:rFonts w:hint="eastAsia"/>
        </w:rPr>
        <w:t>）</w:t>
      </w:r>
      <w:r>
        <w:t>应完整、清晰，不得擅自涂改或撤换，确保数据的可追溯性。</w:t>
      </w:r>
    </w:p>
    <w:p w14:paraId="065194B5">
      <w:pPr>
        <w:pStyle w:val="37"/>
        <w:ind w:firstLine="0" w:firstLineChars="0"/>
      </w:pPr>
      <w:r>
        <w:rPr>
          <w:rFonts w:hint="eastAsia"/>
        </w:rPr>
        <w:t>10.5</w:t>
      </w:r>
      <w:r>
        <w:t>.2 异常值识别与处理</w:t>
      </w:r>
    </w:p>
    <w:p w14:paraId="1F233E49">
      <w:pPr>
        <w:pStyle w:val="37"/>
        <w:ind w:firstLine="0" w:firstLineChars="0"/>
      </w:pPr>
      <w:r>
        <w:t>应对监测数据进行逻辑校验与统计学审查</w:t>
      </w:r>
      <w:r>
        <w:rPr>
          <w:rFonts w:hint="eastAsia"/>
        </w:rPr>
        <w:t>，参照前文数据预处理部分操作</w:t>
      </w:r>
      <w:r>
        <w:t>。</w:t>
      </w:r>
    </w:p>
    <w:p w14:paraId="6C5AE219">
      <w:pPr>
        <w:pStyle w:val="37"/>
        <w:ind w:firstLine="0" w:firstLineChars="0"/>
      </w:pPr>
      <w:r>
        <w:rPr>
          <w:rFonts w:hint="eastAsia"/>
        </w:rPr>
        <w:t>10.5</w:t>
      </w:r>
      <w:r>
        <w:t>.3 数据完整性约束</w:t>
      </w:r>
    </w:p>
    <w:p w14:paraId="26193875">
      <w:pPr>
        <w:pStyle w:val="37"/>
        <w:ind w:firstLine="0" w:firstLineChars="0"/>
      </w:pPr>
      <w:r>
        <w:t>针对离子型稀土矿山特征污染物，数据序列应保持时间与空间上的完整性。数据缺失时应采用相邻时段内插法或相关性拟合法进行补插，并注明补插方法；关键时段（如注浸高峰期）的数据缺失不得进行人为补插，应判定为无效数据。</w:t>
      </w:r>
    </w:p>
    <w:p w14:paraId="0624D1DD">
      <w:pPr>
        <w:pStyle w:val="37"/>
        <w:ind w:firstLine="0" w:firstLineChars="0"/>
      </w:pPr>
      <w:r>
        <w:rPr>
          <w:rFonts w:hint="eastAsia"/>
        </w:rPr>
        <w:t>10.5</w:t>
      </w:r>
      <w:r>
        <w:t>.4 精度与可比性</w:t>
      </w:r>
      <w:r>
        <w:rPr>
          <w:rFonts w:hint="eastAsia"/>
        </w:rPr>
        <w:t>控制</w:t>
      </w:r>
    </w:p>
    <w:p w14:paraId="3097B45A">
      <w:pPr>
        <w:pStyle w:val="37"/>
        <w:ind w:firstLine="0" w:firstLineChars="0"/>
      </w:pPr>
      <w:r>
        <w:t>涉及多期次对比分析的数据，应采用相同的坐标基准、高程基准及量纲单位。不同实验室或不同检测仪器间的数据比对，其相对偏差应控制在规定范围内（如&lt;5%），超限时应启动实验室间比对或仪器校准程序。</w:t>
      </w:r>
    </w:p>
    <w:p w14:paraId="2A16D318">
      <w:pPr>
        <w:pStyle w:val="37"/>
        <w:ind w:firstLine="0" w:firstLineChars="0"/>
      </w:pPr>
      <w:r>
        <w:rPr>
          <w:rFonts w:hint="eastAsia"/>
        </w:rPr>
        <w:t>10.5</w:t>
      </w:r>
      <w:r>
        <w:t>.5 多源数据融合控制</w:t>
      </w:r>
    </w:p>
    <w:p w14:paraId="46EE9DFD">
      <w:pPr>
        <w:pStyle w:val="37"/>
        <w:ind w:firstLine="0" w:firstLineChars="0"/>
      </w:pPr>
      <w:r>
        <w:t>当综合利用GNSS、无人机遥感及地面传感器网络等多源数据时，应进行空间配准与时间同步。不同数据源反映的同一环境要素变化趋势应具有一致性，存在矛盾时应以高精度现场实测数据为基准进行校核。</w:t>
      </w:r>
    </w:p>
    <w:p w14:paraId="457FF4A6">
      <w:pPr>
        <w:pStyle w:val="37"/>
        <w:ind w:firstLine="0" w:firstLineChars="0"/>
      </w:pPr>
      <w:r>
        <w:rPr>
          <w:rFonts w:hint="eastAsia"/>
        </w:rPr>
        <w:t>10.5</w:t>
      </w:r>
      <w:r>
        <w:t>.6 </w:t>
      </w:r>
      <w:r>
        <w:rPr>
          <w:rFonts w:hint="eastAsia"/>
        </w:rPr>
        <w:t>数据</w:t>
      </w:r>
      <w:r>
        <w:t>审核</w:t>
      </w:r>
    </w:p>
    <w:p w14:paraId="6BA2033B">
      <w:pPr>
        <w:pStyle w:val="37"/>
        <w:ind w:firstLine="0" w:firstLineChars="0"/>
      </w:pPr>
      <w:r>
        <w:t>数据处理结果应</w:t>
      </w:r>
      <w:r>
        <w:rPr>
          <w:rFonts w:hint="eastAsia"/>
        </w:rPr>
        <w:t>进行“</w:t>
      </w:r>
      <w:r>
        <w:t>二级审核</w:t>
      </w:r>
      <w:r>
        <w:rPr>
          <w:rFonts w:hint="eastAsia"/>
        </w:rPr>
        <w:t>”</w:t>
      </w:r>
      <w:r>
        <w:t>。计算机制图与数据分析报告需经编制人自检、审核人校核，确保数据关联逻辑正确、统计方法适用、结论支撑充分。</w:t>
      </w:r>
    </w:p>
    <w:bookmarkEnd w:id="315"/>
    <w:p w14:paraId="66F1ADBE">
      <w:pPr>
        <w:pStyle w:val="42"/>
        <w:numPr>
          <w:ilvl w:val="0"/>
          <w:numId w:val="8"/>
        </w:numPr>
        <w:ind w:left="0" w:firstLine="0"/>
      </w:pPr>
      <w:bookmarkStart w:id="328" w:name="_Toc225205394"/>
      <w:r>
        <w:rPr>
          <w:rFonts w:hint="eastAsia"/>
        </w:rPr>
        <w:t>监测成果编制</w:t>
      </w:r>
      <w:bookmarkEnd w:id="328"/>
    </w:p>
    <w:p w14:paraId="60A33EBE">
      <w:pPr>
        <w:pStyle w:val="57"/>
        <w:numPr>
          <w:ilvl w:val="0"/>
          <w:numId w:val="21"/>
        </w:numPr>
      </w:pPr>
      <w:bookmarkStart w:id="329" w:name="_Toc338490582"/>
      <w:r>
        <w:rPr>
          <w:rFonts w:hint="eastAsia"/>
        </w:rPr>
        <w:t xml:space="preserve"> 成果报告包括季报、半年报和年报等。</w:t>
      </w:r>
      <w:bookmarkEnd w:id="329"/>
    </w:p>
    <w:p w14:paraId="71AAEE5D">
      <w:pPr>
        <w:pStyle w:val="57"/>
        <w:numPr>
          <w:ilvl w:val="0"/>
          <w:numId w:val="21"/>
        </w:numPr>
        <w:tabs>
          <w:tab w:val="left" w:pos="567"/>
        </w:tabs>
        <w:ind w:left="0" w:firstLine="0"/>
      </w:pPr>
      <w:bookmarkStart w:id="330" w:name="_Toc338490583"/>
      <w:r>
        <w:t xml:space="preserve"> </w:t>
      </w:r>
      <w:r>
        <w:rPr>
          <w:rFonts w:hint="eastAsia"/>
        </w:rPr>
        <w:t>成果报告应简明扼要、突出重点问题、反映变化规律、结论明确，文字报告提纲参见附录C。</w:t>
      </w:r>
      <w:bookmarkEnd w:id="330"/>
    </w:p>
    <w:p w14:paraId="458762D7">
      <w:pPr>
        <w:pStyle w:val="57"/>
        <w:numPr>
          <w:ilvl w:val="0"/>
          <w:numId w:val="21"/>
        </w:numPr>
        <w:tabs>
          <w:tab w:val="left" w:pos="567"/>
        </w:tabs>
        <w:ind w:left="0" w:firstLine="0"/>
      </w:pPr>
      <w:bookmarkStart w:id="331" w:name="_Toc338490584"/>
      <w:r>
        <w:t xml:space="preserve"> </w:t>
      </w:r>
      <w:r>
        <w:rPr>
          <w:rFonts w:hint="eastAsia"/>
        </w:rPr>
        <w:t>成果图件包括:矿山生态环境现状图、矿山生态环境监测动态曲线图（按监测内容单独成图）、矿山生态环境评价图（按监测内容单独成图）、矿山生态环境发展趋势分析图（按监测内容单独成图）、矿区地表植被破坏与复绿现状图等。</w:t>
      </w:r>
      <w:bookmarkEnd w:id="331"/>
    </w:p>
    <w:p w14:paraId="5DE27273">
      <w:pPr>
        <w:pStyle w:val="68"/>
        <w:ind w:left="0"/>
      </w:pPr>
      <w:r>
        <w:rPr>
          <w:rFonts w:ascii="宋体" w:hAnsi="宋体" w:eastAsia="宋体"/>
          <w:szCs w:val="21"/>
        </w:rPr>
        <w:br w:type="page"/>
      </w:r>
      <w:r>
        <w:rPr>
          <w:rFonts w:hAnsi="黑体" w:cstheme="majorBidi"/>
          <w:bCs/>
          <w:kern w:val="2"/>
          <w:szCs w:val="21"/>
        </w:rPr>
        <w:br w:type="textWrapping"/>
      </w:r>
      <w:bookmarkStart w:id="332" w:name="_Toc225205395"/>
      <w:r>
        <w:rPr>
          <w:rFonts w:hint="eastAsia"/>
        </w:rPr>
        <w:t>（资料性附录）</w:t>
      </w:r>
      <w:r>
        <w:br w:type="textWrapping"/>
      </w:r>
      <w:r>
        <w:rPr>
          <w:rFonts w:hint="eastAsia"/>
        </w:rPr>
        <w:t>稀土矿山生态环境监测内容对应监测指标和检测项目一览表</w:t>
      </w:r>
      <w:bookmarkEnd w:id="332"/>
    </w:p>
    <w:tbl>
      <w:tblPr>
        <w:tblStyle w:val="15"/>
        <w:tblW w:w="878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29"/>
        <w:gridCol w:w="2127"/>
        <w:gridCol w:w="5528"/>
      </w:tblGrid>
      <w:tr w14:paraId="2397EF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1" w:hRule="atLeast"/>
          <w:tblHeader/>
          <w:jc w:val="center"/>
        </w:trPr>
        <w:tc>
          <w:tcPr>
            <w:tcW w:w="1129" w:type="dxa"/>
            <w:vAlign w:val="center"/>
          </w:tcPr>
          <w:p w14:paraId="487DBBB4">
            <w:pPr>
              <w:jc w:val="center"/>
              <w:rPr>
                <w:rFonts w:hint="eastAsia" w:ascii="宋体" w:hAnsi="宋体" w:eastAsia="宋体"/>
                <w:b/>
                <w:szCs w:val="21"/>
              </w:rPr>
            </w:pPr>
            <w:bookmarkStart w:id="333" w:name="_Hlk225198775"/>
            <w:r>
              <w:rPr>
                <w:rFonts w:hint="eastAsia" w:ascii="宋体" w:hAnsi="宋体" w:eastAsia="宋体"/>
                <w:b/>
                <w:szCs w:val="21"/>
              </w:rPr>
              <w:t>监测内容</w:t>
            </w:r>
          </w:p>
        </w:tc>
        <w:tc>
          <w:tcPr>
            <w:tcW w:w="2127" w:type="dxa"/>
            <w:tcBorders>
              <w:right w:val="single" w:color="auto" w:sz="4" w:space="0"/>
            </w:tcBorders>
            <w:vAlign w:val="center"/>
          </w:tcPr>
          <w:p w14:paraId="1A96BB30">
            <w:pPr>
              <w:jc w:val="center"/>
              <w:rPr>
                <w:rFonts w:hint="eastAsia" w:ascii="宋体" w:hAnsi="宋体" w:eastAsia="宋体"/>
                <w:b/>
                <w:szCs w:val="21"/>
              </w:rPr>
            </w:pPr>
            <w:r>
              <w:rPr>
                <w:rFonts w:hint="eastAsia" w:ascii="宋体" w:hAnsi="宋体" w:eastAsia="宋体"/>
                <w:b/>
                <w:szCs w:val="21"/>
              </w:rPr>
              <w:t>监测指标</w:t>
            </w:r>
          </w:p>
        </w:tc>
        <w:tc>
          <w:tcPr>
            <w:tcW w:w="5528" w:type="dxa"/>
            <w:tcBorders>
              <w:right w:val="single" w:color="auto" w:sz="4" w:space="0"/>
            </w:tcBorders>
          </w:tcPr>
          <w:p w14:paraId="7C5B4760">
            <w:pPr>
              <w:jc w:val="center"/>
              <w:rPr>
                <w:rFonts w:hint="eastAsia" w:ascii="宋体" w:hAnsi="宋体" w:eastAsia="宋体"/>
                <w:b/>
                <w:szCs w:val="21"/>
              </w:rPr>
            </w:pPr>
            <w:r>
              <w:rPr>
                <w:rFonts w:hint="eastAsia" w:ascii="宋体" w:hAnsi="宋体" w:eastAsia="宋体"/>
                <w:b/>
                <w:szCs w:val="21"/>
              </w:rPr>
              <w:t>检测项目</w:t>
            </w:r>
          </w:p>
        </w:tc>
      </w:tr>
      <w:tr w14:paraId="7B5F89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1" w:hRule="atLeast"/>
          <w:jc w:val="center"/>
        </w:trPr>
        <w:tc>
          <w:tcPr>
            <w:tcW w:w="1129" w:type="dxa"/>
            <w:vAlign w:val="center"/>
          </w:tcPr>
          <w:p w14:paraId="16C2BA7B">
            <w:pPr>
              <w:jc w:val="center"/>
              <w:rPr>
                <w:rFonts w:hint="eastAsia" w:ascii="宋体" w:hAnsi="宋体" w:eastAsia="宋体"/>
                <w:szCs w:val="21"/>
              </w:rPr>
            </w:pPr>
            <w:r>
              <w:rPr>
                <w:rFonts w:hint="eastAsia" w:ascii="宋体" w:hAnsi="宋体" w:eastAsia="宋体"/>
                <w:szCs w:val="21"/>
              </w:rPr>
              <w:t>地表水环境背景</w:t>
            </w:r>
          </w:p>
        </w:tc>
        <w:tc>
          <w:tcPr>
            <w:tcW w:w="2127" w:type="dxa"/>
            <w:tcBorders>
              <w:right w:val="single" w:color="auto" w:sz="4" w:space="0"/>
            </w:tcBorders>
            <w:vAlign w:val="center"/>
          </w:tcPr>
          <w:p w14:paraId="4778ABB1">
            <w:pPr>
              <w:jc w:val="center"/>
              <w:rPr>
                <w:rFonts w:hint="eastAsia" w:ascii="宋体" w:hAnsi="宋体" w:eastAsia="宋体"/>
                <w:szCs w:val="21"/>
              </w:rPr>
            </w:pPr>
            <w:r>
              <w:rPr>
                <w:rFonts w:hint="eastAsia" w:ascii="宋体" w:hAnsi="宋体" w:eastAsia="宋体"/>
                <w:szCs w:val="21"/>
              </w:rPr>
              <w:t>地表水水质</w:t>
            </w:r>
          </w:p>
        </w:tc>
        <w:tc>
          <w:tcPr>
            <w:tcW w:w="5528" w:type="dxa"/>
            <w:tcBorders>
              <w:right w:val="single" w:color="auto" w:sz="4" w:space="0"/>
            </w:tcBorders>
          </w:tcPr>
          <w:p w14:paraId="04492CE9">
            <w:pPr>
              <w:jc w:val="left"/>
              <w:rPr>
                <w:rFonts w:hint="eastAsia" w:ascii="宋体" w:hAnsi="宋体" w:eastAsia="宋体"/>
                <w:szCs w:val="21"/>
              </w:rPr>
            </w:pPr>
            <w:r>
              <w:rPr>
                <w:rFonts w:hint="eastAsia" w:ascii="宋体" w:hAnsi="宋体" w:eastAsia="宋体" w:cs="Times New Roman"/>
                <w:kern w:val="0"/>
                <w:szCs w:val="21"/>
              </w:rPr>
              <w:t>色、水温、</w:t>
            </w:r>
            <w:r>
              <w:rPr>
                <w:rFonts w:hint="eastAsia" w:ascii="宋体" w:hAnsi="宋体" w:eastAsia="宋体"/>
                <w:szCs w:val="21"/>
              </w:rPr>
              <w:t>气味、</w:t>
            </w:r>
            <w:r>
              <w:rPr>
                <w:rFonts w:hint="eastAsia" w:ascii="宋体" w:hAnsi="宋体" w:eastAsia="宋体" w:cs="Times New Roman"/>
                <w:kern w:val="0"/>
                <w:szCs w:val="21"/>
              </w:rPr>
              <w:t>浑浊度或透明度、氧化还原电位，溶解性总固体（TDS），电导率、pH、硫化物、游离二氧化碳、总矿化度、总碱度、总硬度、暂时硬度、永久硬度、负硬度、可溶性二氧化硅、耗氧量、氯离子、硫酸根、硝酸根、亚硝酸根及重碳酸根、铵、钙、镁、三价铁、二价铁、钾、钠和稀土元素，汞、镉、铅、砷、铜、铝、镍、锌、硒、铬、钒、锰、铊等重金属元素</w:t>
            </w:r>
          </w:p>
        </w:tc>
      </w:tr>
      <w:tr w14:paraId="0EFCD2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7" w:hRule="atLeast"/>
          <w:jc w:val="center"/>
        </w:trPr>
        <w:tc>
          <w:tcPr>
            <w:tcW w:w="1129" w:type="dxa"/>
            <w:tcBorders>
              <w:right w:val="single" w:color="000000" w:sz="4" w:space="0"/>
            </w:tcBorders>
            <w:vAlign w:val="center"/>
          </w:tcPr>
          <w:p w14:paraId="1B1E886C">
            <w:pPr>
              <w:jc w:val="center"/>
              <w:rPr>
                <w:rFonts w:hint="eastAsia" w:ascii="宋体" w:hAnsi="宋体" w:eastAsia="宋体"/>
                <w:szCs w:val="21"/>
              </w:rPr>
            </w:pPr>
            <w:r>
              <w:rPr>
                <w:rFonts w:hint="eastAsia" w:ascii="宋体" w:hAnsi="宋体" w:eastAsia="宋体"/>
                <w:szCs w:val="21"/>
              </w:rPr>
              <w:t>地下水环境背景</w:t>
            </w:r>
          </w:p>
        </w:tc>
        <w:tc>
          <w:tcPr>
            <w:tcW w:w="2127" w:type="dxa"/>
            <w:tcBorders>
              <w:left w:val="single" w:color="000000" w:sz="4" w:space="0"/>
            </w:tcBorders>
            <w:vAlign w:val="center"/>
          </w:tcPr>
          <w:p w14:paraId="337314C3">
            <w:pPr>
              <w:jc w:val="center"/>
              <w:rPr>
                <w:rFonts w:hint="eastAsia" w:ascii="宋体" w:hAnsi="宋体" w:eastAsia="宋体"/>
                <w:szCs w:val="21"/>
              </w:rPr>
            </w:pPr>
            <w:r>
              <w:rPr>
                <w:rFonts w:hint="eastAsia" w:ascii="宋体" w:hAnsi="宋体" w:eastAsia="宋体"/>
                <w:szCs w:val="21"/>
              </w:rPr>
              <w:t>地下水水位（水温）</w:t>
            </w:r>
          </w:p>
          <w:p w14:paraId="7D64617C">
            <w:pPr>
              <w:jc w:val="center"/>
              <w:rPr>
                <w:rFonts w:hint="eastAsia" w:ascii="宋体" w:hAnsi="宋体" w:eastAsia="宋体"/>
                <w:szCs w:val="21"/>
              </w:rPr>
            </w:pPr>
            <w:r>
              <w:rPr>
                <w:rFonts w:hint="eastAsia" w:ascii="宋体" w:hAnsi="宋体" w:eastAsia="宋体"/>
                <w:szCs w:val="21"/>
              </w:rPr>
              <w:t>地下水水质</w:t>
            </w:r>
          </w:p>
        </w:tc>
        <w:tc>
          <w:tcPr>
            <w:tcW w:w="5528" w:type="dxa"/>
            <w:tcBorders>
              <w:left w:val="single" w:color="000000" w:sz="4" w:space="0"/>
            </w:tcBorders>
          </w:tcPr>
          <w:p w14:paraId="44D27CA6">
            <w:pPr>
              <w:jc w:val="left"/>
              <w:rPr>
                <w:rFonts w:hint="eastAsia" w:ascii="宋体" w:hAnsi="宋体" w:eastAsia="宋体"/>
                <w:szCs w:val="21"/>
              </w:rPr>
            </w:pPr>
            <w:r>
              <w:rPr>
                <w:rFonts w:hint="eastAsia" w:ascii="宋体" w:hAnsi="宋体" w:eastAsia="宋体"/>
                <w:szCs w:val="21"/>
              </w:rPr>
              <w:t>色、水温、气味、浑浊度或透明度、氧化还原电位，溶解性总固体（TDS），电导率、pH、硫化物、游离二氧化碳、总矿化度、总碱度、总硬度、暂时硬度、永久硬度、负硬度、可溶性二氧化硅、耗氧量、氯离子、硫酸根、硝酸根、亚硝酸根及重碳酸根、铵、钙、镁、三价铁、二价铁、钾、钠和稀土元素，汞、镉、铅、砷、铜、铝、镍、锌、硒、铬、钒、锰、铊等重金属元素</w:t>
            </w:r>
          </w:p>
        </w:tc>
      </w:tr>
      <w:tr w14:paraId="56911B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2" w:hRule="atLeast"/>
          <w:jc w:val="center"/>
        </w:trPr>
        <w:tc>
          <w:tcPr>
            <w:tcW w:w="1129" w:type="dxa"/>
            <w:tcBorders>
              <w:right w:val="single" w:color="000000" w:sz="4" w:space="0"/>
            </w:tcBorders>
            <w:vAlign w:val="center"/>
          </w:tcPr>
          <w:p w14:paraId="142352B0">
            <w:pPr>
              <w:jc w:val="center"/>
              <w:rPr>
                <w:rFonts w:hint="eastAsia" w:ascii="宋体" w:hAnsi="宋体" w:eastAsia="宋体"/>
                <w:szCs w:val="21"/>
              </w:rPr>
            </w:pPr>
            <w:r>
              <w:rPr>
                <w:rFonts w:hint="eastAsia" w:ascii="宋体" w:hAnsi="宋体" w:eastAsia="宋体"/>
                <w:szCs w:val="21"/>
              </w:rPr>
              <w:t>土壤环境背景</w:t>
            </w:r>
          </w:p>
        </w:tc>
        <w:tc>
          <w:tcPr>
            <w:tcW w:w="2127" w:type="dxa"/>
            <w:tcBorders>
              <w:left w:val="single" w:color="000000" w:sz="4" w:space="0"/>
            </w:tcBorders>
            <w:vAlign w:val="center"/>
          </w:tcPr>
          <w:p w14:paraId="4CF9000A">
            <w:pPr>
              <w:jc w:val="center"/>
              <w:rPr>
                <w:rFonts w:hint="eastAsia" w:ascii="宋体" w:hAnsi="宋体" w:eastAsia="宋体"/>
                <w:szCs w:val="21"/>
              </w:rPr>
            </w:pPr>
            <w:r>
              <w:rPr>
                <w:rFonts w:hint="eastAsia" w:ascii="宋体" w:hAnsi="宋体" w:eastAsia="宋体"/>
                <w:szCs w:val="21"/>
              </w:rPr>
              <w:t>土壤矿物质全量</w:t>
            </w:r>
          </w:p>
          <w:p w14:paraId="49C8AD8F">
            <w:pPr>
              <w:jc w:val="center"/>
              <w:rPr>
                <w:rFonts w:hint="eastAsia" w:ascii="宋体" w:hAnsi="宋体" w:eastAsia="宋体"/>
                <w:szCs w:val="21"/>
              </w:rPr>
            </w:pPr>
            <w:r>
              <w:rPr>
                <w:rFonts w:hint="eastAsia" w:ascii="宋体" w:hAnsi="宋体" w:eastAsia="宋体"/>
                <w:szCs w:val="21"/>
              </w:rPr>
              <w:t>土壤微量元素</w:t>
            </w:r>
          </w:p>
          <w:p w14:paraId="2A27DE8A">
            <w:pPr>
              <w:jc w:val="center"/>
              <w:rPr>
                <w:rFonts w:hint="eastAsia" w:ascii="宋体" w:hAnsi="宋体" w:eastAsia="宋体"/>
                <w:szCs w:val="21"/>
              </w:rPr>
            </w:pPr>
            <w:r>
              <w:rPr>
                <w:rFonts w:hint="eastAsia" w:ascii="宋体" w:hAnsi="宋体" w:eastAsia="宋体"/>
                <w:szCs w:val="21"/>
              </w:rPr>
              <w:t>稀土元素含量</w:t>
            </w:r>
          </w:p>
        </w:tc>
        <w:tc>
          <w:tcPr>
            <w:tcW w:w="5528" w:type="dxa"/>
            <w:tcBorders>
              <w:left w:val="single" w:color="000000" w:sz="4" w:space="0"/>
            </w:tcBorders>
          </w:tcPr>
          <w:p w14:paraId="02F33979">
            <w:pPr>
              <w:jc w:val="left"/>
              <w:rPr>
                <w:rFonts w:hint="eastAsia" w:ascii="宋体" w:hAnsi="宋体" w:eastAsia="宋体"/>
                <w:szCs w:val="21"/>
              </w:rPr>
            </w:pPr>
            <w:r>
              <w:rPr>
                <w:rFonts w:hint="eastAsia" w:ascii="宋体" w:hAnsi="宋体" w:eastAsia="宋体"/>
                <w:szCs w:val="21"/>
              </w:rPr>
              <w:t>全硼、有效硼、全钼、有效钼、全锰、有效锰、全锌、有效锌、全铜、有效铜、全铁 (TFe)、有效铁、 硒 (Se)、钴 (Co)、镉 (Cd)、铅 (Pb)、铬 (Cr)、镍 (Ni)等，</w:t>
            </w:r>
            <w:bookmarkStart w:id="334" w:name="OLE_LINK2"/>
            <w:r>
              <w:rPr>
                <w:rFonts w:hint="eastAsia" w:ascii="宋体" w:hAnsi="宋体" w:eastAsia="宋体"/>
                <w:szCs w:val="21"/>
              </w:rPr>
              <w:t>pH、总有机碳（TOC）、有机质，</w:t>
            </w:r>
            <w:bookmarkEnd w:id="334"/>
            <w:r>
              <w:rPr>
                <w:rFonts w:hint="eastAsia" w:ascii="宋体" w:hAnsi="宋体" w:eastAsia="宋体"/>
                <w:szCs w:val="21"/>
              </w:rPr>
              <w:t>土壤矿物质全量分析检测项目包括：硅、铁、铝、钛、钙、镁、锰、钾、钠、磷，稀土元素以当地矿体中富含的稀土元素为主</w:t>
            </w:r>
          </w:p>
        </w:tc>
      </w:tr>
      <w:tr w14:paraId="4AA256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6" w:hRule="atLeast"/>
          <w:jc w:val="center"/>
        </w:trPr>
        <w:tc>
          <w:tcPr>
            <w:tcW w:w="1129" w:type="dxa"/>
            <w:vAlign w:val="center"/>
          </w:tcPr>
          <w:p w14:paraId="17CEDB77">
            <w:pPr>
              <w:jc w:val="center"/>
              <w:rPr>
                <w:rFonts w:hint="eastAsia" w:ascii="宋体" w:hAnsi="宋体" w:eastAsia="宋体"/>
                <w:szCs w:val="21"/>
              </w:rPr>
            </w:pPr>
            <w:r>
              <w:rPr>
                <w:rFonts w:hint="eastAsia" w:ascii="宋体" w:hAnsi="宋体" w:eastAsia="宋体"/>
                <w:szCs w:val="21"/>
              </w:rPr>
              <w:t>地表水环境破坏</w:t>
            </w:r>
          </w:p>
        </w:tc>
        <w:tc>
          <w:tcPr>
            <w:tcW w:w="2127" w:type="dxa"/>
            <w:vAlign w:val="center"/>
          </w:tcPr>
          <w:p w14:paraId="69019ADD">
            <w:pPr>
              <w:jc w:val="center"/>
              <w:rPr>
                <w:rFonts w:hint="eastAsia" w:ascii="宋体" w:hAnsi="宋体" w:eastAsia="宋体"/>
                <w:szCs w:val="21"/>
              </w:rPr>
            </w:pPr>
            <w:r>
              <w:rPr>
                <w:rFonts w:hint="eastAsia" w:ascii="宋体" w:hAnsi="宋体" w:eastAsia="宋体"/>
                <w:szCs w:val="21"/>
              </w:rPr>
              <w:t>地表水水质</w:t>
            </w:r>
          </w:p>
          <w:p w14:paraId="75C611B6">
            <w:pPr>
              <w:jc w:val="center"/>
              <w:rPr>
                <w:rFonts w:hint="eastAsia" w:ascii="宋体" w:hAnsi="宋体" w:eastAsia="宋体"/>
                <w:szCs w:val="21"/>
              </w:rPr>
            </w:pPr>
            <w:r>
              <w:rPr>
                <w:rFonts w:hint="eastAsia" w:ascii="宋体" w:hAnsi="宋体" w:eastAsia="宋体"/>
                <w:szCs w:val="21"/>
              </w:rPr>
              <w:t>底泥污染组分</w:t>
            </w:r>
          </w:p>
        </w:tc>
        <w:tc>
          <w:tcPr>
            <w:tcW w:w="5528" w:type="dxa"/>
          </w:tcPr>
          <w:p w14:paraId="717A3BD1">
            <w:pPr>
              <w:jc w:val="left"/>
              <w:rPr>
                <w:rFonts w:hint="eastAsia" w:ascii="宋体" w:hAnsi="宋体" w:eastAsia="宋体"/>
                <w:szCs w:val="21"/>
              </w:rPr>
            </w:pPr>
            <w:r>
              <w:rPr>
                <w:rFonts w:hint="eastAsia" w:ascii="宋体" w:hAnsi="宋体" w:eastAsia="宋体" w:cs="Times New Roman"/>
                <w:kern w:val="0"/>
                <w:szCs w:val="21"/>
              </w:rPr>
              <w:t>色、水温、</w:t>
            </w:r>
            <w:r>
              <w:rPr>
                <w:rFonts w:hint="eastAsia" w:ascii="宋体" w:hAnsi="宋体" w:eastAsia="宋体"/>
                <w:szCs w:val="21"/>
              </w:rPr>
              <w:t>气味、</w:t>
            </w:r>
            <w:r>
              <w:rPr>
                <w:rFonts w:hint="eastAsia" w:ascii="宋体" w:hAnsi="宋体" w:eastAsia="宋体" w:cs="Times New Roman"/>
                <w:kern w:val="0"/>
                <w:szCs w:val="21"/>
              </w:rPr>
              <w:t>浑浊度或透明度、氧化还原电位，溶解性总固体（TDS），电导率、pH、硫化物、游离二氧化碳、总矿化度、总碱度、总硬度、暂时硬度、永久硬度、负硬度、可溶性二氧化硅、耗氧量、氯离子、硫酸根、硝酸根、亚硝酸根及重碳酸根、铵、钙、镁、三价铁、二价铁、钾、钠和稀土元素，汞、镉、铅、砷、铜、铝、镍、锌、硒、铬、钒、锰、铊等重金属元素，同时测试地表水体的底泥中pH、重金属和稀土元素的含量</w:t>
            </w:r>
          </w:p>
        </w:tc>
      </w:tr>
      <w:tr w14:paraId="0E0102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1129" w:type="dxa"/>
            <w:vAlign w:val="center"/>
          </w:tcPr>
          <w:p w14:paraId="50E7B3E2">
            <w:pPr>
              <w:jc w:val="center"/>
              <w:rPr>
                <w:rFonts w:hint="eastAsia" w:ascii="宋体" w:hAnsi="宋体" w:eastAsia="宋体"/>
                <w:szCs w:val="21"/>
              </w:rPr>
            </w:pPr>
            <w:r>
              <w:rPr>
                <w:rFonts w:hint="eastAsia" w:ascii="宋体" w:hAnsi="宋体" w:eastAsia="宋体"/>
                <w:szCs w:val="21"/>
              </w:rPr>
              <w:t>地下水环境破坏</w:t>
            </w:r>
          </w:p>
        </w:tc>
        <w:tc>
          <w:tcPr>
            <w:tcW w:w="2127" w:type="dxa"/>
            <w:vAlign w:val="center"/>
          </w:tcPr>
          <w:p w14:paraId="1BE38DEA">
            <w:pPr>
              <w:jc w:val="center"/>
              <w:rPr>
                <w:rFonts w:hint="eastAsia" w:ascii="宋体" w:hAnsi="宋体" w:eastAsia="宋体"/>
                <w:szCs w:val="21"/>
              </w:rPr>
            </w:pPr>
            <w:r>
              <w:rPr>
                <w:rFonts w:hint="eastAsia" w:ascii="宋体" w:hAnsi="宋体" w:eastAsia="宋体"/>
                <w:szCs w:val="21"/>
              </w:rPr>
              <w:t>地下水位（水温</w:t>
            </w:r>
            <w:r>
              <w:rPr>
                <w:rFonts w:ascii="宋体" w:hAnsi="宋体" w:eastAsia="宋体"/>
                <w:szCs w:val="21"/>
              </w:rPr>
              <w:t>）</w:t>
            </w:r>
          </w:p>
          <w:p w14:paraId="63ECC9A7">
            <w:pPr>
              <w:jc w:val="center"/>
              <w:rPr>
                <w:rFonts w:hint="eastAsia" w:ascii="宋体" w:hAnsi="宋体" w:eastAsia="宋体"/>
                <w:szCs w:val="21"/>
              </w:rPr>
            </w:pPr>
            <w:r>
              <w:rPr>
                <w:rFonts w:hint="eastAsia" w:ascii="宋体" w:hAnsi="宋体" w:eastAsia="宋体"/>
                <w:szCs w:val="21"/>
              </w:rPr>
              <w:t>地下水水质</w:t>
            </w:r>
          </w:p>
        </w:tc>
        <w:tc>
          <w:tcPr>
            <w:tcW w:w="5528" w:type="dxa"/>
          </w:tcPr>
          <w:p w14:paraId="668C0703">
            <w:pPr>
              <w:jc w:val="left"/>
              <w:rPr>
                <w:rFonts w:hint="eastAsia" w:ascii="宋体" w:hAnsi="宋体" w:eastAsia="宋体"/>
                <w:szCs w:val="21"/>
              </w:rPr>
            </w:pPr>
            <w:r>
              <w:rPr>
                <w:rFonts w:hint="eastAsia" w:ascii="宋体" w:hAnsi="宋体" w:eastAsia="宋体"/>
                <w:szCs w:val="21"/>
              </w:rPr>
              <w:t>色、水温、气味、浑浊度或透明度、氧化还原电位，溶解性总固体（TDS），电导率、pH、硫化物、游离二氧化碳、总矿化度、总碱度、总硬度、暂时硬度、永久硬度、负硬度、可溶性二氧化硅、耗氧量、氯离子、硫酸根、硝酸根、亚硝酸根及重碳酸根、铵、钙、镁、三价铁、二价铁、钾、钠和稀土元素，汞、镉、铅、砷、铜、铝、镍、锌、硒、铬、钒、锰、铊等重金属元素</w:t>
            </w:r>
          </w:p>
        </w:tc>
      </w:tr>
      <w:tr w14:paraId="17E776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7" w:hRule="atLeast"/>
          <w:jc w:val="center"/>
        </w:trPr>
        <w:tc>
          <w:tcPr>
            <w:tcW w:w="1129" w:type="dxa"/>
            <w:vAlign w:val="center"/>
          </w:tcPr>
          <w:p w14:paraId="57D28B76">
            <w:pPr>
              <w:jc w:val="center"/>
              <w:rPr>
                <w:rFonts w:hint="eastAsia" w:ascii="宋体" w:hAnsi="宋体" w:eastAsia="宋体"/>
                <w:szCs w:val="21"/>
              </w:rPr>
            </w:pPr>
            <w:r>
              <w:rPr>
                <w:rFonts w:hint="eastAsia" w:ascii="宋体" w:hAnsi="宋体" w:eastAsia="宋体"/>
                <w:szCs w:val="21"/>
              </w:rPr>
              <w:t>土壤环境破坏</w:t>
            </w:r>
          </w:p>
        </w:tc>
        <w:tc>
          <w:tcPr>
            <w:tcW w:w="2127" w:type="dxa"/>
            <w:vAlign w:val="center"/>
          </w:tcPr>
          <w:p w14:paraId="3FDAFFBB">
            <w:pPr>
              <w:jc w:val="center"/>
              <w:rPr>
                <w:rFonts w:hint="eastAsia" w:ascii="宋体" w:hAnsi="宋体" w:eastAsia="宋体"/>
                <w:szCs w:val="21"/>
              </w:rPr>
            </w:pPr>
            <w:r>
              <w:rPr>
                <w:rFonts w:hint="eastAsia" w:ascii="宋体" w:hAnsi="宋体" w:eastAsia="宋体"/>
                <w:szCs w:val="21"/>
              </w:rPr>
              <w:t>土壤理化性质</w:t>
            </w:r>
          </w:p>
          <w:p w14:paraId="02F455B7">
            <w:pPr>
              <w:jc w:val="center"/>
              <w:rPr>
                <w:rFonts w:hint="eastAsia" w:ascii="宋体" w:hAnsi="宋体" w:eastAsia="宋体"/>
                <w:szCs w:val="21"/>
              </w:rPr>
            </w:pPr>
            <w:r>
              <w:rPr>
                <w:rFonts w:hint="eastAsia" w:ascii="宋体" w:hAnsi="宋体" w:eastAsia="宋体"/>
                <w:szCs w:val="21"/>
              </w:rPr>
              <w:t>土壤质量</w:t>
            </w:r>
          </w:p>
          <w:p w14:paraId="433D0B4E">
            <w:pPr>
              <w:jc w:val="center"/>
              <w:rPr>
                <w:rFonts w:hint="eastAsia" w:ascii="宋体" w:hAnsi="宋体" w:eastAsia="宋体"/>
                <w:szCs w:val="21"/>
              </w:rPr>
            </w:pPr>
            <w:r>
              <w:rPr>
                <w:rFonts w:hint="eastAsia" w:ascii="宋体" w:hAnsi="宋体" w:eastAsia="宋体"/>
                <w:szCs w:val="21"/>
              </w:rPr>
              <w:t>稀土元素含量</w:t>
            </w:r>
          </w:p>
        </w:tc>
        <w:tc>
          <w:tcPr>
            <w:tcW w:w="5528" w:type="dxa"/>
          </w:tcPr>
          <w:p w14:paraId="0BFB56FE">
            <w:pPr>
              <w:jc w:val="left"/>
              <w:rPr>
                <w:rFonts w:hint="eastAsia" w:ascii="宋体" w:hAnsi="宋体" w:eastAsia="宋体"/>
                <w:szCs w:val="21"/>
              </w:rPr>
            </w:pPr>
            <w:r>
              <w:rPr>
                <w:rFonts w:hint="eastAsia" w:ascii="宋体" w:hAnsi="宋体" w:eastAsia="宋体"/>
                <w:szCs w:val="21"/>
              </w:rPr>
              <w:t>全硼、有效硼、全钼、有效钼、全锰、有效锰、全锌、有效锌、全铜、有效铜、全铁 (TFe)、有效铁、 硒 (Se)、钴 (Co)、镉 (Cd)、铅 (Pb)、铬 (Cr)、镍 (Ni)等，pH、总有机碳（TOC）、有机质，土壤矿物质全量分析检测项目包括：硅、铁、铝、钛、钙、镁、锰、钾、钠、磷，稀土元素以当地矿体中富含的稀土元素为主</w:t>
            </w:r>
          </w:p>
        </w:tc>
      </w:tr>
      <w:tr w14:paraId="1A89CE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5" w:hRule="atLeast"/>
          <w:jc w:val="center"/>
        </w:trPr>
        <w:tc>
          <w:tcPr>
            <w:tcW w:w="1129" w:type="dxa"/>
            <w:vAlign w:val="center"/>
          </w:tcPr>
          <w:p w14:paraId="25AF15BE">
            <w:pPr>
              <w:jc w:val="center"/>
              <w:rPr>
                <w:rFonts w:hint="eastAsia" w:ascii="宋体" w:hAnsi="宋体" w:eastAsia="宋体"/>
                <w:szCs w:val="21"/>
              </w:rPr>
            </w:pPr>
            <w:r>
              <w:rPr>
                <w:rFonts w:hint="eastAsia" w:ascii="宋体" w:hAnsi="宋体" w:eastAsia="宋体"/>
                <w:szCs w:val="21"/>
              </w:rPr>
              <w:t>植被状况</w:t>
            </w:r>
          </w:p>
        </w:tc>
        <w:tc>
          <w:tcPr>
            <w:tcW w:w="2127" w:type="dxa"/>
            <w:vAlign w:val="center"/>
          </w:tcPr>
          <w:p w14:paraId="5545CB11">
            <w:pPr>
              <w:jc w:val="center"/>
              <w:rPr>
                <w:rFonts w:hint="eastAsia" w:ascii="宋体" w:hAnsi="宋体" w:eastAsia="宋体"/>
                <w:szCs w:val="21"/>
              </w:rPr>
            </w:pPr>
            <w:r>
              <w:rPr>
                <w:rFonts w:hint="eastAsia" w:ascii="宋体" w:hAnsi="宋体" w:eastAsia="宋体"/>
                <w:szCs w:val="21"/>
              </w:rPr>
              <w:t>植被种类</w:t>
            </w:r>
          </w:p>
          <w:p w14:paraId="6CF4CC6B">
            <w:pPr>
              <w:jc w:val="center"/>
              <w:rPr>
                <w:rFonts w:hint="eastAsia" w:ascii="宋体" w:hAnsi="宋体" w:eastAsia="宋体"/>
                <w:szCs w:val="21"/>
              </w:rPr>
            </w:pPr>
            <w:r>
              <w:rPr>
                <w:rFonts w:hint="eastAsia" w:ascii="宋体" w:hAnsi="宋体" w:eastAsia="宋体"/>
                <w:szCs w:val="21"/>
              </w:rPr>
              <w:t>生长情况</w:t>
            </w:r>
          </w:p>
          <w:p w14:paraId="48E1D3DE">
            <w:pPr>
              <w:jc w:val="center"/>
              <w:rPr>
                <w:rFonts w:hint="eastAsia" w:ascii="宋体" w:hAnsi="宋体" w:eastAsia="宋体"/>
                <w:szCs w:val="21"/>
              </w:rPr>
            </w:pPr>
            <w:r>
              <w:rPr>
                <w:rFonts w:hint="eastAsia" w:ascii="宋体" w:hAnsi="宋体" w:eastAsia="宋体"/>
                <w:szCs w:val="21"/>
              </w:rPr>
              <w:t>污染情况</w:t>
            </w:r>
          </w:p>
        </w:tc>
        <w:tc>
          <w:tcPr>
            <w:tcW w:w="5528" w:type="dxa"/>
          </w:tcPr>
          <w:p w14:paraId="24B1C7D3">
            <w:pPr>
              <w:jc w:val="left"/>
              <w:rPr>
                <w:rFonts w:hint="eastAsia" w:ascii="宋体" w:hAnsi="宋体" w:eastAsia="宋体"/>
                <w:szCs w:val="21"/>
              </w:rPr>
            </w:pPr>
            <w:r>
              <w:rPr>
                <w:rFonts w:hint="eastAsia" w:ascii="宋体" w:hAnsi="宋体" w:eastAsia="宋体"/>
                <w:szCs w:val="21"/>
              </w:rPr>
              <w:t>稀土元素，pH值，汞、镉、铅、砷、锰、铜、铁、铝、镍、锌、硒、铬、钒等重金属元素，氮、磷、钾、有机碳、粗灰分、有机质含量，含水率、活性酶等植物养分和活性指标</w:t>
            </w:r>
          </w:p>
        </w:tc>
      </w:tr>
      <w:tr w14:paraId="367E41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5" w:hRule="atLeast"/>
          <w:jc w:val="center"/>
        </w:trPr>
        <w:tc>
          <w:tcPr>
            <w:tcW w:w="1129" w:type="dxa"/>
            <w:vAlign w:val="center"/>
          </w:tcPr>
          <w:p w14:paraId="4118A3F6">
            <w:pPr>
              <w:jc w:val="center"/>
              <w:rPr>
                <w:rFonts w:hint="eastAsia" w:ascii="宋体" w:hAnsi="宋体" w:eastAsia="宋体"/>
                <w:szCs w:val="21"/>
              </w:rPr>
            </w:pPr>
            <w:r>
              <w:rPr>
                <w:rFonts w:hint="eastAsia" w:ascii="宋体" w:hAnsi="宋体" w:eastAsia="宋体"/>
                <w:szCs w:val="21"/>
              </w:rPr>
              <w:t>地形地貌景观破坏</w:t>
            </w:r>
          </w:p>
        </w:tc>
        <w:tc>
          <w:tcPr>
            <w:tcW w:w="2127" w:type="dxa"/>
            <w:vAlign w:val="center"/>
          </w:tcPr>
          <w:p w14:paraId="57B12AF2">
            <w:pPr>
              <w:jc w:val="center"/>
              <w:rPr>
                <w:rFonts w:hint="eastAsia" w:ascii="宋体" w:hAnsi="宋体" w:eastAsia="宋体"/>
                <w:szCs w:val="21"/>
              </w:rPr>
            </w:pPr>
            <w:r>
              <w:rPr>
                <w:rFonts w:hint="eastAsia" w:ascii="宋体" w:hAnsi="宋体" w:eastAsia="宋体"/>
                <w:szCs w:val="21"/>
              </w:rPr>
              <w:t>剥离岩土体积</w:t>
            </w:r>
          </w:p>
          <w:p w14:paraId="6956F133">
            <w:pPr>
              <w:jc w:val="center"/>
              <w:rPr>
                <w:rFonts w:hint="eastAsia" w:ascii="宋体" w:hAnsi="宋体" w:eastAsia="宋体"/>
                <w:szCs w:val="21"/>
              </w:rPr>
            </w:pPr>
            <w:r>
              <w:rPr>
                <w:rFonts w:hint="eastAsia" w:ascii="宋体" w:hAnsi="宋体" w:eastAsia="宋体"/>
                <w:szCs w:val="21"/>
              </w:rPr>
              <w:t>植被损毁面积</w:t>
            </w:r>
          </w:p>
        </w:tc>
        <w:tc>
          <w:tcPr>
            <w:tcW w:w="5528" w:type="dxa"/>
            <w:vAlign w:val="center"/>
          </w:tcPr>
          <w:p w14:paraId="477033C1">
            <w:pPr>
              <w:jc w:val="center"/>
              <w:rPr>
                <w:rFonts w:hint="eastAsia" w:ascii="宋体" w:hAnsi="宋体" w:eastAsia="宋体"/>
                <w:szCs w:val="21"/>
              </w:rPr>
            </w:pPr>
            <w:r>
              <w:rPr>
                <w:rFonts w:hint="eastAsia" w:ascii="宋体" w:hAnsi="宋体" w:eastAsia="宋体"/>
                <w:szCs w:val="21"/>
              </w:rPr>
              <w:t>/</w:t>
            </w:r>
          </w:p>
        </w:tc>
      </w:tr>
      <w:tr w14:paraId="1DC316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5" w:hRule="atLeast"/>
          <w:jc w:val="center"/>
        </w:trPr>
        <w:tc>
          <w:tcPr>
            <w:tcW w:w="1129" w:type="dxa"/>
            <w:vAlign w:val="center"/>
          </w:tcPr>
          <w:p w14:paraId="33B78F15">
            <w:pPr>
              <w:jc w:val="center"/>
              <w:rPr>
                <w:rFonts w:hint="eastAsia" w:ascii="宋体" w:hAnsi="宋体" w:eastAsia="宋体"/>
                <w:szCs w:val="21"/>
              </w:rPr>
            </w:pPr>
            <w:r>
              <w:rPr>
                <w:rFonts w:hint="eastAsia" w:ascii="宋体" w:hAnsi="宋体" w:eastAsia="宋体"/>
                <w:szCs w:val="21"/>
              </w:rPr>
              <w:t>地表水环境恢复</w:t>
            </w:r>
          </w:p>
        </w:tc>
        <w:tc>
          <w:tcPr>
            <w:tcW w:w="2127" w:type="dxa"/>
            <w:vAlign w:val="center"/>
          </w:tcPr>
          <w:p w14:paraId="47469C80">
            <w:pPr>
              <w:jc w:val="center"/>
              <w:rPr>
                <w:rFonts w:hint="eastAsia" w:ascii="宋体" w:hAnsi="宋体" w:eastAsia="宋体"/>
                <w:szCs w:val="21"/>
              </w:rPr>
            </w:pPr>
            <w:r>
              <w:rPr>
                <w:rFonts w:hint="eastAsia" w:ascii="宋体" w:hAnsi="宋体" w:eastAsia="宋体"/>
                <w:szCs w:val="21"/>
              </w:rPr>
              <w:t>地表水水质</w:t>
            </w:r>
          </w:p>
          <w:p w14:paraId="23F8E056">
            <w:pPr>
              <w:jc w:val="center"/>
              <w:rPr>
                <w:rFonts w:hint="eastAsia" w:ascii="宋体" w:hAnsi="宋体" w:eastAsia="宋体"/>
                <w:szCs w:val="21"/>
              </w:rPr>
            </w:pPr>
            <w:r>
              <w:rPr>
                <w:rFonts w:hint="eastAsia" w:ascii="宋体" w:hAnsi="宋体" w:eastAsia="宋体"/>
                <w:szCs w:val="21"/>
              </w:rPr>
              <w:t>底泥污染组分</w:t>
            </w:r>
          </w:p>
        </w:tc>
        <w:tc>
          <w:tcPr>
            <w:tcW w:w="5528" w:type="dxa"/>
          </w:tcPr>
          <w:p w14:paraId="176D45F0">
            <w:pPr>
              <w:jc w:val="left"/>
              <w:rPr>
                <w:rFonts w:hint="eastAsia" w:ascii="宋体" w:hAnsi="宋体" w:eastAsia="宋体"/>
                <w:szCs w:val="21"/>
              </w:rPr>
            </w:pPr>
            <w:r>
              <w:rPr>
                <w:rFonts w:hint="eastAsia" w:ascii="宋体" w:hAnsi="宋体" w:eastAsia="宋体" w:cs="Times New Roman"/>
                <w:kern w:val="0"/>
                <w:szCs w:val="21"/>
              </w:rPr>
              <w:t>色、水温、</w:t>
            </w:r>
            <w:r>
              <w:rPr>
                <w:rFonts w:hint="eastAsia" w:ascii="宋体" w:hAnsi="宋体" w:eastAsia="宋体"/>
                <w:szCs w:val="21"/>
              </w:rPr>
              <w:t>气味、</w:t>
            </w:r>
            <w:r>
              <w:rPr>
                <w:rFonts w:hint="eastAsia" w:ascii="宋体" w:hAnsi="宋体" w:eastAsia="宋体" w:cs="Times New Roman"/>
                <w:kern w:val="0"/>
                <w:szCs w:val="21"/>
              </w:rPr>
              <w:t>浑浊度或透明度、氧化还原电位，溶解性总固体（TDS），电导率、pH、硫化物、游离二氧化碳、总矿化度、总碱度、总硬度、暂时硬度、永久硬度、负硬度、可溶性二氧化硅、耗氧量、氯离子、硫酸根、硝酸根、亚硝酸根及重碳酸根、铵、钙、镁、三价铁、二价铁、钾、钠和稀土元素，汞、镉、铅、砷、铜、铝、镍、锌、硒、铬、钒、锰、铊等重金属元素，同时测试地表水体的底泥中pH、重金属和稀土元素的含量</w:t>
            </w:r>
          </w:p>
        </w:tc>
      </w:tr>
      <w:tr w14:paraId="2F14F3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3" w:hRule="atLeast"/>
          <w:jc w:val="center"/>
        </w:trPr>
        <w:tc>
          <w:tcPr>
            <w:tcW w:w="1129" w:type="dxa"/>
            <w:vAlign w:val="center"/>
          </w:tcPr>
          <w:p w14:paraId="60456B8D">
            <w:pPr>
              <w:jc w:val="center"/>
              <w:rPr>
                <w:rFonts w:hint="eastAsia" w:ascii="宋体" w:hAnsi="宋体" w:eastAsia="宋体"/>
                <w:szCs w:val="21"/>
              </w:rPr>
            </w:pPr>
            <w:r>
              <w:rPr>
                <w:rFonts w:hint="eastAsia" w:ascii="宋体" w:hAnsi="宋体" w:eastAsia="宋体"/>
                <w:szCs w:val="21"/>
              </w:rPr>
              <w:t>地下水环境恢复</w:t>
            </w:r>
          </w:p>
        </w:tc>
        <w:tc>
          <w:tcPr>
            <w:tcW w:w="2127" w:type="dxa"/>
            <w:vAlign w:val="center"/>
          </w:tcPr>
          <w:p w14:paraId="3CB9FFAE">
            <w:pPr>
              <w:jc w:val="center"/>
              <w:rPr>
                <w:rFonts w:hint="eastAsia" w:ascii="宋体" w:hAnsi="宋体" w:eastAsia="宋体"/>
                <w:szCs w:val="21"/>
              </w:rPr>
            </w:pPr>
            <w:r>
              <w:rPr>
                <w:rFonts w:hint="eastAsia" w:ascii="宋体" w:hAnsi="宋体" w:eastAsia="宋体"/>
                <w:szCs w:val="21"/>
              </w:rPr>
              <w:t>地下水位(水温)</w:t>
            </w:r>
          </w:p>
          <w:p w14:paraId="623BE6DF">
            <w:pPr>
              <w:jc w:val="center"/>
              <w:rPr>
                <w:rFonts w:hint="eastAsia" w:ascii="宋体" w:hAnsi="宋体" w:eastAsia="宋体"/>
                <w:szCs w:val="21"/>
              </w:rPr>
            </w:pPr>
            <w:r>
              <w:rPr>
                <w:rFonts w:hint="eastAsia" w:ascii="宋体" w:hAnsi="宋体" w:eastAsia="宋体"/>
                <w:szCs w:val="21"/>
              </w:rPr>
              <w:t>地下水水质</w:t>
            </w:r>
          </w:p>
        </w:tc>
        <w:tc>
          <w:tcPr>
            <w:tcW w:w="5528" w:type="dxa"/>
          </w:tcPr>
          <w:p w14:paraId="431C5FCA">
            <w:pPr>
              <w:jc w:val="left"/>
              <w:rPr>
                <w:rFonts w:hint="eastAsia" w:ascii="宋体" w:hAnsi="宋体" w:eastAsia="宋体"/>
                <w:szCs w:val="21"/>
              </w:rPr>
            </w:pPr>
            <w:r>
              <w:rPr>
                <w:rFonts w:hint="eastAsia" w:ascii="宋体" w:hAnsi="宋体" w:eastAsia="宋体"/>
                <w:szCs w:val="21"/>
              </w:rPr>
              <w:t>色、水温、气味、浑浊度或透明度、氧化还原电位，溶解性总固体（TDS），电导率、pH、硫化物、游离二氧化碳、总矿化度、总碱度、总硬度、暂时硬度、永久硬度、负硬度、可溶性二氧化硅、耗氧量、氯离子、硫酸根、硝酸根、亚硝酸根及重碳酸根、铵、钙、镁、三价铁、二价铁、钾、钠和稀土元素，汞、镉、铅、砷、铜、铝、镍、锌、硒、铬、钒、锰、铊等重金属元素</w:t>
            </w:r>
          </w:p>
        </w:tc>
      </w:tr>
      <w:tr w14:paraId="1F5DA1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0" w:hRule="atLeast"/>
          <w:jc w:val="center"/>
        </w:trPr>
        <w:tc>
          <w:tcPr>
            <w:tcW w:w="1129" w:type="dxa"/>
            <w:vAlign w:val="center"/>
          </w:tcPr>
          <w:p w14:paraId="51C94EBD">
            <w:pPr>
              <w:jc w:val="center"/>
              <w:rPr>
                <w:rFonts w:hint="eastAsia" w:ascii="宋体" w:hAnsi="宋体" w:eastAsia="宋体"/>
                <w:szCs w:val="21"/>
              </w:rPr>
            </w:pPr>
            <w:r>
              <w:rPr>
                <w:rFonts w:hint="eastAsia" w:ascii="宋体" w:hAnsi="宋体" w:eastAsia="宋体"/>
                <w:szCs w:val="21"/>
              </w:rPr>
              <w:t>土壤环境恢复</w:t>
            </w:r>
          </w:p>
        </w:tc>
        <w:tc>
          <w:tcPr>
            <w:tcW w:w="2127" w:type="dxa"/>
            <w:vAlign w:val="center"/>
          </w:tcPr>
          <w:p w14:paraId="7905B7F7">
            <w:pPr>
              <w:jc w:val="center"/>
              <w:rPr>
                <w:rFonts w:hint="eastAsia" w:ascii="宋体" w:hAnsi="宋体" w:eastAsia="宋体"/>
                <w:szCs w:val="21"/>
              </w:rPr>
            </w:pPr>
            <w:r>
              <w:rPr>
                <w:rFonts w:hint="eastAsia" w:ascii="宋体" w:hAnsi="宋体" w:eastAsia="宋体"/>
                <w:szCs w:val="21"/>
              </w:rPr>
              <w:t>土壤理化性质</w:t>
            </w:r>
          </w:p>
          <w:p w14:paraId="7C7F5FA5">
            <w:pPr>
              <w:jc w:val="center"/>
              <w:rPr>
                <w:rFonts w:hint="eastAsia" w:ascii="宋体" w:hAnsi="宋体" w:eastAsia="宋体"/>
                <w:szCs w:val="21"/>
              </w:rPr>
            </w:pPr>
            <w:r>
              <w:rPr>
                <w:rFonts w:hint="eastAsia" w:ascii="宋体" w:hAnsi="宋体" w:eastAsia="宋体"/>
                <w:szCs w:val="21"/>
              </w:rPr>
              <w:t>土壤质量</w:t>
            </w:r>
          </w:p>
          <w:p w14:paraId="32DE9096">
            <w:pPr>
              <w:jc w:val="center"/>
              <w:rPr>
                <w:rFonts w:hint="eastAsia" w:ascii="宋体" w:hAnsi="宋体" w:eastAsia="宋体"/>
                <w:szCs w:val="21"/>
              </w:rPr>
            </w:pPr>
            <w:r>
              <w:rPr>
                <w:rFonts w:hint="eastAsia" w:ascii="宋体" w:hAnsi="宋体" w:eastAsia="宋体"/>
                <w:szCs w:val="21"/>
              </w:rPr>
              <w:t>稀土元素含量</w:t>
            </w:r>
          </w:p>
        </w:tc>
        <w:tc>
          <w:tcPr>
            <w:tcW w:w="5528" w:type="dxa"/>
          </w:tcPr>
          <w:p w14:paraId="63F43FB0">
            <w:pPr>
              <w:jc w:val="left"/>
              <w:rPr>
                <w:rFonts w:hint="eastAsia" w:ascii="宋体" w:hAnsi="宋体" w:eastAsia="宋体"/>
                <w:szCs w:val="21"/>
              </w:rPr>
            </w:pPr>
            <w:r>
              <w:rPr>
                <w:rFonts w:hint="eastAsia" w:ascii="宋体" w:hAnsi="宋体" w:eastAsia="宋体"/>
                <w:szCs w:val="21"/>
              </w:rPr>
              <w:t>pH、总有机碳（TOC）、有机质，无机污染物：稀土元素、汞、镉、铅、砷、铜、铝、镍、锌、硒、铬、钒、锰、硫酸盐、硝酸盐、卤化物、碳酸盐等元素，有机污染物：有机磷和有机氯农药、多环芳烃、多氯联苯、三氯乙醛等</w:t>
            </w:r>
          </w:p>
        </w:tc>
      </w:tr>
      <w:tr w14:paraId="1C9C82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0" w:hRule="atLeast"/>
          <w:jc w:val="center"/>
        </w:trPr>
        <w:tc>
          <w:tcPr>
            <w:tcW w:w="1129" w:type="dxa"/>
            <w:vAlign w:val="center"/>
          </w:tcPr>
          <w:p w14:paraId="661746D1">
            <w:pPr>
              <w:jc w:val="center"/>
              <w:rPr>
                <w:rFonts w:hint="eastAsia" w:ascii="宋体" w:hAnsi="宋体" w:eastAsia="宋体"/>
                <w:szCs w:val="21"/>
              </w:rPr>
            </w:pPr>
            <w:r>
              <w:rPr>
                <w:rFonts w:hint="eastAsia" w:ascii="宋体" w:hAnsi="宋体" w:eastAsia="宋体"/>
                <w:szCs w:val="21"/>
              </w:rPr>
              <w:t>地形地貌景观恢复</w:t>
            </w:r>
          </w:p>
        </w:tc>
        <w:tc>
          <w:tcPr>
            <w:tcW w:w="2127" w:type="dxa"/>
            <w:vAlign w:val="center"/>
          </w:tcPr>
          <w:p w14:paraId="25F0C167">
            <w:pPr>
              <w:jc w:val="center"/>
              <w:rPr>
                <w:rFonts w:hint="eastAsia" w:ascii="宋体" w:hAnsi="宋体" w:eastAsia="宋体"/>
                <w:szCs w:val="21"/>
              </w:rPr>
            </w:pPr>
            <w:r>
              <w:rPr>
                <w:rFonts w:hint="eastAsia" w:ascii="宋体" w:hAnsi="宋体" w:eastAsia="宋体"/>
                <w:szCs w:val="21"/>
              </w:rPr>
              <w:t>危岩治理体积</w:t>
            </w:r>
          </w:p>
          <w:p w14:paraId="2604AE39">
            <w:pPr>
              <w:jc w:val="center"/>
              <w:rPr>
                <w:rFonts w:hint="eastAsia" w:ascii="宋体" w:hAnsi="宋体" w:eastAsia="宋体"/>
                <w:szCs w:val="21"/>
              </w:rPr>
            </w:pPr>
            <w:r>
              <w:rPr>
                <w:rFonts w:hint="eastAsia" w:ascii="宋体" w:hAnsi="宋体" w:eastAsia="宋体"/>
                <w:szCs w:val="21"/>
              </w:rPr>
              <w:t>危岩稳定性</w:t>
            </w:r>
          </w:p>
        </w:tc>
        <w:tc>
          <w:tcPr>
            <w:tcW w:w="5528" w:type="dxa"/>
            <w:vAlign w:val="center"/>
          </w:tcPr>
          <w:p w14:paraId="1D50601E">
            <w:pPr>
              <w:jc w:val="center"/>
              <w:rPr>
                <w:rFonts w:hint="eastAsia" w:ascii="宋体" w:hAnsi="宋体" w:eastAsia="宋体"/>
                <w:szCs w:val="21"/>
              </w:rPr>
            </w:pPr>
            <w:r>
              <w:rPr>
                <w:rFonts w:hint="eastAsia" w:ascii="宋体" w:hAnsi="宋体" w:eastAsia="宋体"/>
                <w:szCs w:val="21"/>
              </w:rPr>
              <w:t>/</w:t>
            </w:r>
          </w:p>
        </w:tc>
      </w:tr>
      <w:tr w14:paraId="0FF95F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7" w:hRule="atLeast"/>
          <w:jc w:val="center"/>
        </w:trPr>
        <w:tc>
          <w:tcPr>
            <w:tcW w:w="1129" w:type="dxa"/>
            <w:vAlign w:val="center"/>
          </w:tcPr>
          <w:p w14:paraId="3B49E7EB">
            <w:pPr>
              <w:jc w:val="center"/>
              <w:rPr>
                <w:rFonts w:hint="eastAsia" w:ascii="宋体" w:hAnsi="宋体" w:eastAsia="宋体"/>
                <w:szCs w:val="21"/>
              </w:rPr>
            </w:pPr>
            <w:r>
              <w:rPr>
                <w:rFonts w:hint="eastAsia" w:ascii="宋体" w:hAnsi="宋体" w:eastAsia="宋体"/>
                <w:szCs w:val="21"/>
              </w:rPr>
              <w:t>生态修复</w:t>
            </w:r>
          </w:p>
        </w:tc>
        <w:tc>
          <w:tcPr>
            <w:tcW w:w="2127" w:type="dxa"/>
            <w:vAlign w:val="center"/>
          </w:tcPr>
          <w:p w14:paraId="33989C59">
            <w:pPr>
              <w:jc w:val="center"/>
              <w:rPr>
                <w:rFonts w:hint="eastAsia" w:ascii="宋体" w:hAnsi="宋体" w:eastAsia="宋体"/>
                <w:szCs w:val="21"/>
              </w:rPr>
            </w:pPr>
            <w:r>
              <w:rPr>
                <w:rFonts w:hint="eastAsia" w:ascii="宋体" w:hAnsi="宋体" w:eastAsia="宋体"/>
                <w:szCs w:val="21"/>
              </w:rPr>
              <w:t>复绿面积及植被盖度</w:t>
            </w:r>
            <w:bookmarkStart w:id="335" w:name="_Hlk218645657"/>
          </w:p>
          <w:p w14:paraId="6A1579FF">
            <w:pPr>
              <w:jc w:val="center"/>
              <w:rPr>
                <w:rFonts w:hint="eastAsia" w:ascii="宋体" w:hAnsi="宋体" w:eastAsia="宋体"/>
                <w:szCs w:val="21"/>
              </w:rPr>
            </w:pPr>
            <w:r>
              <w:rPr>
                <w:rFonts w:hint="eastAsia" w:ascii="宋体" w:hAnsi="宋体" w:eastAsia="宋体"/>
                <w:szCs w:val="21"/>
              </w:rPr>
              <w:t>复绿植被成活情况</w:t>
            </w:r>
          </w:p>
          <w:p w14:paraId="1D52E3C9">
            <w:pPr>
              <w:jc w:val="center"/>
              <w:rPr>
                <w:rFonts w:hint="eastAsia" w:ascii="宋体" w:hAnsi="宋体" w:eastAsia="宋体"/>
                <w:szCs w:val="21"/>
              </w:rPr>
            </w:pPr>
            <w:r>
              <w:rPr>
                <w:rFonts w:hint="eastAsia" w:ascii="宋体" w:hAnsi="宋体" w:eastAsia="宋体"/>
                <w:szCs w:val="21"/>
              </w:rPr>
              <w:t>土地平整及复垦面积</w:t>
            </w:r>
            <w:bookmarkEnd w:id="335"/>
          </w:p>
        </w:tc>
        <w:tc>
          <w:tcPr>
            <w:tcW w:w="5528" w:type="dxa"/>
            <w:vAlign w:val="center"/>
          </w:tcPr>
          <w:p w14:paraId="7A262E82">
            <w:pPr>
              <w:jc w:val="center"/>
              <w:rPr>
                <w:rFonts w:hint="eastAsia" w:ascii="宋体" w:hAnsi="宋体" w:eastAsia="宋体"/>
                <w:szCs w:val="21"/>
              </w:rPr>
            </w:pPr>
            <w:r>
              <w:rPr>
                <w:rFonts w:hint="eastAsia" w:ascii="宋体" w:hAnsi="宋体" w:eastAsia="宋体"/>
                <w:szCs w:val="21"/>
              </w:rPr>
              <w:t>/</w:t>
            </w:r>
          </w:p>
        </w:tc>
      </w:tr>
      <w:bookmarkEnd w:id="333"/>
    </w:tbl>
    <w:p w14:paraId="32AC65C8">
      <w:pPr>
        <w:widowControl/>
        <w:jc w:val="left"/>
        <w:rPr>
          <w:rFonts w:hint="eastAsia" w:ascii="黑体" w:hAnsi="黑体" w:eastAsia="黑体" w:cstheme="majorBidi"/>
          <w:bCs/>
          <w:szCs w:val="21"/>
        </w:rPr>
      </w:pPr>
    </w:p>
    <w:p w14:paraId="137CCEA3">
      <w:pPr>
        <w:widowControl/>
        <w:jc w:val="left"/>
        <w:rPr>
          <w:rFonts w:hint="eastAsia" w:ascii="黑体" w:hAnsi="黑体" w:eastAsia="黑体" w:cstheme="majorBidi"/>
          <w:bCs/>
          <w:szCs w:val="21"/>
        </w:rPr>
      </w:pPr>
      <w:r>
        <w:rPr>
          <w:rFonts w:hint="eastAsia" w:ascii="黑体" w:hAnsi="黑体" w:eastAsia="黑体" w:cstheme="majorBidi"/>
          <w:bCs/>
          <w:szCs w:val="21"/>
        </w:rPr>
        <w:br w:type="page"/>
      </w:r>
    </w:p>
    <w:p w14:paraId="54A7E9FB">
      <w:pPr>
        <w:pStyle w:val="68"/>
        <w:ind w:left="0"/>
      </w:pPr>
      <w:r>
        <w:rPr>
          <w:rFonts w:hAnsi="黑体" w:cstheme="majorBidi"/>
          <w:bCs/>
          <w:kern w:val="2"/>
          <w:szCs w:val="21"/>
        </w:rPr>
        <w:br w:type="textWrapping"/>
      </w:r>
      <w:bookmarkStart w:id="336" w:name="_Toc338490589"/>
      <w:bookmarkStart w:id="337" w:name="_Toc405556301"/>
      <w:bookmarkStart w:id="338" w:name="_Toc405558513"/>
      <w:bookmarkStart w:id="339" w:name="_Toc359596166"/>
      <w:bookmarkStart w:id="340" w:name="_Toc225205396"/>
      <w:bookmarkStart w:id="341" w:name="_Toc373935951"/>
      <w:bookmarkStart w:id="342" w:name="_Toc399488889"/>
      <w:bookmarkStart w:id="343" w:name="_Toc338490661"/>
      <w:r>
        <w:rPr>
          <w:rFonts w:hint="eastAsia"/>
        </w:rPr>
        <w:t>（规范性附录）</w:t>
      </w:r>
      <w:r>
        <w:br w:type="textWrapping"/>
      </w:r>
      <w:r>
        <w:rPr>
          <w:rFonts w:hint="eastAsia"/>
        </w:rPr>
        <w:t>稀土矿山生态环境监测方案编写提纲</w:t>
      </w:r>
      <w:bookmarkEnd w:id="336"/>
      <w:bookmarkEnd w:id="337"/>
      <w:bookmarkEnd w:id="338"/>
      <w:bookmarkEnd w:id="339"/>
      <w:bookmarkEnd w:id="340"/>
      <w:bookmarkEnd w:id="341"/>
      <w:bookmarkEnd w:id="342"/>
      <w:bookmarkEnd w:id="343"/>
    </w:p>
    <w:p w14:paraId="48C822EA">
      <w:pPr>
        <w:pStyle w:val="76"/>
        <w:numPr>
          <w:ilvl w:val="2"/>
          <w:numId w:val="6"/>
        </w:numPr>
        <w:spacing w:before="312" w:beforeLines="100" w:after="312" w:afterLines="100"/>
      </w:pPr>
      <w:bookmarkStart w:id="344" w:name="_Toc204389160"/>
      <w:bookmarkStart w:id="345" w:name="_Toc399488787"/>
      <w:bookmarkStart w:id="346" w:name="_Toc225205397"/>
      <w:bookmarkStart w:id="347" w:name="_Toc399488892"/>
      <w:r>
        <w:rPr>
          <w:rFonts w:hint="eastAsia"/>
        </w:rPr>
        <w:t>前言</w:t>
      </w:r>
      <w:bookmarkEnd w:id="344"/>
      <w:bookmarkEnd w:id="345"/>
      <w:bookmarkEnd w:id="346"/>
      <w:bookmarkEnd w:id="347"/>
    </w:p>
    <w:p w14:paraId="40F057F4">
      <w:pPr>
        <w:pStyle w:val="7"/>
        <w:ind w:firstLine="420" w:firstLineChars="200"/>
        <w:rPr>
          <w:rFonts w:hint="eastAsia" w:hAnsi="宋体"/>
          <w:szCs w:val="21"/>
        </w:rPr>
      </w:pPr>
      <w:r>
        <w:rPr>
          <w:rFonts w:hint="eastAsia" w:hAnsi="宋体"/>
          <w:szCs w:val="21"/>
        </w:rPr>
        <w:t>说明监测工作目的、任务及监测区的地理位置、行政区划、矿山基本情况、自然地理环境、气候概况、交通条件、水源、电源情况以及社会经济概况等。</w:t>
      </w:r>
    </w:p>
    <w:p w14:paraId="5F6B0986">
      <w:pPr>
        <w:pStyle w:val="66"/>
      </w:pPr>
      <w:r>
        <w:rPr>
          <w:rFonts w:hint="eastAsia"/>
        </w:rPr>
        <w:t>监测目的、任务；</w:t>
      </w:r>
    </w:p>
    <w:p w14:paraId="28594A60">
      <w:pPr>
        <w:pStyle w:val="66"/>
      </w:pPr>
      <w:r>
        <w:rPr>
          <w:rFonts w:hint="eastAsia"/>
        </w:rPr>
        <w:t>监测区自然概况。</w:t>
      </w:r>
    </w:p>
    <w:p w14:paraId="0486FF8C">
      <w:pPr>
        <w:pStyle w:val="76"/>
        <w:numPr>
          <w:ilvl w:val="2"/>
          <w:numId w:val="6"/>
        </w:numPr>
        <w:spacing w:before="312" w:beforeLines="100" w:after="312" w:afterLines="100"/>
      </w:pPr>
      <w:bookmarkStart w:id="348" w:name="_Toc399488893"/>
      <w:bookmarkStart w:id="349" w:name="_Toc225205398"/>
      <w:bookmarkStart w:id="350" w:name="_Toc204389161"/>
      <w:bookmarkStart w:id="351" w:name="_Toc399488788"/>
      <w:r>
        <w:rPr>
          <w:rFonts w:hint="eastAsia"/>
        </w:rPr>
        <w:t>以往工作程度</w:t>
      </w:r>
      <w:bookmarkEnd w:id="348"/>
      <w:bookmarkEnd w:id="349"/>
      <w:bookmarkEnd w:id="350"/>
      <w:bookmarkEnd w:id="351"/>
    </w:p>
    <w:p w14:paraId="4A0659F4">
      <w:pPr>
        <w:pStyle w:val="7"/>
        <w:ind w:firstLine="420" w:firstLineChars="200"/>
      </w:pPr>
      <w:r>
        <w:rPr>
          <w:rFonts w:hint="eastAsia"/>
        </w:rPr>
        <w:t>分阶段简述监测区以往的地质、水文地质、工程地质、环境地质以及矿山地质环境调查工作程度，明确本次监测的工作基础，同时指出已有工作成果及其使用存在的问题。</w:t>
      </w:r>
    </w:p>
    <w:p w14:paraId="70B5B30A">
      <w:pPr>
        <w:pStyle w:val="66"/>
        <w:numPr>
          <w:ilvl w:val="0"/>
          <w:numId w:val="22"/>
        </w:numPr>
      </w:pPr>
      <w:r>
        <w:rPr>
          <w:rFonts w:hint="eastAsia"/>
        </w:rPr>
        <w:t>以往区域地质工作；</w:t>
      </w:r>
    </w:p>
    <w:p w14:paraId="05A278D4">
      <w:pPr>
        <w:pStyle w:val="66"/>
      </w:pPr>
      <w:r>
        <w:rPr>
          <w:rFonts w:hint="eastAsia"/>
        </w:rPr>
        <w:t>水文地质、工程地质工作；</w:t>
      </w:r>
    </w:p>
    <w:p w14:paraId="45020999">
      <w:pPr>
        <w:pStyle w:val="66"/>
      </w:pPr>
      <w:r>
        <w:rPr>
          <w:rFonts w:hint="eastAsia"/>
        </w:rPr>
        <w:t>环境地质、矿山地质环境调查工作。</w:t>
      </w:r>
    </w:p>
    <w:p w14:paraId="7A370F57">
      <w:pPr>
        <w:pStyle w:val="76"/>
        <w:numPr>
          <w:ilvl w:val="2"/>
          <w:numId w:val="6"/>
        </w:numPr>
        <w:spacing w:before="312" w:beforeLines="100" w:after="312" w:afterLines="100"/>
      </w:pPr>
      <w:bookmarkStart w:id="352" w:name="_Toc399488789"/>
      <w:bookmarkStart w:id="353" w:name="_Toc399488894"/>
      <w:bookmarkStart w:id="354" w:name="_Toc225205399"/>
      <w:bookmarkStart w:id="355" w:name="_Toc204389162"/>
      <w:r>
        <w:rPr>
          <w:rFonts w:hint="eastAsia"/>
        </w:rPr>
        <w:t>矿山地质环境条件</w:t>
      </w:r>
      <w:bookmarkEnd w:id="352"/>
      <w:bookmarkEnd w:id="353"/>
      <w:bookmarkEnd w:id="354"/>
      <w:bookmarkEnd w:id="355"/>
    </w:p>
    <w:p w14:paraId="2D5477DD">
      <w:pPr>
        <w:pStyle w:val="7"/>
        <w:ind w:firstLine="480"/>
        <w:rPr>
          <w:rFonts w:hint="eastAsia" w:hAnsi="宋体"/>
          <w:szCs w:val="21"/>
        </w:rPr>
      </w:pPr>
      <w:r>
        <w:rPr>
          <w:rFonts w:hint="eastAsia" w:hAnsi="宋体"/>
          <w:szCs w:val="21"/>
        </w:rPr>
        <w:t>阐述矿山地质环境背景条件和矿山地质环境问题的类型、分布及危害程度等。</w:t>
      </w:r>
    </w:p>
    <w:p w14:paraId="1C872B7C">
      <w:pPr>
        <w:pStyle w:val="66"/>
        <w:numPr>
          <w:ilvl w:val="0"/>
          <w:numId w:val="23"/>
        </w:numPr>
      </w:pPr>
      <w:r>
        <w:rPr>
          <w:rFonts w:hint="eastAsia"/>
        </w:rPr>
        <w:t>气象水文、地形地貌、地层岩性、新构造和地震、水文地质条件；</w:t>
      </w:r>
    </w:p>
    <w:p w14:paraId="089BF17E">
      <w:pPr>
        <w:pStyle w:val="66"/>
      </w:pPr>
      <w:r>
        <w:rPr>
          <w:rFonts w:hint="eastAsia"/>
        </w:rPr>
        <w:t>矿山地质环境问题现状。</w:t>
      </w:r>
    </w:p>
    <w:p w14:paraId="618C2026">
      <w:pPr>
        <w:pStyle w:val="76"/>
        <w:numPr>
          <w:ilvl w:val="2"/>
          <w:numId w:val="6"/>
        </w:numPr>
        <w:spacing w:before="312" w:beforeLines="100" w:after="312" w:afterLines="100"/>
      </w:pPr>
      <w:bookmarkStart w:id="356" w:name="_Toc204389163"/>
      <w:bookmarkStart w:id="357" w:name="_Toc399488790"/>
      <w:bookmarkStart w:id="358" w:name="_Toc399488895"/>
      <w:bookmarkStart w:id="359" w:name="_Toc225205400"/>
      <w:r>
        <w:rPr>
          <w:rFonts w:hint="eastAsia"/>
        </w:rPr>
        <w:t>工作方法及技术要求</w:t>
      </w:r>
      <w:bookmarkEnd w:id="356"/>
      <w:bookmarkEnd w:id="357"/>
      <w:bookmarkEnd w:id="358"/>
      <w:bookmarkEnd w:id="359"/>
    </w:p>
    <w:p w14:paraId="57BA468B">
      <w:pPr>
        <w:pStyle w:val="7"/>
        <w:ind w:firstLine="482"/>
        <w:rPr>
          <w:rFonts w:hint="eastAsia" w:hAnsi="宋体"/>
          <w:szCs w:val="21"/>
        </w:rPr>
      </w:pPr>
      <w:r>
        <w:rPr>
          <w:rFonts w:hint="eastAsia" w:hAnsi="宋体"/>
          <w:szCs w:val="21"/>
        </w:rPr>
        <w:t>按工作手段说明工作方式、工作内容、技术要求等。</w:t>
      </w:r>
    </w:p>
    <w:p w14:paraId="20311C30">
      <w:pPr>
        <w:pStyle w:val="66"/>
        <w:numPr>
          <w:ilvl w:val="0"/>
          <w:numId w:val="24"/>
        </w:numPr>
      </w:pPr>
      <w:r>
        <w:rPr>
          <w:rFonts w:hint="eastAsia"/>
        </w:rPr>
        <w:t>资料收集与调研；</w:t>
      </w:r>
    </w:p>
    <w:p w14:paraId="1713212D">
      <w:pPr>
        <w:pStyle w:val="66"/>
      </w:pPr>
      <w:r>
        <w:rPr>
          <w:rFonts w:hint="eastAsia"/>
        </w:rPr>
        <w:t>补充调查；</w:t>
      </w:r>
    </w:p>
    <w:p w14:paraId="53EC769D">
      <w:pPr>
        <w:pStyle w:val="66"/>
      </w:pPr>
      <w:r>
        <w:rPr>
          <w:rFonts w:hint="eastAsia"/>
        </w:rPr>
        <w:t>监测内容、监测指标、监测点密度及监测频率；</w:t>
      </w:r>
    </w:p>
    <w:p w14:paraId="318F58E0">
      <w:pPr>
        <w:pStyle w:val="66"/>
      </w:pPr>
      <w:r>
        <w:rPr>
          <w:rFonts w:hint="eastAsia"/>
        </w:rPr>
        <w:t>监测点布设；</w:t>
      </w:r>
    </w:p>
    <w:p w14:paraId="63515C2B">
      <w:pPr>
        <w:pStyle w:val="66"/>
      </w:pPr>
      <w:r>
        <w:rPr>
          <w:rFonts w:hint="eastAsia"/>
        </w:rPr>
        <w:t>主要监测方法和关键技术要点；</w:t>
      </w:r>
    </w:p>
    <w:p w14:paraId="4349D2CF">
      <w:pPr>
        <w:pStyle w:val="66"/>
      </w:pPr>
      <w:r>
        <w:rPr>
          <w:rFonts w:hint="eastAsia"/>
        </w:rPr>
        <w:t>数据采集、记录、预处理、存储、分析、评价。</w:t>
      </w:r>
    </w:p>
    <w:p w14:paraId="02292C57">
      <w:pPr>
        <w:pStyle w:val="76"/>
        <w:numPr>
          <w:ilvl w:val="2"/>
          <w:numId w:val="6"/>
        </w:numPr>
        <w:spacing w:before="312" w:beforeLines="100" w:after="312" w:afterLines="100"/>
      </w:pPr>
      <w:bookmarkStart w:id="360" w:name="_Toc399488791"/>
      <w:bookmarkStart w:id="361" w:name="_Toc399488896"/>
      <w:bookmarkStart w:id="362" w:name="_Toc204389164"/>
      <w:bookmarkStart w:id="363" w:name="_Toc225205401"/>
      <w:r>
        <w:rPr>
          <w:rFonts w:hint="eastAsia"/>
        </w:rPr>
        <w:t>工作部署及进度安排</w:t>
      </w:r>
      <w:bookmarkEnd w:id="360"/>
      <w:bookmarkEnd w:id="361"/>
      <w:bookmarkEnd w:id="362"/>
      <w:bookmarkEnd w:id="363"/>
    </w:p>
    <w:p w14:paraId="0096B09E">
      <w:pPr>
        <w:pStyle w:val="7"/>
        <w:ind w:firstLine="420" w:firstLineChars="200"/>
        <w:rPr>
          <w:rFonts w:hint="eastAsia" w:hAnsi="宋体"/>
          <w:szCs w:val="21"/>
        </w:rPr>
      </w:pPr>
      <w:r>
        <w:rPr>
          <w:rFonts w:hint="eastAsia" w:hAnsi="宋体"/>
          <w:szCs w:val="21"/>
        </w:rPr>
        <w:t>根据监测目的、任务和相关技术要求，提出总体工作思路、工作部署原则，说明各项工作间的关系及工作程序。根据项目工作部署原则，分不同层次和类型做出总体部署，并附相应的工作部署图。列出各项工作的工作量，说明年度工作安排，当年的工作安排尽可能详细。</w:t>
      </w:r>
    </w:p>
    <w:p w14:paraId="30025AEB">
      <w:pPr>
        <w:pStyle w:val="7"/>
        <w:ind w:firstLine="480"/>
        <w:rPr>
          <w:rFonts w:hint="eastAsia" w:hAnsi="宋体"/>
          <w:szCs w:val="21"/>
        </w:rPr>
      </w:pPr>
      <w:r>
        <w:rPr>
          <w:rFonts w:hint="eastAsia" w:hAnsi="宋体"/>
          <w:szCs w:val="21"/>
        </w:rPr>
        <w:t>a) 部署原则；</w:t>
      </w:r>
    </w:p>
    <w:p w14:paraId="6566B8B6">
      <w:pPr>
        <w:pStyle w:val="7"/>
        <w:ind w:firstLine="480"/>
        <w:rPr>
          <w:rFonts w:hint="eastAsia" w:hAnsi="宋体"/>
          <w:szCs w:val="21"/>
        </w:rPr>
      </w:pPr>
      <w:r>
        <w:rPr>
          <w:rFonts w:hint="eastAsia" w:hAnsi="宋体"/>
          <w:szCs w:val="21"/>
        </w:rPr>
        <w:t>b) 工作部署；</w:t>
      </w:r>
    </w:p>
    <w:p w14:paraId="30C918E3">
      <w:pPr>
        <w:pStyle w:val="7"/>
        <w:ind w:firstLine="480"/>
        <w:rPr>
          <w:rFonts w:hint="eastAsia" w:hAnsi="宋体"/>
          <w:szCs w:val="21"/>
        </w:rPr>
      </w:pPr>
      <w:r>
        <w:rPr>
          <w:rFonts w:hint="eastAsia" w:hAnsi="宋体"/>
          <w:szCs w:val="21"/>
        </w:rPr>
        <w:t>c) 工作量和进度。</w:t>
      </w:r>
    </w:p>
    <w:p w14:paraId="2DCC9AE0">
      <w:pPr>
        <w:pStyle w:val="76"/>
        <w:numPr>
          <w:ilvl w:val="2"/>
          <w:numId w:val="6"/>
        </w:numPr>
        <w:spacing w:before="312" w:beforeLines="100" w:after="312" w:afterLines="100"/>
      </w:pPr>
      <w:bookmarkStart w:id="364" w:name="_Toc399488897"/>
      <w:bookmarkStart w:id="365" w:name="_Toc399488792"/>
      <w:bookmarkStart w:id="366" w:name="_Toc204389165"/>
      <w:bookmarkStart w:id="367" w:name="_Toc225205402"/>
      <w:r>
        <w:rPr>
          <w:rFonts w:hint="eastAsia"/>
        </w:rPr>
        <w:t>实物工作量</w:t>
      </w:r>
      <w:bookmarkEnd w:id="364"/>
      <w:bookmarkEnd w:id="365"/>
      <w:bookmarkEnd w:id="366"/>
      <w:bookmarkEnd w:id="367"/>
    </w:p>
    <w:p w14:paraId="1D5E581F">
      <w:pPr>
        <w:pStyle w:val="7"/>
        <w:ind w:firstLine="420" w:firstLineChars="200"/>
        <w:rPr>
          <w:rFonts w:hint="eastAsia" w:hAnsi="宋体"/>
          <w:szCs w:val="21"/>
        </w:rPr>
      </w:pPr>
      <w:r>
        <w:rPr>
          <w:rFonts w:hint="eastAsia" w:hAnsi="宋体"/>
          <w:szCs w:val="21"/>
        </w:rPr>
        <w:t>列表说明总体监测工作部署和年度各类实物工作量。</w:t>
      </w:r>
    </w:p>
    <w:p w14:paraId="47676172">
      <w:pPr>
        <w:pStyle w:val="76"/>
        <w:numPr>
          <w:ilvl w:val="2"/>
          <w:numId w:val="6"/>
        </w:numPr>
        <w:spacing w:before="312" w:beforeLines="100" w:after="312" w:afterLines="100"/>
      </w:pPr>
      <w:bookmarkStart w:id="368" w:name="_Toc399488793"/>
      <w:bookmarkStart w:id="369" w:name="_Toc399488898"/>
      <w:bookmarkStart w:id="370" w:name="_Toc225205403"/>
      <w:bookmarkStart w:id="371" w:name="_Toc204389166"/>
      <w:r>
        <w:rPr>
          <w:rFonts w:hint="eastAsia"/>
        </w:rPr>
        <w:t>预期成果</w:t>
      </w:r>
      <w:bookmarkEnd w:id="368"/>
      <w:bookmarkEnd w:id="369"/>
      <w:bookmarkEnd w:id="370"/>
      <w:bookmarkEnd w:id="371"/>
    </w:p>
    <w:p w14:paraId="6412377E">
      <w:pPr>
        <w:pStyle w:val="7"/>
        <w:ind w:firstLine="420" w:firstLineChars="200"/>
        <w:rPr>
          <w:rFonts w:hint="eastAsia" w:hAnsi="宋体"/>
          <w:szCs w:val="21"/>
        </w:rPr>
      </w:pPr>
      <w:r>
        <w:rPr>
          <w:rFonts w:hint="eastAsia" w:hAnsi="宋体"/>
          <w:szCs w:val="21"/>
        </w:rPr>
        <w:t>说明预期成果（文字报告、图件、数据库、影像资料等）的内容和表达形式。</w:t>
      </w:r>
    </w:p>
    <w:p w14:paraId="29E7B7E3">
      <w:pPr>
        <w:pStyle w:val="76"/>
        <w:numPr>
          <w:ilvl w:val="2"/>
          <w:numId w:val="6"/>
        </w:numPr>
        <w:spacing w:before="312" w:beforeLines="100" w:after="312" w:afterLines="100"/>
      </w:pPr>
      <w:bookmarkStart w:id="372" w:name="_Toc399488794"/>
      <w:bookmarkStart w:id="373" w:name="_Toc225205404"/>
      <w:bookmarkStart w:id="374" w:name="_Toc204389167"/>
      <w:bookmarkStart w:id="375" w:name="_Toc399488899"/>
      <w:r>
        <w:rPr>
          <w:rFonts w:hint="eastAsia"/>
        </w:rPr>
        <w:t>组织机构及人员安排</w:t>
      </w:r>
      <w:bookmarkEnd w:id="372"/>
      <w:bookmarkEnd w:id="373"/>
      <w:bookmarkEnd w:id="374"/>
      <w:bookmarkEnd w:id="375"/>
    </w:p>
    <w:p w14:paraId="39865482">
      <w:pPr>
        <w:pStyle w:val="7"/>
        <w:ind w:firstLine="420" w:firstLineChars="200"/>
        <w:rPr>
          <w:rFonts w:hint="eastAsia" w:hAnsi="宋体"/>
          <w:szCs w:val="21"/>
        </w:rPr>
      </w:pPr>
      <w:r>
        <w:rPr>
          <w:rFonts w:hint="eastAsia" w:hAnsi="宋体"/>
          <w:szCs w:val="21"/>
        </w:rPr>
        <w:t>说明监测工作实施单位和承担单位，列表说明工作人员成员姓名、年龄、专业、技术职称、工作单位参加监测工作时长和在监测工作中的分工等。</w:t>
      </w:r>
    </w:p>
    <w:p w14:paraId="7164DF48">
      <w:pPr>
        <w:pStyle w:val="76"/>
        <w:numPr>
          <w:ilvl w:val="2"/>
          <w:numId w:val="6"/>
        </w:numPr>
        <w:spacing w:before="312" w:beforeLines="100" w:after="312" w:afterLines="100"/>
      </w:pPr>
      <w:bookmarkStart w:id="376" w:name="_Toc399488900"/>
      <w:bookmarkStart w:id="377" w:name="_Toc204389168"/>
      <w:bookmarkStart w:id="378" w:name="_Toc399488795"/>
      <w:bookmarkStart w:id="379" w:name="_Toc225205405"/>
      <w:r>
        <w:rPr>
          <w:rFonts w:hint="eastAsia"/>
        </w:rPr>
        <w:t>经费预算</w:t>
      </w:r>
      <w:bookmarkEnd w:id="376"/>
      <w:bookmarkEnd w:id="377"/>
      <w:bookmarkEnd w:id="378"/>
      <w:bookmarkEnd w:id="379"/>
    </w:p>
    <w:p w14:paraId="45D6C81D">
      <w:pPr>
        <w:pStyle w:val="7"/>
        <w:ind w:firstLine="420" w:firstLineChars="200"/>
        <w:rPr>
          <w:rFonts w:hint="eastAsia" w:hAnsi="宋体"/>
          <w:szCs w:val="21"/>
        </w:rPr>
      </w:pPr>
      <w:r>
        <w:rPr>
          <w:rFonts w:hint="eastAsia" w:hAnsi="宋体"/>
          <w:szCs w:val="21"/>
        </w:rPr>
        <w:t>按工作手段列出支出费用及税金。</w:t>
      </w:r>
    </w:p>
    <w:p w14:paraId="5BC7DD38">
      <w:pPr>
        <w:pStyle w:val="76"/>
        <w:numPr>
          <w:ilvl w:val="2"/>
          <w:numId w:val="6"/>
        </w:numPr>
        <w:tabs>
          <w:tab w:val="left" w:pos="567"/>
        </w:tabs>
        <w:spacing w:before="312" w:beforeLines="100" w:after="312" w:afterLines="100"/>
      </w:pPr>
      <w:bookmarkStart w:id="380" w:name="_Toc399488796"/>
      <w:bookmarkStart w:id="381" w:name="_Toc399488901"/>
      <w:bookmarkStart w:id="382" w:name="_Toc204389169"/>
      <w:bookmarkStart w:id="383" w:name="_Toc225205406"/>
      <w:r>
        <w:rPr>
          <w:rFonts w:hint="eastAsia"/>
        </w:rPr>
        <w:t>质量保障与安全措施</w:t>
      </w:r>
      <w:bookmarkEnd w:id="380"/>
      <w:bookmarkEnd w:id="381"/>
      <w:bookmarkEnd w:id="382"/>
      <w:bookmarkEnd w:id="383"/>
    </w:p>
    <w:p w14:paraId="1D7EA1A3">
      <w:pPr>
        <w:pStyle w:val="7"/>
        <w:ind w:firstLine="420" w:firstLineChars="200"/>
        <w:rPr>
          <w:rFonts w:hint="eastAsia" w:hAnsi="宋体"/>
          <w:szCs w:val="21"/>
        </w:rPr>
      </w:pPr>
      <w:r>
        <w:rPr>
          <w:rFonts w:hint="eastAsia" w:hAnsi="宋体"/>
          <w:szCs w:val="21"/>
        </w:rPr>
        <w:t>说明保障监测工作完成的技术、装备、质量、安全及劳动保护等措施。</w:t>
      </w:r>
    </w:p>
    <w:p w14:paraId="1E0B9A19">
      <w:pPr>
        <w:pStyle w:val="68"/>
        <w:ind w:left="0"/>
        <w:rPr>
          <w:rFonts w:hint="eastAsia" w:hAnsi="黑体" w:cstheme="majorBidi"/>
          <w:bCs/>
          <w:kern w:val="2"/>
          <w:szCs w:val="21"/>
        </w:rPr>
      </w:pPr>
      <w:r>
        <w:rPr>
          <w:rFonts w:ascii="宋体" w:hAnsi="宋体"/>
          <w:szCs w:val="21"/>
        </w:rPr>
        <w:br w:type="page"/>
      </w:r>
      <w:r>
        <w:rPr>
          <w:rFonts w:hAnsi="黑体" w:cstheme="majorBidi"/>
          <w:bCs/>
          <w:kern w:val="2"/>
          <w:szCs w:val="21"/>
        </w:rPr>
        <w:br w:type="textWrapping"/>
      </w:r>
      <w:bookmarkStart w:id="384" w:name="_Toc405556307"/>
      <w:bookmarkStart w:id="385" w:name="_Toc399488809"/>
      <w:bookmarkStart w:id="386" w:name="_Toc225205407"/>
      <w:bookmarkStart w:id="387" w:name="_Toc373935971"/>
      <w:bookmarkStart w:id="388" w:name="_Toc359596171"/>
      <w:bookmarkStart w:id="389" w:name="_Toc399488914"/>
      <w:bookmarkStart w:id="390" w:name="_Toc405558519"/>
      <w:r>
        <w:rPr>
          <w:rFonts w:hint="eastAsia" w:hAnsi="黑体" w:cstheme="majorBidi"/>
          <w:bCs/>
          <w:kern w:val="2"/>
          <w:szCs w:val="21"/>
        </w:rPr>
        <w:t>（规范性附录）</w:t>
      </w:r>
      <w:r>
        <w:rPr>
          <w:rFonts w:hAnsi="黑体" w:cstheme="majorBidi"/>
          <w:bCs/>
          <w:kern w:val="2"/>
          <w:szCs w:val="21"/>
        </w:rPr>
        <w:br w:type="textWrapping"/>
      </w:r>
      <w:r>
        <w:rPr>
          <w:rFonts w:hint="eastAsia" w:hAnsi="黑体" w:cstheme="majorBidi"/>
          <w:bCs/>
          <w:kern w:val="2"/>
          <w:szCs w:val="21"/>
        </w:rPr>
        <w:t>稀土矿山生态环境监测成果报告提纲</w:t>
      </w:r>
      <w:bookmarkEnd w:id="384"/>
      <w:bookmarkEnd w:id="385"/>
      <w:bookmarkEnd w:id="386"/>
      <w:bookmarkEnd w:id="387"/>
      <w:bookmarkEnd w:id="388"/>
      <w:bookmarkEnd w:id="389"/>
      <w:bookmarkEnd w:id="390"/>
    </w:p>
    <w:p w14:paraId="3E23672E">
      <w:pPr>
        <w:pStyle w:val="76"/>
        <w:numPr>
          <w:ilvl w:val="0"/>
          <w:numId w:val="25"/>
        </w:numPr>
        <w:spacing w:before="312" w:beforeLines="100" w:after="312" w:afterLines="100"/>
        <w:ind w:left="0" w:firstLine="0"/>
      </w:pPr>
      <w:bookmarkStart w:id="391" w:name="_Toc383182726"/>
      <w:bookmarkEnd w:id="391"/>
      <w:bookmarkStart w:id="392" w:name="_Toc399488810"/>
      <w:bookmarkEnd w:id="392"/>
      <w:bookmarkStart w:id="393" w:name="_Toc104298594"/>
      <w:bookmarkEnd w:id="393"/>
      <w:bookmarkStart w:id="394" w:name="_Toc399488915"/>
      <w:bookmarkEnd w:id="394"/>
      <w:bookmarkStart w:id="395" w:name="_Toc373935972"/>
      <w:bookmarkEnd w:id="395"/>
      <w:bookmarkStart w:id="396" w:name="_Toc373936120"/>
      <w:bookmarkEnd w:id="396"/>
      <w:bookmarkStart w:id="397" w:name="_Toc225205408"/>
      <w:bookmarkStart w:id="398" w:name="_Toc204389171"/>
      <w:r>
        <w:rPr>
          <w:rFonts w:hint="eastAsia"/>
        </w:rPr>
        <w:t>基本情况</w:t>
      </w:r>
      <w:bookmarkEnd w:id="397"/>
      <w:bookmarkEnd w:id="398"/>
    </w:p>
    <w:p w14:paraId="6F3A2F18">
      <w:pPr>
        <w:pStyle w:val="7"/>
        <w:ind w:firstLine="420" w:firstLineChars="200"/>
        <w:rPr>
          <w:rFonts w:hint="eastAsia" w:hAnsi="宋体"/>
          <w:szCs w:val="21"/>
        </w:rPr>
      </w:pPr>
      <w:r>
        <w:rPr>
          <w:rFonts w:hint="eastAsia" w:hAnsi="宋体"/>
          <w:szCs w:val="21"/>
        </w:rPr>
        <w:t>说明监测工作区的地理位置、行政区划、矿山基本情况、自然地理环境、气候概况、交通条件，完成的工作量以及质量评述。</w:t>
      </w:r>
    </w:p>
    <w:p w14:paraId="262D8E54">
      <w:pPr>
        <w:pStyle w:val="76"/>
        <w:numPr>
          <w:ilvl w:val="0"/>
          <w:numId w:val="25"/>
        </w:numPr>
        <w:spacing w:before="312" w:beforeLines="100" w:after="312" w:afterLines="100"/>
        <w:ind w:left="0" w:firstLine="0"/>
      </w:pPr>
      <w:bookmarkStart w:id="399" w:name="_Toc399488814"/>
      <w:bookmarkStart w:id="400" w:name="_Toc399488919"/>
      <w:bookmarkStart w:id="401" w:name="_Toc225205409"/>
      <w:bookmarkStart w:id="402" w:name="_Toc204389172"/>
      <w:r>
        <w:rPr>
          <w:rFonts w:hint="eastAsia"/>
        </w:rPr>
        <w:t>监测</w:t>
      </w:r>
      <w:bookmarkEnd w:id="399"/>
      <w:bookmarkEnd w:id="400"/>
      <w:r>
        <w:rPr>
          <w:rFonts w:hint="eastAsia"/>
        </w:rPr>
        <w:t>部署</w:t>
      </w:r>
      <w:bookmarkEnd w:id="401"/>
      <w:bookmarkEnd w:id="402"/>
    </w:p>
    <w:p w14:paraId="3CB9E17E">
      <w:pPr>
        <w:ind w:firstLine="420" w:firstLineChars="200"/>
        <w:rPr>
          <w:rFonts w:hint="eastAsia" w:ascii="宋体" w:hAnsi="宋体" w:eastAsia="宋体"/>
          <w:szCs w:val="21"/>
        </w:rPr>
      </w:pPr>
      <w:r>
        <w:rPr>
          <w:rFonts w:hint="eastAsia" w:ascii="宋体" w:hAnsi="宋体" w:eastAsia="宋体"/>
          <w:szCs w:val="21"/>
        </w:rPr>
        <w:t>说明监测目的任务及监测原则、监测内容、监测指标、监测点布设等情况。</w:t>
      </w:r>
    </w:p>
    <w:p w14:paraId="420C625C">
      <w:pPr>
        <w:pStyle w:val="66"/>
        <w:numPr>
          <w:ilvl w:val="0"/>
          <w:numId w:val="26"/>
        </w:numPr>
        <w:tabs>
          <w:tab w:val="left" w:pos="709"/>
          <w:tab w:val="clear" w:pos="840"/>
        </w:tabs>
        <w:ind w:hanging="413"/>
        <w:rPr>
          <w:rFonts w:hint="eastAsia" w:hAnsi="宋体"/>
          <w:szCs w:val="21"/>
        </w:rPr>
      </w:pPr>
      <w:r>
        <w:rPr>
          <w:rFonts w:hint="eastAsia" w:hAnsi="宋体"/>
          <w:szCs w:val="21"/>
        </w:rPr>
        <w:t>监测目的任务；</w:t>
      </w:r>
    </w:p>
    <w:p w14:paraId="7026371D">
      <w:pPr>
        <w:pStyle w:val="66"/>
        <w:tabs>
          <w:tab w:val="left" w:pos="709"/>
          <w:tab w:val="clear" w:pos="840"/>
        </w:tabs>
        <w:ind w:hanging="413"/>
        <w:rPr>
          <w:rFonts w:hint="eastAsia" w:hAnsi="宋体"/>
          <w:szCs w:val="21"/>
        </w:rPr>
      </w:pPr>
      <w:r>
        <w:rPr>
          <w:rFonts w:hint="eastAsia" w:hAnsi="宋体"/>
          <w:szCs w:val="21"/>
        </w:rPr>
        <w:t>监测原则；</w:t>
      </w:r>
    </w:p>
    <w:p w14:paraId="051D4F9F">
      <w:pPr>
        <w:pStyle w:val="66"/>
        <w:tabs>
          <w:tab w:val="left" w:pos="709"/>
          <w:tab w:val="clear" w:pos="840"/>
        </w:tabs>
        <w:ind w:hanging="413"/>
        <w:rPr>
          <w:rFonts w:hint="eastAsia" w:hAnsi="宋体"/>
          <w:szCs w:val="21"/>
        </w:rPr>
      </w:pPr>
      <w:r>
        <w:rPr>
          <w:rFonts w:hint="eastAsia" w:hAnsi="宋体"/>
          <w:szCs w:val="21"/>
        </w:rPr>
        <w:t>监测内容、监测指标、监测点密度及监测频率；</w:t>
      </w:r>
    </w:p>
    <w:p w14:paraId="50843272">
      <w:pPr>
        <w:pStyle w:val="66"/>
        <w:tabs>
          <w:tab w:val="left" w:pos="709"/>
          <w:tab w:val="clear" w:pos="840"/>
        </w:tabs>
        <w:ind w:hanging="413"/>
        <w:rPr>
          <w:rFonts w:hint="eastAsia" w:hAnsi="宋体"/>
          <w:szCs w:val="21"/>
        </w:rPr>
      </w:pPr>
      <w:r>
        <w:rPr>
          <w:rFonts w:hint="eastAsia" w:hAnsi="宋体"/>
          <w:szCs w:val="21"/>
        </w:rPr>
        <w:t>监测点布设。</w:t>
      </w:r>
    </w:p>
    <w:p w14:paraId="7A901547">
      <w:pPr>
        <w:pStyle w:val="76"/>
        <w:numPr>
          <w:ilvl w:val="0"/>
          <w:numId w:val="25"/>
        </w:numPr>
        <w:spacing w:before="312" w:beforeLines="100" w:after="312" w:afterLines="100"/>
        <w:ind w:left="0" w:firstLine="0"/>
      </w:pPr>
      <w:bookmarkStart w:id="403" w:name="_Toc204389173"/>
      <w:bookmarkStart w:id="404" w:name="_Toc399488815"/>
      <w:bookmarkStart w:id="405" w:name="_Toc399488920"/>
      <w:bookmarkStart w:id="406" w:name="_Toc225205410"/>
      <w:r>
        <w:rPr>
          <w:rFonts w:hint="eastAsia"/>
        </w:rPr>
        <w:t>监测技术方法</w:t>
      </w:r>
      <w:bookmarkEnd w:id="403"/>
      <w:bookmarkEnd w:id="404"/>
      <w:bookmarkEnd w:id="405"/>
      <w:r>
        <w:rPr>
          <w:rFonts w:hint="eastAsia"/>
        </w:rPr>
        <w:t>和关键技术要点</w:t>
      </w:r>
      <w:bookmarkEnd w:id="406"/>
    </w:p>
    <w:p w14:paraId="048D4B25">
      <w:pPr>
        <w:ind w:firstLine="420" w:firstLineChars="200"/>
        <w:rPr>
          <w:rFonts w:hint="eastAsia" w:ascii="宋体" w:hAnsi="宋体" w:eastAsia="宋体"/>
          <w:szCs w:val="21"/>
        </w:rPr>
      </w:pPr>
      <w:r>
        <w:rPr>
          <w:rFonts w:hint="eastAsia" w:ascii="宋体" w:hAnsi="宋体" w:eastAsia="宋体"/>
          <w:szCs w:val="21"/>
        </w:rPr>
        <w:t>逐项说明实际采取的方法和关键技术要点，说明使用监测设备的名称、型号、相关参数；说明监测数据采集的流程及遇到的问题，用图形、表格表示监测成果的汇总、统计、分析结果。</w:t>
      </w:r>
    </w:p>
    <w:p w14:paraId="3B8871C8">
      <w:pPr>
        <w:pStyle w:val="66"/>
        <w:numPr>
          <w:ilvl w:val="0"/>
          <w:numId w:val="27"/>
        </w:numPr>
        <w:tabs>
          <w:tab w:val="left" w:pos="709"/>
          <w:tab w:val="clear" w:pos="840"/>
        </w:tabs>
        <w:ind w:hanging="413"/>
        <w:rPr>
          <w:rFonts w:hint="eastAsia" w:hAnsi="宋体"/>
          <w:szCs w:val="21"/>
        </w:rPr>
      </w:pPr>
      <w:r>
        <w:rPr>
          <w:rFonts w:hint="eastAsia" w:hAnsi="宋体"/>
          <w:szCs w:val="21"/>
        </w:rPr>
        <w:t>监测方法及关键技术要点、监测设备；</w:t>
      </w:r>
    </w:p>
    <w:p w14:paraId="7C81C6FE">
      <w:pPr>
        <w:pStyle w:val="66"/>
        <w:tabs>
          <w:tab w:val="left" w:pos="709"/>
          <w:tab w:val="clear" w:pos="840"/>
        </w:tabs>
        <w:ind w:hanging="413"/>
        <w:rPr>
          <w:rFonts w:hint="eastAsia" w:hAnsi="宋体"/>
          <w:szCs w:val="21"/>
        </w:rPr>
      </w:pPr>
      <w:r>
        <w:rPr>
          <w:rFonts w:hint="eastAsia" w:hAnsi="宋体"/>
          <w:szCs w:val="21"/>
        </w:rPr>
        <w:t>监测数据采集、记录、预处理、存储。</w:t>
      </w:r>
    </w:p>
    <w:p w14:paraId="19BBE71A">
      <w:pPr>
        <w:pStyle w:val="76"/>
        <w:numPr>
          <w:ilvl w:val="0"/>
          <w:numId w:val="25"/>
        </w:numPr>
        <w:spacing w:before="312" w:beforeLines="100" w:after="312" w:afterLines="100"/>
        <w:ind w:left="0" w:firstLine="0"/>
      </w:pPr>
      <w:bookmarkStart w:id="407" w:name="_Toc399488921"/>
      <w:bookmarkStart w:id="408" w:name="_Toc399488816"/>
      <w:bookmarkStart w:id="409" w:name="_Toc204389174"/>
      <w:bookmarkStart w:id="410" w:name="_Toc225205411"/>
      <w:r>
        <w:rPr>
          <w:rFonts w:hint="eastAsia"/>
        </w:rPr>
        <w:t>矿山生态环境现状与发展趋势</w:t>
      </w:r>
      <w:bookmarkEnd w:id="407"/>
      <w:bookmarkEnd w:id="408"/>
      <w:bookmarkEnd w:id="409"/>
      <w:bookmarkEnd w:id="410"/>
    </w:p>
    <w:p w14:paraId="589D886A">
      <w:pPr>
        <w:ind w:firstLine="420" w:firstLineChars="200"/>
        <w:rPr>
          <w:rFonts w:hint="eastAsia" w:ascii="宋体" w:hAnsi="宋体" w:eastAsia="宋体"/>
          <w:szCs w:val="21"/>
        </w:rPr>
      </w:pPr>
      <w:r>
        <w:rPr>
          <w:rFonts w:hint="eastAsia" w:ascii="宋体" w:hAnsi="宋体" w:eastAsia="宋体"/>
          <w:szCs w:val="21"/>
        </w:rPr>
        <w:t>说明矿山生态环境问题及监测结果，矿区生态环境现状情况；说明矿山生态环境变化趋势的预测方法，预测结果，并分析可靠程度，以及出现偏差可能和影响因素。</w:t>
      </w:r>
    </w:p>
    <w:p w14:paraId="2E873EA6">
      <w:pPr>
        <w:pStyle w:val="66"/>
        <w:numPr>
          <w:ilvl w:val="0"/>
          <w:numId w:val="28"/>
        </w:numPr>
        <w:tabs>
          <w:tab w:val="left" w:pos="709"/>
          <w:tab w:val="clear" w:pos="840"/>
        </w:tabs>
        <w:ind w:hanging="413"/>
        <w:rPr>
          <w:rFonts w:hint="eastAsia" w:hAnsi="宋体"/>
          <w:szCs w:val="21"/>
        </w:rPr>
      </w:pPr>
      <w:r>
        <w:rPr>
          <w:rFonts w:hint="eastAsia" w:hAnsi="宋体"/>
          <w:szCs w:val="21"/>
        </w:rPr>
        <w:t>监测结果分析；</w:t>
      </w:r>
    </w:p>
    <w:p w14:paraId="157B2E9D">
      <w:pPr>
        <w:pStyle w:val="66"/>
        <w:tabs>
          <w:tab w:val="left" w:pos="709"/>
          <w:tab w:val="clear" w:pos="840"/>
        </w:tabs>
        <w:ind w:hanging="413"/>
        <w:rPr>
          <w:rFonts w:hint="eastAsia" w:hAnsi="宋体"/>
          <w:szCs w:val="21"/>
        </w:rPr>
      </w:pPr>
      <w:r>
        <w:rPr>
          <w:rFonts w:hint="eastAsia" w:hAnsi="宋体"/>
          <w:szCs w:val="21"/>
        </w:rPr>
        <w:t>发展趋势预测。</w:t>
      </w:r>
    </w:p>
    <w:p w14:paraId="31B7FB60">
      <w:pPr>
        <w:pStyle w:val="76"/>
        <w:numPr>
          <w:ilvl w:val="0"/>
          <w:numId w:val="25"/>
        </w:numPr>
        <w:spacing w:before="312" w:beforeLines="100" w:after="312" w:afterLines="100"/>
        <w:ind w:left="0" w:firstLine="0"/>
      </w:pPr>
      <w:bookmarkStart w:id="411" w:name="_Toc225205412"/>
      <w:bookmarkStart w:id="412" w:name="_Toc399488817"/>
      <w:bookmarkStart w:id="413" w:name="_Toc204389175"/>
      <w:bookmarkStart w:id="414" w:name="_Toc399488922"/>
      <w:r>
        <w:rPr>
          <w:rFonts w:hint="eastAsia"/>
        </w:rPr>
        <w:t>结论与建议</w:t>
      </w:r>
      <w:bookmarkEnd w:id="411"/>
      <w:bookmarkEnd w:id="412"/>
      <w:bookmarkEnd w:id="413"/>
      <w:bookmarkEnd w:id="414"/>
    </w:p>
    <w:p w14:paraId="7A337082">
      <w:pPr>
        <w:ind w:firstLine="420" w:firstLineChars="200"/>
        <w:rPr>
          <w:rFonts w:hint="eastAsia" w:ascii="宋体" w:hAnsi="宋体" w:eastAsia="宋体"/>
          <w:szCs w:val="21"/>
        </w:rPr>
      </w:pPr>
      <w:r>
        <w:rPr>
          <w:rFonts w:hint="eastAsia" w:ascii="宋体" w:hAnsi="宋体" w:eastAsia="宋体"/>
          <w:szCs w:val="21"/>
        </w:rPr>
        <w:t>分监测内容，准确、简明地给出矿山生态环境监测、评价、预测结果，根据稀土矿开采工艺、矿山生态环境现状及发展趋势，有针对性地提出矿山生态环境保护与生态修复建议和措施，措施具体，有针对性；建议明确，有操作性。</w:t>
      </w:r>
    </w:p>
    <w:p w14:paraId="227014E1">
      <w:pPr>
        <w:pStyle w:val="76"/>
        <w:numPr>
          <w:ilvl w:val="0"/>
          <w:numId w:val="25"/>
        </w:numPr>
        <w:spacing w:before="312" w:beforeLines="100" w:after="312" w:afterLines="100"/>
        <w:ind w:left="0" w:firstLine="0"/>
      </w:pPr>
      <w:bookmarkStart w:id="415" w:name="_Toc225205413"/>
      <w:r>
        <w:rPr>
          <w:rFonts w:hint="eastAsia"/>
        </w:rPr>
        <w:t>附件</w:t>
      </w:r>
      <w:bookmarkEnd w:id="415"/>
    </w:p>
    <w:p w14:paraId="085B46DD">
      <w:pPr>
        <w:adjustRightInd w:val="0"/>
        <w:snapToGrid w:val="0"/>
        <w:spacing w:line="360" w:lineRule="auto"/>
        <w:ind w:firstLine="420" w:firstLineChars="200"/>
        <w:rPr>
          <w:rFonts w:hint="eastAsia" w:ascii="宋体" w:hAnsi="宋体" w:eastAsia="宋体"/>
          <w:szCs w:val="21"/>
        </w:rPr>
      </w:pPr>
      <w:r>
        <w:rPr>
          <w:rFonts w:hint="eastAsia" w:ascii="宋体" w:hAnsi="宋体" w:eastAsia="宋体"/>
          <w:szCs w:val="21"/>
        </w:rPr>
        <w:t>监测成果对应的图件、表格等。</w:t>
      </w:r>
    </w:p>
    <w:sectPr>
      <w:footerReference r:id="rId11" w:type="default"/>
      <w:pgSz w:w="11906" w:h="16838"/>
      <w:pgMar w:top="1440" w:right="1800" w:bottom="1440" w:left="1800" w:header="1135" w:footer="521"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TimesNewRoman">
    <w:altName w:val="黑体"/>
    <w:panose1 w:val="00000000000000000000"/>
    <w:charset w:val="86"/>
    <w:family w:val="auto"/>
    <w:pitch w:val="default"/>
    <w:sig w:usb0="00000000" w:usb1="00000000" w:usb2="00000010" w:usb3="00000000" w:csb0="00040000" w:csb1="00000000"/>
  </w:font>
  <w:font w:name="Courier New">
    <w:panose1 w:val="02070309020205020404"/>
    <w:charset w:val="00"/>
    <w:family w:val="modern"/>
    <w:pitch w:val="default"/>
    <w:sig w:usb0="E0002E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8B6027">
    <w:pPr>
      <w:pStyle w:val="10"/>
      <w:spacing w:before="120" w:after="120"/>
      <w:jc w:val="center"/>
      <w:rPr>
        <w:rFonts w:hint="eastAsia"/>
      </w:rPr>
    </w:pPr>
  </w:p>
  <w:p w14:paraId="7CF47023">
    <w:pPr>
      <w:pStyle w:val="10"/>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86457692"/>
      <w:docPartObj>
        <w:docPartGallery w:val="AutoText"/>
      </w:docPartObj>
    </w:sdtPr>
    <w:sdtContent>
      <w:p w14:paraId="1C2FE859">
        <w:pPr>
          <w:pStyle w:val="10"/>
          <w:spacing w:before="120" w:after="120"/>
          <w:jc w:val="center"/>
          <w:rPr>
            <w:rFonts w:hint="eastAsia"/>
          </w:rPr>
        </w:pPr>
        <w:r>
          <w:fldChar w:fldCharType="begin"/>
        </w:r>
        <w:r>
          <w:instrText xml:space="preserve">PAGE   \* MERGEFORMAT</w:instrText>
        </w:r>
        <w:r>
          <w:fldChar w:fldCharType="separate"/>
        </w:r>
        <w:r>
          <w:rPr>
            <w:lang w:val="zh-CN"/>
          </w:rPr>
          <w:t>2</w:t>
        </w:r>
        <w:r>
          <w:fldChar w:fldCharType="end"/>
        </w:r>
      </w:p>
    </w:sdtContent>
  </w:sdt>
  <w:p w14:paraId="31623C1B">
    <w:pPr>
      <w:pStyle w:val="10"/>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447A7A">
    <w:pPr>
      <w:pStyle w:val="10"/>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25930378"/>
      <w:docPartObj>
        <w:docPartGallery w:val="AutoText"/>
      </w:docPartObj>
    </w:sdtPr>
    <w:sdtContent>
      <w:p w14:paraId="46D1B404">
        <w:pPr>
          <w:pStyle w:val="10"/>
          <w:spacing w:before="120" w:after="120"/>
          <w:jc w:val="center"/>
          <w:rPr>
            <w:rFonts w:hint="eastAsia"/>
          </w:rPr>
        </w:pPr>
        <w:r>
          <w:fldChar w:fldCharType="begin"/>
        </w:r>
        <w:r>
          <w:instrText xml:space="preserve">PAGE   \* MERGEFORMAT</w:instrText>
        </w:r>
        <w:r>
          <w:fldChar w:fldCharType="separate"/>
        </w:r>
        <w:r>
          <w:rPr>
            <w:lang w:val="zh-CN"/>
          </w:rPr>
          <w:t>1</w:t>
        </w:r>
        <w:r>
          <w:fldChar w:fldCharType="end"/>
        </w:r>
      </w:p>
    </w:sdtContent>
  </w:sdt>
  <w:p w14:paraId="75F3C9BA">
    <w:pPr>
      <w:pStyle w:val="10"/>
      <w:rPr>
        <w:rFonts w:hint="eastAsia"/>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53418501"/>
      <w:docPartObj>
        <w:docPartGallery w:val="AutoText"/>
      </w:docPartObj>
    </w:sdtPr>
    <w:sdtContent>
      <w:p w14:paraId="186717A1">
        <w:pPr>
          <w:pStyle w:val="10"/>
          <w:spacing w:before="120" w:after="120"/>
          <w:jc w:val="center"/>
          <w:rPr>
            <w:rFonts w:hint="eastAsia"/>
          </w:rPr>
        </w:pPr>
        <w:r>
          <w:fldChar w:fldCharType="begin"/>
        </w:r>
        <w:r>
          <w:instrText xml:space="preserve">PAGE   \* MERGEFORMAT</w:instrText>
        </w:r>
        <w:r>
          <w:fldChar w:fldCharType="separate"/>
        </w:r>
        <w:r>
          <w:rPr>
            <w:lang w:val="zh-CN"/>
          </w:rPr>
          <w:t>3</w:t>
        </w:r>
        <w:r>
          <w:fldChar w:fldCharType="end"/>
        </w:r>
      </w:p>
    </w:sdtContent>
  </w:sdt>
  <w:p w14:paraId="4602333C">
    <w:pPr>
      <w:pStyle w:val="10"/>
      <w:rPr>
        <w:rFonts w:hint="eastAsi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722341">
    <w:pPr>
      <w:pStyle w:val="11"/>
      <w:pBdr>
        <w:bottom w:val="none" w:color="auto" w:sz="0" w:space="0"/>
      </w:pBdr>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76B964">
    <w:pPr>
      <w:pStyle w:val="11"/>
      <w:pBdr>
        <w:bottom w:val="none" w:color="auto" w:sz="0" w:space="0"/>
      </w:pBdr>
      <w:jc w:val="left"/>
      <w:rPr>
        <w:rFonts w:hint="eastAsia" w:ascii="Times New Roman" w:hAnsi="Times New Roman" w:eastAsia="宋体" w:cs="Times New Roman"/>
      </w:rPr>
    </w:pPr>
    <w:r>
      <w:rPr>
        <w:rFonts w:ascii="Times New Roman" w:hAnsi="Times New Roman" w:eastAsia="宋体" w:cs="Times New Roman"/>
      </w:rPr>
      <w:t>T/CAGHPER XXX-XXXX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69995D">
    <w:pPr>
      <w:pStyle w:val="11"/>
      <w:rPr>
        <w:rFonts w:hint="eastAsia"/>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E3C9B2">
    <w:pPr>
      <w:pStyle w:val="11"/>
      <w:pBdr>
        <w:bottom w:val="none" w:color="auto" w:sz="0" w:space="0"/>
      </w:pBdr>
      <w:jc w:val="right"/>
      <w:rPr>
        <w:rFonts w:ascii="Times New Roman" w:hAnsi="Times New Roman" w:eastAsia="宋体" w:cs="Times New Roman"/>
      </w:rPr>
    </w:pPr>
    <w:r>
      <w:rPr>
        <w:rFonts w:ascii="Times New Roman" w:hAnsi="Times New Roman" w:eastAsia="宋体" w:cs="Times New Roman"/>
      </w:rPr>
      <w:t>T/CAGHPER XXX-XXXX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B3C26A6"/>
    <w:multiLevelType w:val="multilevel"/>
    <w:tmpl w:val="0B3C26A6"/>
    <w:lvl w:ilvl="0" w:tentative="0">
      <w:start w:val="1"/>
      <w:numFmt w:val="decimal"/>
      <w:lvlText w:val="%1"/>
      <w:lvlJc w:val="left"/>
      <w:pPr>
        <w:ind w:left="564" w:hanging="564"/>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110A5D04"/>
    <w:multiLevelType w:val="multilevel"/>
    <w:tmpl w:val="110A5D04"/>
    <w:lvl w:ilvl="0" w:tentative="0">
      <w:start w:val="8"/>
      <w:numFmt w:val="decimal"/>
      <w:lvlText w:val="%1"/>
      <w:lvlJc w:val="left"/>
      <w:pPr>
        <w:ind w:left="360" w:hanging="360"/>
      </w:pPr>
      <w:rPr>
        <w:rFonts w:hint="default"/>
      </w:rPr>
    </w:lvl>
    <w:lvl w:ilvl="1" w:tentative="0">
      <w:start w:val="1"/>
      <w:numFmt w:val="decimal"/>
      <w:lvlText w:val="9.%2"/>
      <w:lvlJc w:val="left"/>
      <w:pPr>
        <w:ind w:left="564" w:hanging="564"/>
      </w:pPr>
      <w:rPr>
        <w:rFonts w:hint="default" w:ascii="黑体" w:hAnsi="黑体" w:eastAsia="黑体"/>
      </w:rPr>
    </w:lvl>
    <w:lvl w:ilvl="2" w:tentative="0">
      <w:start w:val="8"/>
      <w:numFmt w:val="decimal"/>
      <w:lvlText w:val="10.1.%3"/>
      <w:lvlJc w:val="left"/>
      <w:pPr>
        <w:ind w:left="440" w:hanging="440"/>
      </w:pPr>
      <w:rPr>
        <w:rFonts w:hint="eastAsia"/>
      </w:rPr>
    </w:lvl>
    <w:lvl w:ilvl="3" w:tentative="0">
      <w:start w:val="1"/>
      <w:numFmt w:val="decimal"/>
      <w:lvlText w:val="%1.%2.%3.%4"/>
      <w:lvlJc w:val="left"/>
      <w:pPr>
        <w:ind w:left="1080" w:hanging="108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440" w:hanging="144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800" w:hanging="1800"/>
      </w:pPr>
      <w:rPr>
        <w:rFonts w:hint="default"/>
      </w:rPr>
    </w:lvl>
    <w:lvl w:ilvl="8" w:tentative="0">
      <w:start w:val="1"/>
      <w:numFmt w:val="decimal"/>
      <w:lvlText w:val="%1.%2.%3.%4.%5.%6.%7.%8.%9"/>
      <w:lvlJc w:val="left"/>
      <w:pPr>
        <w:ind w:left="1800" w:hanging="1800"/>
      </w:pPr>
      <w:rPr>
        <w:rFonts w:hint="default"/>
      </w:rPr>
    </w:lvl>
  </w:abstractNum>
  <w:abstractNum w:abstractNumId="2">
    <w:nsid w:val="19CA063A"/>
    <w:multiLevelType w:val="multilevel"/>
    <w:tmpl w:val="19CA063A"/>
    <w:lvl w:ilvl="0" w:tentative="0">
      <w:start w:val="1"/>
      <w:numFmt w:val="decimal"/>
      <w:lvlText w:val="6.%1"/>
      <w:lvlJc w:val="right"/>
      <w:pPr>
        <w:ind w:left="420" w:hanging="420"/>
      </w:pPr>
      <w:rPr>
        <w:rFonts w:hint="eastAsia" w:ascii="黑体" w:hAnsi="黑体" w:eastAsia="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1FC91163"/>
    <w:multiLevelType w:val="multilevel"/>
    <w:tmpl w:val="1FC91163"/>
    <w:lvl w:ilvl="0" w:tentative="0">
      <w:start w:val="1"/>
      <w:numFmt w:val="decimal"/>
      <w:suff w:val="nothing"/>
      <w:lvlText w:val="%1　"/>
      <w:lvlJc w:val="left"/>
      <w:pPr>
        <w:ind w:left="0" w:firstLine="0"/>
      </w:pPr>
      <w:rPr>
        <w:rFonts w:hint="eastAsia" w:ascii="黑体" w:hAnsi="Times New Roman" w:eastAsia="黑体"/>
        <w:b w:val="0"/>
        <w:i w:val="0"/>
        <w:sz w:val="21"/>
        <w:szCs w:val="21"/>
      </w:rPr>
    </w:lvl>
    <w:lvl w:ilvl="1" w:tentative="0">
      <w:start w:val="1"/>
      <w:numFmt w:val="decimal"/>
      <w:suff w:val="nothing"/>
      <w:lvlText w:val="%1.%2　"/>
      <w:lvlJc w:val="left"/>
      <w:pPr>
        <w:ind w:left="0" w:firstLine="0"/>
      </w:pPr>
      <w:rPr>
        <w:rFonts w:hint="eastAsia" w:ascii="黑体" w:hAnsi="Times New Roman" w:eastAsia="黑体" w:cs="Times New Roman"/>
        <w:b w:val="0"/>
        <w:bCs w:val="0"/>
        <w:i w:val="0"/>
        <w:iCs w:val="0"/>
        <w:caps w:val="0"/>
        <w:strike w:val="0"/>
        <w:dstrike w:val="0"/>
        <w:outline w:val="0"/>
        <w:shadow w:val="0"/>
        <w:emboss w:val="0"/>
        <w:imprint w:val="0"/>
        <w:vanish w:val="0"/>
        <w:spacing w:val="0"/>
        <w:kern w:val="0"/>
        <w:position w:val="0"/>
        <w:sz w:val="21"/>
        <w:szCs w:val="21"/>
        <w:u w:val="none"/>
        <w:vertAlign w:val="baseline"/>
      </w:rPr>
    </w:lvl>
    <w:lvl w:ilvl="2" w:tentative="0">
      <w:start w:val="1"/>
      <w:numFmt w:val="decimal"/>
      <w:suff w:val="nothing"/>
      <w:lvlText w:val="%1.%2.%3　"/>
      <w:lvlJc w:val="left"/>
      <w:pPr>
        <w:ind w:left="1418" w:firstLine="0"/>
      </w:pPr>
      <w:rPr>
        <w:rFonts w:hint="eastAsia" w:ascii="宋体" w:hAnsi="宋体" w:eastAsia="宋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4">
    <w:nsid w:val="1FF53BE4"/>
    <w:multiLevelType w:val="multilevel"/>
    <w:tmpl w:val="1FF53BE4"/>
    <w:lvl w:ilvl="0" w:tentative="0">
      <w:start w:val="1"/>
      <w:numFmt w:val="lowerLetter"/>
      <w:pStyle w:val="66"/>
      <w:lvlText w:val="%1)"/>
      <w:lvlJc w:val="left"/>
      <w:pPr>
        <w:tabs>
          <w:tab w:val="left" w:pos="840"/>
        </w:tabs>
        <w:ind w:left="839" w:hanging="419"/>
      </w:pPr>
      <w:rPr>
        <w:rFonts w:hint="eastAsia" w:ascii="宋体" w:eastAsia="宋体"/>
        <w:b w:val="0"/>
        <w:i w:val="0"/>
        <w:sz w:val="21"/>
        <w:szCs w:val="21"/>
      </w:rPr>
    </w:lvl>
    <w:lvl w:ilvl="1" w:tentative="0">
      <w:start w:val="1"/>
      <w:numFmt w:val="decimal"/>
      <w:pStyle w:val="65"/>
      <w:lvlText w:val="%2)"/>
      <w:lvlJc w:val="left"/>
      <w:pPr>
        <w:tabs>
          <w:tab w:val="left" w:pos="1260"/>
        </w:tabs>
        <w:ind w:left="1259" w:hanging="419"/>
      </w:pPr>
      <w:rPr>
        <w:rFonts w:hint="eastAsia"/>
      </w:rPr>
    </w:lvl>
    <w:lvl w:ilvl="2" w:tentative="0">
      <w:start w:val="1"/>
      <w:numFmt w:val="decimal"/>
      <w:pStyle w:val="67"/>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5">
    <w:nsid w:val="256C5A0C"/>
    <w:multiLevelType w:val="multilevel"/>
    <w:tmpl w:val="256C5A0C"/>
    <w:lvl w:ilvl="0" w:tentative="0">
      <w:start w:val="1"/>
      <w:numFmt w:val="decimal"/>
      <w:lvlText w:val="B.%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2C5917C3"/>
    <w:multiLevelType w:val="multilevel"/>
    <w:tmpl w:val="2C5917C3"/>
    <w:lvl w:ilvl="0" w:tentative="0">
      <w:start w:val="1"/>
      <w:numFmt w:val="none"/>
      <w:pStyle w:val="58"/>
      <w:suff w:val="nothing"/>
      <w:lvlText w:val="%1——"/>
      <w:lvlJc w:val="left"/>
      <w:pPr>
        <w:ind w:left="833" w:hanging="408"/>
      </w:pPr>
      <w:rPr>
        <w:rFonts w:hint="eastAsia"/>
      </w:rPr>
    </w:lvl>
    <w:lvl w:ilvl="1" w:tentative="0">
      <w:start w:val="1"/>
      <w:numFmt w:val="bullet"/>
      <w:pStyle w:val="59"/>
      <w:lvlText w:val=""/>
      <w:lvlJc w:val="left"/>
      <w:pPr>
        <w:tabs>
          <w:tab w:val="left" w:pos="760"/>
        </w:tabs>
        <w:ind w:left="1264" w:hanging="413"/>
      </w:pPr>
      <w:rPr>
        <w:rFonts w:hint="default" w:ascii="Symbol" w:hAnsi="Symbol"/>
        <w:color w:val="auto"/>
      </w:rPr>
    </w:lvl>
    <w:lvl w:ilvl="2" w:tentative="0">
      <w:start w:val="1"/>
      <w:numFmt w:val="bullet"/>
      <w:pStyle w:val="60"/>
      <w:lvlText w:val=""/>
      <w:lvlJc w:val="left"/>
      <w:pPr>
        <w:tabs>
          <w:tab w:val="left" w:pos="1678"/>
        </w:tabs>
        <w:ind w:left="1678" w:hanging="414"/>
      </w:pPr>
      <w:rPr>
        <w:rFonts w:hint="default" w:ascii="Symbol" w:hAnsi="Symbol"/>
        <w:color w:val="auto"/>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7">
    <w:nsid w:val="3A44158E"/>
    <w:multiLevelType w:val="multilevel"/>
    <w:tmpl w:val="3A44158E"/>
    <w:lvl w:ilvl="0" w:tentative="0">
      <w:start w:val="1"/>
      <w:numFmt w:val="decimal"/>
      <w:pStyle w:val="57"/>
      <w:lvlText w:val="%1.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3AA35077"/>
    <w:multiLevelType w:val="multilevel"/>
    <w:tmpl w:val="3AA35077"/>
    <w:lvl w:ilvl="0" w:tentative="0">
      <w:start w:val="1"/>
      <w:numFmt w:val="decimal"/>
      <w:lvlText w:val="8.2.%1"/>
      <w:lvlJc w:val="left"/>
      <w:pPr>
        <w:ind w:left="564" w:hanging="564"/>
      </w:pPr>
      <w:rPr>
        <w:rFonts w:hint="default" w:ascii="黑体" w:hAnsi="黑体" w:eastAsia="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40BA523E"/>
    <w:multiLevelType w:val="multilevel"/>
    <w:tmpl w:val="40BA523E"/>
    <w:lvl w:ilvl="0" w:tentative="0">
      <w:start w:val="1"/>
      <w:numFmt w:val="decimal"/>
      <w:lvlText w:val="9.3.2.%1"/>
      <w:lvlJc w:val="left"/>
      <w:pPr>
        <w:ind w:left="420" w:hanging="420"/>
      </w:pPr>
      <w:rPr>
        <w:rFonts w:hint="default" w:ascii="黑体" w:hAnsi="黑体" w:eastAsia="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50BE588D"/>
    <w:multiLevelType w:val="multilevel"/>
    <w:tmpl w:val="50BE588D"/>
    <w:lvl w:ilvl="0" w:tentative="0">
      <w:start w:val="1"/>
      <w:numFmt w:val="decimal"/>
      <w:lvlText w:val="7.%1"/>
      <w:lvlJc w:val="right"/>
      <w:pPr>
        <w:ind w:left="420" w:hanging="420"/>
      </w:pPr>
      <w:rPr>
        <w:rFonts w:hint="eastAsia" w:ascii="黑体" w:hAnsi="黑体" w:eastAsia="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5315129A"/>
    <w:multiLevelType w:val="multilevel"/>
    <w:tmpl w:val="5315129A"/>
    <w:lvl w:ilvl="0" w:tentative="0">
      <w:start w:val="1"/>
      <w:numFmt w:val="decimal"/>
      <w:lvlText w:val="9.3.3.%1"/>
      <w:lvlJc w:val="left"/>
      <w:pPr>
        <w:ind w:left="420" w:hanging="420"/>
      </w:pPr>
      <w:rPr>
        <w:rFonts w:hint="default" w:ascii="黑体" w:hAnsi="黑体" w:eastAsia="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5408721D"/>
    <w:multiLevelType w:val="multilevel"/>
    <w:tmpl w:val="5408721D"/>
    <w:lvl w:ilvl="0" w:tentative="0">
      <w:start w:val="1"/>
      <w:numFmt w:val="decimal"/>
      <w:lvlText w:val="11.%1"/>
      <w:lvlJc w:val="left"/>
      <w:pPr>
        <w:ind w:left="564" w:hanging="564"/>
      </w:pPr>
      <w:rPr>
        <w:rFonts w:hint="default" w:ascii="黑体" w:hAnsi="黑体" w:eastAsia="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
    <w:nsid w:val="60B55DC2"/>
    <w:multiLevelType w:val="multilevel"/>
    <w:tmpl w:val="60B55DC2"/>
    <w:lvl w:ilvl="0" w:tentative="0">
      <w:start w:val="1"/>
      <w:numFmt w:val="upperLetter"/>
      <w:pStyle w:val="69"/>
      <w:lvlText w:val="%1"/>
      <w:lvlJc w:val="left"/>
      <w:pPr>
        <w:tabs>
          <w:tab w:val="left" w:pos="0"/>
        </w:tabs>
        <w:ind w:left="0" w:hanging="425"/>
      </w:pPr>
      <w:rPr>
        <w:rFonts w:hint="eastAsia"/>
      </w:rPr>
    </w:lvl>
    <w:lvl w:ilvl="1" w:tentative="0">
      <w:start w:val="1"/>
      <w:numFmt w:val="decimal"/>
      <w:pStyle w:val="70"/>
      <w:suff w:val="nothing"/>
      <w:lvlText w:val="表%1.%2　"/>
      <w:lvlJc w:val="left"/>
      <w:pPr>
        <w:ind w:left="4032" w:hanging="567"/>
      </w:pPr>
      <w:rPr>
        <w:rFonts w:hint="eastAsia"/>
      </w:rPr>
    </w:lvl>
    <w:lvl w:ilvl="2" w:tentative="0">
      <w:start w:val="1"/>
      <w:numFmt w:val="decimal"/>
      <w:lvlText w:val="%1.%2.%3"/>
      <w:lvlJc w:val="left"/>
      <w:pPr>
        <w:tabs>
          <w:tab w:val="left" w:pos="993"/>
        </w:tabs>
        <w:ind w:left="993" w:hanging="567"/>
      </w:pPr>
      <w:rPr>
        <w:rFonts w:hint="eastAsia"/>
      </w:rPr>
    </w:lvl>
    <w:lvl w:ilvl="3" w:tentative="0">
      <w:start w:val="1"/>
      <w:numFmt w:val="decimal"/>
      <w:lvlText w:val="%1.%2.%3.%4"/>
      <w:lvlJc w:val="left"/>
      <w:pPr>
        <w:tabs>
          <w:tab w:val="left" w:pos="2291"/>
        </w:tabs>
        <w:ind w:left="1559" w:hanging="708"/>
      </w:pPr>
      <w:rPr>
        <w:rFonts w:hint="eastAsia"/>
      </w:rPr>
    </w:lvl>
    <w:lvl w:ilvl="4" w:tentative="0">
      <w:start w:val="1"/>
      <w:numFmt w:val="decimal"/>
      <w:lvlText w:val="%1.%2.%3.%4.%5"/>
      <w:lvlJc w:val="left"/>
      <w:pPr>
        <w:tabs>
          <w:tab w:val="left" w:pos="3076"/>
        </w:tabs>
        <w:ind w:left="2126" w:hanging="850"/>
      </w:pPr>
      <w:rPr>
        <w:rFonts w:hint="eastAsia"/>
      </w:rPr>
    </w:lvl>
    <w:lvl w:ilvl="5" w:tentative="0">
      <w:start w:val="1"/>
      <w:numFmt w:val="decimal"/>
      <w:lvlText w:val="%1.%2.%3.%4.%5.%6"/>
      <w:lvlJc w:val="left"/>
      <w:pPr>
        <w:tabs>
          <w:tab w:val="left" w:pos="3861"/>
        </w:tabs>
        <w:ind w:left="2835" w:hanging="1134"/>
      </w:pPr>
      <w:rPr>
        <w:rFonts w:hint="eastAsia"/>
      </w:rPr>
    </w:lvl>
    <w:lvl w:ilvl="6" w:tentative="0">
      <w:start w:val="1"/>
      <w:numFmt w:val="decimal"/>
      <w:lvlText w:val="%1.%2.%3.%4.%5.%6.%7"/>
      <w:lvlJc w:val="left"/>
      <w:pPr>
        <w:tabs>
          <w:tab w:val="left" w:pos="4646"/>
        </w:tabs>
        <w:ind w:left="3402" w:hanging="1276"/>
      </w:pPr>
      <w:rPr>
        <w:rFonts w:hint="eastAsia"/>
      </w:rPr>
    </w:lvl>
    <w:lvl w:ilvl="7" w:tentative="0">
      <w:start w:val="1"/>
      <w:numFmt w:val="decimal"/>
      <w:lvlText w:val="%1.%2.%3.%4.%5.%6.%7.%8"/>
      <w:lvlJc w:val="left"/>
      <w:pPr>
        <w:tabs>
          <w:tab w:val="left" w:pos="5431"/>
        </w:tabs>
        <w:ind w:left="3969" w:hanging="1418"/>
      </w:pPr>
      <w:rPr>
        <w:rFonts w:hint="eastAsia"/>
      </w:rPr>
    </w:lvl>
    <w:lvl w:ilvl="8" w:tentative="0">
      <w:start w:val="1"/>
      <w:numFmt w:val="decimal"/>
      <w:lvlText w:val="%1.%2.%3.%4.%5.%6.%7.%8.%9"/>
      <w:lvlJc w:val="left"/>
      <w:pPr>
        <w:tabs>
          <w:tab w:val="left" w:pos="6217"/>
        </w:tabs>
        <w:ind w:left="4677" w:hanging="1700"/>
      </w:pPr>
      <w:rPr>
        <w:rFonts w:hint="eastAsia"/>
      </w:rPr>
    </w:lvl>
  </w:abstractNum>
  <w:abstractNum w:abstractNumId="14">
    <w:nsid w:val="6332322C"/>
    <w:multiLevelType w:val="multilevel"/>
    <w:tmpl w:val="6332322C"/>
    <w:lvl w:ilvl="0" w:tentative="0">
      <w:start w:val="10"/>
      <w:numFmt w:val="decimal"/>
      <w:lvlText w:val="%1"/>
      <w:lvlJc w:val="left"/>
      <w:pPr>
        <w:ind w:left="432" w:hanging="432"/>
      </w:pPr>
      <w:rPr>
        <w:rFonts w:hint="default"/>
      </w:rPr>
    </w:lvl>
    <w:lvl w:ilvl="1" w:tentative="0">
      <w:start w:val="2"/>
      <w:numFmt w:val="decimal"/>
      <w:lvlText w:val="%1.%2"/>
      <w:lvlJc w:val="left"/>
      <w:pPr>
        <w:ind w:left="432" w:hanging="432"/>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1080" w:hanging="108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440" w:hanging="144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800" w:hanging="1800"/>
      </w:pPr>
      <w:rPr>
        <w:rFonts w:hint="default"/>
      </w:rPr>
    </w:lvl>
    <w:lvl w:ilvl="8" w:tentative="0">
      <w:start w:val="1"/>
      <w:numFmt w:val="decimal"/>
      <w:lvlText w:val="%1.%2.%3.%4.%5.%6.%7.%8.%9"/>
      <w:lvlJc w:val="left"/>
      <w:pPr>
        <w:ind w:left="1800" w:hanging="1800"/>
      </w:pPr>
      <w:rPr>
        <w:rFonts w:hint="default"/>
      </w:rPr>
    </w:lvl>
  </w:abstractNum>
  <w:abstractNum w:abstractNumId="15">
    <w:nsid w:val="646260FA"/>
    <w:multiLevelType w:val="multilevel"/>
    <w:tmpl w:val="646260FA"/>
    <w:lvl w:ilvl="0" w:tentative="0">
      <w:start w:val="1"/>
      <w:numFmt w:val="decimal"/>
      <w:pStyle w:val="61"/>
      <w:suff w:val="nothing"/>
      <w:lvlText w:val="表%1　"/>
      <w:lvlJc w:val="left"/>
      <w:pPr>
        <w:ind w:left="7938" w:firstLine="0"/>
      </w:pPr>
      <w:rPr>
        <w:rFonts w:hint="eastAsia" w:ascii="黑体" w:hAnsi="Times New Roman" w:eastAsia="黑体"/>
        <w:b w:val="0"/>
        <w:i w:val="0"/>
        <w:sz w:val="21"/>
      </w:rPr>
    </w:lvl>
    <w:lvl w:ilvl="1" w:tentative="0">
      <w:start w:val="1"/>
      <w:numFmt w:val="decimal"/>
      <w:lvlText w:val="%1.%2"/>
      <w:lvlJc w:val="left"/>
      <w:pPr>
        <w:tabs>
          <w:tab w:val="left" w:pos="992"/>
        </w:tabs>
        <w:ind w:left="992" w:hanging="567"/>
      </w:pPr>
      <w:rPr>
        <w:rFonts w:hint="eastAsia"/>
      </w:rPr>
    </w:lvl>
    <w:lvl w:ilvl="2" w:tentative="0">
      <w:start w:val="1"/>
      <w:numFmt w:val="decimal"/>
      <w:lvlText w:val="%1.%2.%3"/>
      <w:lvlJc w:val="left"/>
      <w:pPr>
        <w:tabs>
          <w:tab w:val="left" w:pos="1418"/>
        </w:tabs>
        <w:ind w:left="1418" w:hanging="567"/>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6">
    <w:nsid w:val="65704BF7"/>
    <w:multiLevelType w:val="multilevel"/>
    <w:tmpl w:val="65704BF7"/>
    <w:lvl w:ilvl="0" w:tentative="0">
      <w:start w:val="1"/>
      <w:numFmt w:val="decimal"/>
      <w:lvlText w:val="9.3.1.%1"/>
      <w:lvlJc w:val="left"/>
      <w:pPr>
        <w:ind w:left="420" w:hanging="420"/>
      </w:pPr>
      <w:rPr>
        <w:rFonts w:hint="default" w:ascii="黑体" w:hAnsi="黑体" w:eastAsia="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7">
    <w:nsid w:val="657D3FBC"/>
    <w:multiLevelType w:val="multilevel"/>
    <w:tmpl w:val="657D3FBC"/>
    <w:lvl w:ilvl="0" w:tentative="0">
      <w:start w:val="1"/>
      <w:numFmt w:val="upperLetter"/>
      <w:pStyle w:val="68"/>
      <w:suff w:val="nothing"/>
      <w:lvlText w:val="附　录　%1"/>
      <w:lvlJc w:val="left"/>
      <w:pPr>
        <w:ind w:left="5529" w:firstLine="0"/>
      </w:pPr>
      <w:rPr>
        <w:rFonts w:hint="eastAsia" w:ascii="黑体" w:hAnsi="Times New Roman" w:eastAsia="黑体"/>
        <w:b w:val="0"/>
        <w:i w:val="0"/>
        <w:spacing w:val="0"/>
        <w:w w:val="100"/>
        <w:sz w:val="21"/>
      </w:rPr>
    </w:lvl>
    <w:lvl w:ilvl="1" w:tentative="0">
      <w:start w:val="1"/>
      <w:numFmt w:val="decimal"/>
      <w:pStyle w:val="75"/>
      <w:suff w:val="nothing"/>
      <w:lvlText w:val="%1.%2　"/>
      <w:lvlJc w:val="left"/>
      <w:pPr>
        <w:ind w:left="0" w:firstLine="0"/>
      </w:pPr>
      <w:rPr>
        <w:rFonts w:hint="eastAsia" w:ascii="黑体" w:hAnsi="Times New Roman" w:eastAsia="黑体"/>
        <w:b w:val="0"/>
        <w:i w:val="0"/>
        <w:snapToGrid/>
        <w:spacing w:val="0"/>
        <w:w w:val="100"/>
        <w:kern w:val="21"/>
        <w:sz w:val="21"/>
      </w:rPr>
    </w:lvl>
    <w:lvl w:ilvl="2" w:tentative="0">
      <w:start w:val="1"/>
      <w:numFmt w:val="decimal"/>
      <w:lvlText w:val="A.%3"/>
      <w:lvlJc w:val="left"/>
      <w:pPr>
        <w:ind w:left="0" w:firstLine="0"/>
      </w:pPr>
      <w:rPr>
        <w:rFonts w:hint="eastAsia"/>
        <w:b w:val="0"/>
        <w:i w:val="0"/>
        <w:sz w:val="21"/>
      </w:rPr>
    </w:lvl>
    <w:lvl w:ilvl="3" w:tentative="0">
      <w:start w:val="1"/>
      <w:numFmt w:val="decimal"/>
      <w:pStyle w:val="71"/>
      <w:suff w:val="nothing"/>
      <w:lvlText w:val="%1.%2.%3.%4　"/>
      <w:lvlJc w:val="left"/>
      <w:pPr>
        <w:ind w:left="0" w:firstLine="0"/>
      </w:pPr>
      <w:rPr>
        <w:rFonts w:hint="eastAsia" w:ascii="黑体" w:hAnsi="Times New Roman" w:eastAsia="黑体"/>
        <w:b w:val="0"/>
        <w:i w:val="0"/>
        <w:sz w:val="21"/>
      </w:rPr>
    </w:lvl>
    <w:lvl w:ilvl="4" w:tentative="0">
      <w:start w:val="1"/>
      <w:numFmt w:val="decimal"/>
      <w:pStyle w:val="72"/>
      <w:suff w:val="nothing"/>
      <w:lvlText w:val="%1.%2.%3.%4.%5　"/>
      <w:lvlJc w:val="left"/>
      <w:pPr>
        <w:ind w:left="0" w:firstLine="0"/>
      </w:pPr>
      <w:rPr>
        <w:rFonts w:hint="eastAsia" w:ascii="黑体" w:hAnsi="Times New Roman" w:eastAsia="黑体"/>
        <w:b w:val="0"/>
        <w:i w:val="0"/>
        <w:sz w:val="21"/>
      </w:rPr>
    </w:lvl>
    <w:lvl w:ilvl="5" w:tentative="0">
      <w:start w:val="1"/>
      <w:numFmt w:val="decimal"/>
      <w:pStyle w:val="73"/>
      <w:suff w:val="nothing"/>
      <w:lvlText w:val="%1.%2.%3.%4.%5.%6　"/>
      <w:lvlJc w:val="left"/>
      <w:pPr>
        <w:ind w:left="0" w:firstLine="0"/>
      </w:pPr>
      <w:rPr>
        <w:rFonts w:hint="eastAsia" w:ascii="黑体" w:hAnsi="Times New Roman" w:eastAsia="黑体"/>
        <w:b w:val="0"/>
        <w:i w:val="0"/>
        <w:sz w:val="21"/>
      </w:rPr>
    </w:lvl>
    <w:lvl w:ilvl="6" w:tentative="0">
      <w:start w:val="1"/>
      <w:numFmt w:val="decimal"/>
      <w:pStyle w:val="74"/>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8">
    <w:nsid w:val="6CEA2025"/>
    <w:multiLevelType w:val="multilevel"/>
    <w:tmpl w:val="6CEA2025"/>
    <w:lvl w:ilvl="0" w:tentative="0">
      <w:start w:val="1"/>
      <w:numFmt w:val="none"/>
      <w:pStyle w:val="53"/>
      <w:suff w:val="nothing"/>
      <w:lvlText w:val="%1"/>
      <w:lvlJc w:val="left"/>
      <w:pPr>
        <w:ind w:left="0" w:firstLine="0"/>
      </w:pPr>
      <w:rPr>
        <w:rFonts w:hint="eastAsia"/>
      </w:rPr>
    </w:lvl>
    <w:lvl w:ilvl="1" w:tentative="0">
      <w:start w:val="1"/>
      <w:numFmt w:val="decimal"/>
      <w:pStyle w:val="51"/>
      <w:suff w:val="nothing"/>
      <w:lvlText w:val="%1%2　"/>
      <w:lvlJc w:val="left"/>
      <w:pPr>
        <w:ind w:left="0" w:firstLine="0"/>
      </w:pPr>
      <w:rPr>
        <w:rFonts w:hint="eastAsia" w:ascii="黑体" w:eastAsia="黑体"/>
        <w:b w:val="0"/>
        <w:i w:val="0"/>
        <w:sz w:val="21"/>
      </w:rPr>
    </w:lvl>
    <w:lvl w:ilvl="2" w:tentative="0">
      <w:start w:val="1"/>
      <w:numFmt w:val="decimal"/>
      <w:pStyle w:val="52"/>
      <w:suff w:val="nothing"/>
      <w:lvlText w:val="%1%2.%3　"/>
      <w:lvlJc w:val="left"/>
      <w:pPr>
        <w:ind w:left="426"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prst="orthographicFront">
          <w14:lightRig w14:rig="threePt" w14:dir="t">
            <w14:rot w14:lat="0" w14:lon="0" w14:rev="0"/>
          </w14:lightRig>
        </w14:scene3d>
        <w14:ligatures w14:val="none"/>
        <w14:numForm w14:val="default"/>
        <w14:numSpacing w14:val="default"/>
        <w14:cntxtalts w14:val="0"/>
      </w:rPr>
    </w:lvl>
    <w:lvl w:ilvl="3" w:tentative="0">
      <w:start w:val="1"/>
      <w:numFmt w:val="decimal"/>
      <w:pStyle w:val="47"/>
      <w:suff w:val="nothing"/>
      <w:lvlText w:val="%1%2.%3.%4　"/>
      <w:lvlJc w:val="left"/>
      <w:pPr>
        <w:ind w:left="568" w:firstLine="0"/>
      </w:pPr>
      <w:rPr>
        <w:rFonts w:hint="eastAsia" w:ascii="黑体" w:eastAsia="黑体"/>
        <w:b w:val="0"/>
        <w:i w:val="0"/>
        <w:sz w:val="21"/>
      </w:rPr>
    </w:lvl>
    <w:lvl w:ilvl="4" w:tentative="0">
      <w:start w:val="1"/>
      <w:numFmt w:val="decimal"/>
      <w:pStyle w:val="48"/>
      <w:suff w:val="nothing"/>
      <w:lvlText w:val="%1%2.%3.%4.%5　"/>
      <w:lvlJc w:val="left"/>
      <w:pPr>
        <w:ind w:left="0" w:firstLine="0"/>
      </w:pPr>
      <w:rPr>
        <w:rFonts w:hint="eastAsia" w:ascii="黑体" w:eastAsia="黑体"/>
        <w:b w:val="0"/>
        <w:i w:val="0"/>
        <w:sz w:val="21"/>
      </w:rPr>
    </w:lvl>
    <w:lvl w:ilvl="5" w:tentative="0">
      <w:start w:val="1"/>
      <w:numFmt w:val="decimal"/>
      <w:pStyle w:val="49"/>
      <w:suff w:val="nothing"/>
      <w:lvlText w:val="%1%2.%3.%4.%5.%6　"/>
      <w:lvlJc w:val="left"/>
      <w:pPr>
        <w:ind w:left="2551" w:firstLine="0"/>
      </w:pPr>
      <w:rPr>
        <w:rFonts w:hint="eastAsia" w:ascii="黑体" w:eastAsia="黑体"/>
        <w:b w:val="0"/>
        <w:i w:val="0"/>
        <w:sz w:val="21"/>
      </w:rPr>
    </w:lvl>
    <w:lvl w:ilvl="6" w:tentative="0">
      <w:start w:val="1"/>
      <w:numFmt w:val="upperLetter"/>
      <w:pStyle w:val="50"/>
      <w:suff w:val="nothing"/>
      <w:lvlText w:val="%7、"/>
      <w:lvlJc w:val="left"/>
      <w:pPr>
        <w:ind w:left="0" w:firstLine="0"/>
      </w:pPr>
      <w:rPr>
        <w:rFonts w:ascii="宋体" w:hAnsi="Times New Roman" w:eastAsia="宋体" w:cs="Times New Roman"/>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9">
    <w:nsid w:val="79771696"/>
    <w:multiLevelType w:val="multilevel"/>
    <w:tmpl w:val="79771696"/>
    <w:lvl w:ilvl="0" w:tentative="0">
      <w:start w:val="9"/>
      <w:numFmt w:val="decimal"/>
      <w:lvlText w:val="%1"/>
      <w:lvlJc w:val="left"/>
      <w:pPr>
        <w:ind w:left="360" w:hanging="360"/>
      </w:pPr>
      <w:rPr>
        <w:rFonts w:hint="default"/>
      </w:rPr>
    </w:lvl>
    <w:lvl w:ilvl="1" w:tentative="0">
      <w:start w:val="1"/>
      <w:numFmt w:val="decimal"/>
      <w:lvlText w:val="9.%2"/>
      <w:lvlJc w:val="left"/>
      <w:pPr>
        <w:ind w:left="564" w:hanging="564"/>
      </w:pPr>
      <w:rPr>
        <w:rFonts w:hint="default" w:ascii="黑体" w:hAnsi="黑体" w:eastAsia="黑体"/>
      </w:rPr>
    </w:lvl>
    <w:lvl w:ilvl="2" w:tentative="0">
      <w:start w:val="1"/>
      <w:numFmt w:val="decimal"/>
      <w:lvlText w:val="10.1.%3"/>
      <w:lvlJc w:val="left"/>
      <w:pPr>
        <w:ind w:left="440" w:hanging="440"/>
      </w:pPr>
      <w:rPr>
        <w:rFonts w:hint="eastAsia"/>
      </w:rPr>
    </w:lvl>
    <w:lvl w:ilvl="3" w:tentative="0">
      <w:start w:val="1"/>
      <w:numFmt w:val="decimal"/>
      <w:lvlText w:val="%1.%2.%3.%4"/>
      <w:lvlJc w:val="left"/>
      <w:pPr>
        <w:ind w:left="1080" w:hanging="108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440" w:hanging="144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800" w:hanging="1800"/>
      </w:pPr>
      <w:rPr>
        <w:rFonts w:hint="default"/>
      </w:rPr>
    </w:lvl>
    <w:lvl w:ilvl="8" w:tentative="0">
      <w:start w:val="1"/>
      <w:numFmt w:val="decimal"/>
      <w:lvlText w:val="%1.%2.%3.%4.%5.%6.%7.%8.%9"/>
      <w:lvlJc w:val="left"/>
      <w:pPr>
        <w:ind w:left="1800" w:hanging="1800"/>
      </w:pPr>
      <w:rPr>
        <w:rFonts w:hint="default"/>
      </w:rPr>
    </w:lvl>
  </w:abstractNum>
  <w:abstractNum w:abstractNumId="20">
    <w:nsid w:val="79797561"/>
    <w:multiLevelType w:val="multilevel"/>
    <w:tmpl w:val="79797561"/>
    <w:lvl w:ilvl="0" w:tentative="0">
      <w:start w:val="1"/>
      <w:numFmt w:val="decimal"/>
      <w:lvlText w:val="5.2.%1"/>
      <w:lvlJc w:val="right"/>
      <w:pPr>
        <w:ind w:left="420" w:hanging="420"/>
      </w:pPr>
      <w:rPr>
        <w:rFonts w:hint="eastAsia" w:ascii="黑体" w:hAnsi="黑体" w:eastAsia="黑体"/>
        <w:b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8"/>
  </w:num>
  <w:num w:numId="2">
    <w:abstractNumId w:val="7"/>
  </w:num>
  <w:num w:numId="3">
    <w:abstractNumId w:val="6"/>
  </w:num>
  <w:num w:numId="4">
    <w:abstractNumId w:val="15"/>
  </w:num>
  <w:num w:numId="5">
    <w:abstractNumId w:val="4"/>
  </w:num>
  <w:num w:numId="6">
    <w:abstractNumId w:val="17"/>
  </w:num>
  <w:num w:numId="7">
    <w:abstractNumId w:val="13"/>
  </w:num>
  <w:num w:numId="8">
    <w:abstractNumId w:val="0"/>
  </w:num>
  <w:num w:numId="9">
    <w:abstractNumId w:val="3"/>
  </w:num>
  <w:num w:numId="10">
    <w:abstractNumId w:val="20"/>
  </w:num>
  <w:num w:numId="11">
    <w:abstractNumId w:val="2"/>
  </w:num>
  <w:num w:numId="12">
    <w:abstractNumId w:val="10"/>
  </w:num>
  <w:num w:numId="13">
    <w:abstractNumId w:val="8"/>
  </w:num>
  <w:num w:numId="14">
    <w:abstractNumId w:val="16"/>
  </w:num>
  <w:num w:numId="15">
    <w:abstractNumId w:val="9"/>
  </w:num>
  <w:num w:numId="16">
    <w:abstractNumId w:val="11"/>
  </w:num>
  <w:num w:numId="17">
    <w:abstractNumId w:val="1"/>
  </w:num>
  <w:num w:numId="18">
    <w:abstractNumId w:val="19"/>
  </w:num>
  <w:num w:numId="19">
    <w:abstractNumId w:val="14"/>
  </w:num>
  <w:num w:numId="20">
    <w:abstractNumId w:val="14"/>
    <w:lvlOverride w:ilvl="0">
      <w:lvl w:ilvl="0" w:tentative="1">
        <w:start w:val="10"/>
        <w:numFmt w:val="decimal"/>
        <w:lvlText w:val="%1"/>
        <w:lvlJc w:val="left"/>
        <w:pPr>
          <w:ind w:left="432" w:hanging="432"/>
        </w:pPr>
        <w:rPr>
          <w:rFonts w:hint="default"/>
        </w:rPr>
      </w:lvl>
    </w:lvlOverride>
    <w:lvlOverride w:ilvl="1">
      <w:lvl w:ilvl="1" w:tentative="1">
        <w:start w:val="2"/>
        <w:numFmt w:val="decimal"/>
        <w:lvlText w:val="%1.%2"/>
        <w:lvlJc w:val="left"/>
        <w:pPr>
          <w:ind w:left="432" w:hanging="432"/>
        </w:pPr>
        <w:rPr>
          <w:rFonts w:hint="default"/>
        </w:rPr>
      </w:lvl>
    </w:lvlOverride>
    <w:lvlOverride w:ilvl="2">
      <w:lvl w:ilvl="2" w:tentative="1">
        <w:start w:val="1"/>
        <w:numFmt w:val="decimal"/>
        <w:lvlText w:val="%1.%2.%3"/>
        <w:lvlJc w:val="left"/>
        <w:pPr>
          <w:ind w:left="0" w:firstLine="0"/>
        </w:pPr>
        <w:rPr>
          <w:rFonts w:hint="default"/>
        </w:rPr>
      </w:lvl>
    </w:lvlOverride>
    <w:lvlOverride w:ilvl="3">
      <w:lvl w:ilvl="3" w:tentative="1">
        <w:start w:val="1"/>
        <w:numFmt w:val="decimal"/>
        <w:lvlText w:val="%1.%2.%3.%4"/>
        <w:lvlJc w:val="left"/>
        <w:pPr>
          <w:ind w:left="1080" w:hanging="1080"/>
        </w:pPr>
        <w:rPr>
          <w:rFonts w:hint="default"/>
        </w:rPr>
      </w:lvl>
    </w:lvlOverride>
    <w:lvlOverride w:ilvl="4">
      <w:lvl w:ilvl="4" w:tentative="1">
        <w:start w:val="1"/>
        <w:numFmt w:val="decimal"/>
        <w:lvlText w:val="%1.%2.%3.%4.%5"/>
        <w:lvlJc w:val="left"/>
        <w:pPr>
          <w:ind w:left="1080" w:hanging="1080"/>
        </w:pPr>
        <w:rPr>
          <w:rFonts w:hint="default"/>
        </w:rPr>
      </w:lvl>
    </w:lvlOverride>
    <w:lvlOverride w:ilvl="5">
      <w:lvl w:ilvl="5" w:tentative="1">
        <w:start w:val="1"/>
        <w:numFmt w:val="decimal"/>
        <w:lvlText w:val="%1.%2.%3.%4.%5.%6"/>
        <w:lvlJc w:val="left"/>
        <w:pPr>
          <w:ind w:left="1440" w:hanging="1440"/>
        </w:pPr>
        <w:rPr>
          <w:rFonts w:hint="default"/>
        </w:rPr>
      </w:lvl>
    </w:lvlOverride>
    <w:lvlOverride w:ilvl="6">
      <w:lvl w:ilvl="6" w:tentative="1">
        <w:start w:val="1"/>
        <w:numFmt w:val="decimal"/>
        <w:lvlText w:val="%1.%2.%3.%4.%5.%6.%7"/>
        <w:lvlJc w:val="left"/>
        <w:pPr>
          <w:ind w:left="1440" w:hanging="1440"/>
        </w:pPr>
        <w:rPr>
          <w:rFonts w:hint="default"/>
        </w:rPr>
      </w:lvl>
    </w:lvlOverride>
    <w:lvlOverride w:ilvl="7">
      <w:lvl w:ilvl="7" w:tentative="1">
        <w:start w:val="1"/>
        <w:numFmt w:val="decimal"/>
        <w:lvlText w:val="%1.%2.%3.%4.%5.%6.%7.%8"/>
        <w:lvlJc w:val="left"/>
        <w:pPr>
          <w:ind w:left="1800" w:hanging="1800"/>
        </w:pPr>
        <w:rPr>
          <w:rFonts w:hint="default"/>
        </w:rPr>
      </w:lvl>
    </w:lvlOverride>
    <w:lvlOverride w:ilvl="8">
      <w:lvl w:ilvl="8" w:tentative="1">
        <w:start w:val="1"/>
        <w:numFmt w:val="decimal"/>
        <w:lvlText w:val="%1.%2.%3.%4.%5.%6.%7.%8.%9"/>
        <w:lvlJc w:val="left"/>
        <w:pPr>
          <w:ind w:left="1800" w:hanging="1800"/>
        </w:pPr>
        <w:rPr>
          <w:rFonts w:hint="default"/>
        </w:rPr>
      </w:lvl>
    </w:lvlOverride>
  </w:num>
  <w:num w:numId="21">
    <w:abstractNumId w:val="12"/>
  </w:num>
  <w:num w:numId="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
  </w:num>
  <w:num w:numId="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displayBackgroundShape w:val="1"/>
  <w:bordersDoNotSurroundHeader w:val="1"/>
  <w:bordersDoNotSurroundFooter w:val="1"/>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5BC8"/>
    <w:rsid w:val="00014A33"/>
    <w:rsid w:val="0001558B"/>
    <w:rsid w:val="000210B3"/>
    <w:rsid w:val="0002230F"/>
    <w:rsid w:val="00037A41"/>
    <w:rsid w:val="00044E68"/>
    <w:rsid w:val="0005659A"/>
    <w:rsid w:val="0007598F"/>
    <w:rsid w:val="00076B93"/>
    <w:rsid w:val="0008772C"/>
    <w:rsid w:val="00091D12"/>
    <w:rsid w:val="00092A1E"/>
    <w:rsid w:val="00093D1F"/>
    <w:rsid w:val="000A29E2"/>
    <w:rsid w:val="000A49F4"/>
    <w:rsid w:val="000A616F"/>
    <w:rsid w:val="000A6AE6"/>
    <w:rsid w:val="000A7EAC"/>
    <w:rsid w:val="000B11F5"/>
    <w:rsid w:val="000B1AE7"/>
    <w:rsid w:val="000B4477"/>
    <w:rsid w:val="000C6018"/>
    <w:rsid w:val="000E376F"/>
    <w:rsid w:val="000F4DFC"/>
    <w:rsid w:val="001033D6"/>
    <w:rsid w:val="00104847"/>
    <w:rsid w:val="00105BA7"/>
    <w:rsid w:val="001240FF"/>
    <w:rsid w:val="00124DA8"/>
    <w:rsid w:val="001327D0"/>
    <w:rsid w:val="00147AE0"/>
    <w:rsid w:val="00147AF6"/>
    <w:rsid w:val="00156693"/>
    <w:rsid w:val="0016312A"/>
    <w:rsid w:val="00172E4B"/>
    <w:rsid w:val="00176CB2"/>
    <w:rsid w:val="001A69F8"/>
    <w:rsid w:val="001B2D8D"/>
    <w:rsid w:val="001B67C8"/>
    <w:rsid w:val="001B7FE6"/>
    <w:rsid w:val="001C2F5A"/>
    <w:rsid w:val="001C4DC8"/>
    <w:rsid w:val="001C5BFB"/>
    <w:rsid w:val="001C78BC"/>
    <w:rsid w:val="001D4088"/>
    <w:rsid w:val="002031A4"/>
    <w:rsid w:val="00211D39"/>
    <w:rsid w:val="0021385B"/>
    <w:rsid w:val="00216512"/>
    <w:rsid w:val="002178D1"/>
    <w:rsid w:val="00223D40"/>
    <w:rsid w:val="002374A3"/>
    <w:rsid w:val="00254852"/>
    <w:rsid w:val="00255191"/>
    <w:rsid w:val="00255F8B"/>
    <w:rsid w:val="0025702C"/>
    <w:rsid w:val="0026372D"/>
    <w:rsid w:val="002721A5"/>
    <w:rsid w:val="00276018"/>
    <w:rsid w:val="00277939"/>
    <w:rsid w:val="002A0121"/>
    <w:rsid w:val="002A623F"/>
    <w:rsid w:val="002B0DE5"/>
    <w:rsid w:val="002B1B7A"/>
    <w:rsid w:val="002C0BFF"/>
    <w:rsid w:val="002C76D0"/>
    <w:rsid w:val="002D090E"/>
    <w:rsid w:val="002D7030"/>
    <w:rsid w:val="002E0DB4"/>
    <w:rsid w:val="002E127A"/>
    <w:rsid w:val="002E1860"/>
    <w:rsid w:val="002E6008"/>
    <w:rsid w:val="002F7605"/>
    <w:rsid w:val="003027AB"/>
    <w:rsid w:val="00311747"/>
    <w:rsid w:val="00313432"/>
    <w:rsid w:val="00314448"/>
    <w:rsid w:val="00321E84"/>
    <w:rsid w:val="00340520"/>
    <w:rsid w:val="00351EAE"/>
    <w:rsid w:val="00352E70"/>
    <w:rsid w:val="003555F3"/>
    <w:rsid w:val="00362E08"/>
    <w:rsid w:val="00371EAB"/>
    <w:rsid w:val="003763B5"/>
    <w:rsid w:val="00387098"/>
    <w:rsid w:val="003A336B"/>
    <w:rsid w:val="003A3A1C"/>
    <w:rsid w:val="003A4402"/>
    <w:rsid w:val="003B4419"/>
    <w:rsid w:val="003C0987"/>
    <w:rsid w:val="003D33B2"/>
    <w:rsid w:val="003D465A"/>
    <w:rsid w:val="003F0ECB"/>
    <w:rsid w:val="0042654C"/>
    <w:rsid w:val="004350A6"/>
    <w:rsid w:val="00441A90"/>
    <w:rsid w:val="00442E59"/>
    <w:rsid w:val="004445DA"/>
    <w:rsid w:val="004636B6"/>
    <w:rsid w:val="00466887"/>
    <w:rsid w:val="00466CDA"/>
    <w:rsid w:val="00484107"/>
    <w:rsid w:val="00492F39"/>
    <w:rsid w:val="004B43BC"/>
    <w:rsid w:val="004E3D46"/>
    <w:rsid w:val="004F469F"/>
    <w:rsid w:val="004F6503"/>
    <w:rsid w:val="00506D7E"/>
    <w:rsid w:val="005072C5"/>
    <w:rsid w:val="005100ED"/>
    <w:rsid w:val="00514448"/>
    <w:rsid w:val="00520FBE"/>
    <w:rsid w:val="00527396"/>
    <w:rsid w:val="00532745"/>
    <w:rsid w:val="0053646A"/>
    <w:rsid w:val="005367E3"/>
    <w:rsid w:val="00552288"/>
    <w:rsid w:val="005608E8"/>
    <w:rsid w:val="00560A4D"/>
    <w:rsid w:val="0056595A"/>
    <w:rsid w:val="0056636E"/>
    <w:rsid w:val="00574095"/>
    <w:rsid w:val="005777C5"/>
    <w:rsid w:val="005831DC"/>
    <w:rsid w:val="005877FB"/>
    <w:rsid w:val="005A5BC8"/>
    <w:rsid w:val="005B0175"/>
    <w:rsid w:val="005C18F5"/>
    <w:rsid w:val="005E568C"/>
    <w:rsid w:val="005E6156"/>
    <w:rsid w:val="005F2347"/>
    <w:rsid w:val="00604224"/>
    <w:rsid w:val="00607312"/>
    <w:rsid w:val="0061659E"/>
    <w:rsid w:val="00627CFC"/>
    <w:rsid w:val="006308D2"/>
    <w:rsid w:val="00661E26"/>
    <w:rsid w:val="00666E77"/>
    <w:rsid w:val="0067364B"/>
    <w:rsid w:val="00684A6B"/>
    <w:rsid w:val="00690013"/>
    <w:rsid w:val="006A178E"/>
    <w:rsid w:val="006A4A00"/>
    <w:rsid w:val="006C60A9"/>
    <w:rsid w:val="006C79A2"/>
    <w:rsid w:val="006D3E0F"/>
    <w:rsid w:val="006E103B"/>
    <w:rsid w:val="00702D29"/>
    <w:rsid w:val="00712D59"/>
    <w:rsid w:val="00715DAC"/>
    <w:rsid w:val="00722744"/>
    <w:rsid w:val="00752CBE"/>
    <w:rsid w:val="007563F6"/>
    <w:rsid w:val="00757439"/>
    <w:rsid w:val="0076370C"/>
    <w:rsid w:val="00766B6F"/>
    <w:rsid w:val="00767D65"/>
    <w:rsid w:val="00780CF1"/>
    <w:rsid w:val="007861D6"/>
    <w:rsid w:val="007A74B1"/>
    <w:rsid w:val="007A7D2B"/>
    <w:rsid w:val="007B19A1"/>
    <w:rsid w:val="007C0166"/>
    <w:rsid w:val="007C4FD4"/>
    <w:rsid w:val="007D10F8"/>
    <w:rsid w:val="007D11F1"/>
    <w:rsid w:val="007D219F"/>
    <w:rsid w:val="007D48C5"/>
    <w:rsid w:val="007F0CD9"/>
    <w:rsid w:val="007F38CB"/>
    <w:rsid w:val="007F4898"/>
    <w:rsid w:val="007F564F"/>
    <w:rsid w:val="008060FA"/>
    <w:rsid w:val="00806D66"/>
    <w:rsid w:val="00822FB5"/>
    <w:rsid w:val="008442E2"/>
    <w:rsid w:val="008446F1"/>
    <w:rsid w:val="00845165"/>
    <w:rsid w:val="008513FA"/>
    <w:rsid w:val="00857757"/>
    <w:rsid w:val="00863ADD"/>
    <w:rsid w:val="00865060"/>
    <w:rsid w:val="00866C9E"/>
    <w:rsid w:val="00876FED"/>
    <w:rsid w:val="00883C75"/>
    <w:rsid w:val="00886C7B"/>
    <w:rsid w:val="008A14FF"/>
    <w:rsid w:val="008B0767"/>
    <w:rsid w:val="008B51CC"/>
    <w:rsid w:val="008C07FD"/>
    <w:rsid w:val="008C39B6"/>
    <w:rsid w:val="008C7BF4"/>
    <w:rsid w:val="008E3C7A"/>
    <w:rsid w:val="008E73D1"/>
    <w:rsid w:val="008F4D57"/>
    <w:rsid w:val="008F7DB3"/>
    <w:rsid w:val="00903103"/>
    <w:rsid w:val="00916449"/>
    <w:rsid w:val="00916B9B"/>
    <w:rsid w:val="0091705B"/>
    <w:rsid w:val="00917CED"/>
    <w:rsid w:val="009253CB"/>
    <w:rsid w:val="009316CE"/>
    <w:rsid w:val="0094082E"/>
    <w:rsid w:val="00945242"/>
    <w:rsid w:val="00950A64"/>
    <w:rsid w:val="00972F8A"/>
    <w:rsid w:val="0097348B"/>
    <w:rsid w:val="0099606D"/>
    <w:rsid w:val="009A2737"/>
    <w:rsid w:val="009D7593"/>
    <w:rsid w:val="009E2E47"/>
    <w:rsid w:val="009E350E"/>
    <w:rsid w:val="009E47E2"/>
    <w:rsid w:val="009E4AA3"/>
    <w:rsid w:val="009F54BA"/>
    <w:rsid w:val="00A00242"/>
    <w:rsid w:val="00A25E39"/>
    <w:rsid w:val="00A31E6B"/>
    <w:rsid w:val="00A74250"/>
    <w:rsid w:val="00A83E7A"/>
    <w:rsid w:val="00A85E8A"/>
    <w:rsid w:val="00A8714E"/>
    <w:rsid w:val="00A8792F"/>
    <w:rsid w:val="00A90490"/>
    <w:rsid w:val="00A95091"/>
    <w:rsid w:val="00AA3E15"/>
    <w:rsid w:val="00AA6A56"/>
    <w:rsid w:val="00AB0338"/>
    <w:rsid w:val="00AC707E"/>
    <w:rsid w:val="00AE0DB0"/>
    <w:rsid w:val="00B0283D"/>
    <w:rsid w:val="00B04EFC"/>
    <w:rsid w:val="00B15830"/>
    <w:rsid w:val="00B166FD"/>
    <w:rsid w:val="00B20150"/>
    <w:rsid w:val="00B261B2"/>
    <w:rsid w:val="00B36227"/>
    <w:rsid w:val="00B37086"/>
    <w:rsid w:val="00B45527"/>
    <w:rsid w:val="00B467AB"/>
    <w:rsid w:val="00B533A9"/>
    <w:rsid w:val="00B557A9"/>
    <w:rsid w:val="00B6041C"/>
    <w:rsid w:val="00B61C50"/>
    <w:rsid w:val="00B72AA6"/>
    <w:rsid w:val="00B75CE7"/>
    <w:rsid w:val="00B829BA"/>
    <w:rsid w:val="00B832EF"/>
    <w:rsid w:val="00B833A9"/>
    <w:rsid w:val="00BA1911"/>
    <w:rsid w:val="00BC7BEE"/>
    <w:rsid w:val="00BD2F21"/>
    <w:rsid w:val="00BE44DD"/>
    <w:rsid w:val="00BE47A1"/>
    <w:rsid w:val="00BF26F4"/>
    <w:rsid w:val="00BF48F2"/>
    <w:rsid w:val="00BF699B"/>
    <w:rsid w:val="00BF75D0"/>
    <w:rsid w:val="00C00E14"/>
    <w:rsid w:val="00C0275F"/>
    <w:rsid w:val="00C044E4"/>
    <w:rsid w:val="00C07E0F"/>
    <w:rsid w:val="00C114A0"/>
    <w:rsid w:val="00C1446C"/>
    <w:rsid w:val="00C30A22"/>
    <w:rsid w:val="00C40096"/>
    <w:rsid w:val="00C41399"/>
    <w:rsid w:val="00C41DB2"/>
    <w:rsid w:val="00C42C0C"/>
    <w:rsid w:val="00C4654D"/>
    <w:rsid w:val="00C50AB5"/>
    <w:rsid w:val="00C64A76"/>
    <w:rsid w:val="00C732F3"/>
    <w:rsid w:val="00C73789"/>
    <w:rsid w:val="00C75DCA"/>
    <w:rsid w:val="00CB5A44"/>
    <w:rsid w:val="00CB61EA"/>
    <w:rsid w:val="00CB7AEB"/>
    <w:rsid w:val="00CC3DC8"/>
    <w:rsid w:val="00CC7104"/>
    <w:rsid w:val="00CD0835"/>
    <w:rsid w:val="00CD6168"/>
    <w:rsid w:val="00CE0F05"/>
    <w:rsid w:val="00CE2637"/>
    <w:rsid w:val="00CE7AFB"/>
    <w:rsid w:val="00CF1C8E"/>
    <w:rsid w:val="00CF2343"/>
    <w:rsid w:val="00D11274"/>
    <w:rsid w:val="00D42209"/>
    <w:rsid w:val="00D449B5"/>
    <w:rsid w:val="00D478CD"/>
    <w:rsid w:val="00D66CC4"/>
    <w:rsid w:val="00D73F0B"/>
    <w:rsid w:val="00D7425E"/>
    <w:rsid w:val="00D778B8"/>
    <w:rsid w:val="00D851D0"/>
    <w:rsid w:val="00D92F96"/>
    <w:rsid w:val="00DA394B"/>
    <w:rsid w:val="00DA5037"/>
    <w:rsid w:val="00DA57A5"/>
    <w:rsid w:val="00DB166A"/>
    <w:rsid w:val="00DB3806"/>
    <w:rsid w:val="00DD117D"/>
    <w:rsid w:val="00DD49D1"/>
    <w:rsid w:val="00DE7947"/>
    <w:rsid w:val="00DF0925"/>
    <w:rsid w:val="00DF65DE"/>
    <w:rsid w:val="00DF7732"/>
    <w:rsid w:val="00E118CB"/>
    <w:rsid w:val="00E159D5"/>
    <w:rsid w:val="00E34842"/>
    <w:rsid w:val="00E35287"/>
    <w:rsid w:val="00E43C7C"/>
    <w:rsid w:val="00E4511C"/>
    <w:rsid w:val="00E62CA9"/>
    <w:rsid w:val="00E74051"/>
    <w:rsid w:val="00E76A95"/>
    <w:rsid w:val="00E853D8"/>
    <w:rsid w:val="00E868B8"/>
    <w:rsid w:val="00E91C7F"/>
    <w:rsid w:val="00EB6196"/>
    <w:rsid w:val="00EF0FD4"/>
    <w:rsid w:val="00EF4617"/>
    <w:rsid w:val="00F03F29"/>
    <w:rsid w:val="00F04EAB"/>
    <w:rsid w:val="00F323E3"/>
    <w:rsid w:val="00F327E0"/>
    <w:rsid w:val="00F33907"/>
    <w:rsid w:val="00F47AED"/>
    <w:rsid w:val="00F565C8"/>
    <w:rsid w:val="00F60165"/>
    <w:rsid w:val="00F71DC1"/>
    <w:rsid w:val="00F93A12"/>
    <w:rsid w:val="00F965B5"/>
    <w:rsid w:val="00FA0F14"/>
    <w:rsid w:val="00FA20D2"/>
    <w:rsid w:val="00FA2101"/>
    <w:rsid w:val="00FC7E98"/>
    <w:rsid w:val="00FD750C"/>
    <w:rsid w:val="00FD78A2"/>
    <w:rsid w:val="00FE1E8D"/>
    <w:rsid w:val="6A1C02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semiHidden="0" w:name="toc 1"/>
    <w:lsdException w:qFormat="1" w:uiPriority="39" w:semiHidden="0" w:name="toc 2"/>
    <w:lsdException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nhideWhenUsed="0" w:uiPriority="0"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0"/>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56"/>
    <w:unhideWhenUsed/>
    <w:qFormat/>
    <w:uiPriority w:val="9"/>
    <w:pPr>
      <w:keepNext/>
      <w:keepLines/>
      <w:spacing w:before="260" w:after="260" w:line="416" w:lineRule="auto"/>
      <w:outlineLvl w:val="2"/>
    </w:pPr>
    <w:rPr>
      <w:b/>
      <w:bCs/>
      <w:sz w:val="32"/>
      <w:szCs w:val="32"/>
    </w:rPr>
  </w:style>
  <w:style w:type="character" w:default="1" w:styleId="16">
    <w:name w:val="Default Paragraph Font"/>
    <w:semiHidden/>
    <w:unhideWhenUsed/>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link w:val="34"/>
    <w:semiHidden/>
    <w:qFormat/>
    <w:uiPriority w:val="0"/>
    <w:pPr>
      <w:jc w:val="left"/>
    </w:pPr>
    <w:rPr>
      <w:rFonts w:ascii="Times New Roman" w:hAnsi="Times New Roman" w:eastAsia="宋体" w:cs="Times New Roman"/>
      <w:szCs w:val="24"/>
    </w:rPr>
  </w:style>
  <w:style w:type="paragraph" w:styleId="6">
    <w:name w:val="toc 3"/>
    <w:basedOn w:val="1"/>
    <w:next w:val="1"/>
    <w:autoRedefine/>
    <w:unhideWhenUsed/>
    <w:uiPriority w:val="39"/>
    <w:pPr>
      <w:tabs>
        <w:tab w:val="left" w:pos="1326"/>
        <w:tab w:val="right" w:leader="dot" w:pos="9345"/>
      </w:tabs>
      <w:ind w:left="840" w:leftChars="400"/>
    </w:pPr>
  </w:style>
  <w:style w:type="paragraph" w:styleId="7">
    <w:name w:val="Plain Text"/>
    <w:basedOn w:val="1"/>
    <w:link w:val="77"/>
    <w:qFormat/>
    <w:uiPriority w:val="0"/>
    <w:rPr>
      <w:rFonts w:ascii="宋体" w:hAnsi="Courier New" w:eastAsia="宋体" w:cs="Times New Roman"/>
      <w:szCs w:val="20"/>
    </w:rPr>
  </w:style>
  <w:style w:type="paragraph" w:styleId="8">
    <w:name w:val="Date"/>
    <w:basedOn w:val="1"/>
    <w:next w:val="1"/>
    <w:link w:val="81"/>
    <w:semiHidden/>
    <w:unhideWhenUsed/>
    <w:qFormat/>
    <w:uiPriority w:val="99"/>
    <w:pPr>
      <w:ind w:left="100" w:leftChars="2500"/>
    </w:pPr>
  </w:style>
  <w:style w:type="paragraph" w:styleId="9">
    <w:name w:val="Balloon Text"/>
    <w:basedOn w:val="1"/>
    <w:link w:val="35"/>
    <w:semiHidden/>
    <w:unhideWhenUsed/>
    <w:qFormat/>
    <w:uiPriority w:val="99"/>
    <w:rPr>
      <w:sz w:val="18"/>
      <w:szCs w:val="18"/>
    </w:rPr>
  </w:style>
  <w:style w:type="paragraph" w:styleId="10">
    <w:name w:val="footer"/>
    <w:basedOn w:val="1"/>
    <w:link w:val="64"/>
    <w:unhideWhenUsed/>
    <w:qFormat/>
    <w:uiPriority w:val="99"/>
    <w:pPr>
      <w:tabs>
        <w:tab w:val="center" w:pos="4153"/>
        <w:tab w:val="right" w:pos="8306"/>
      </w:tabs>
      <w:snapToGrid w:val="0"/>
      <w:jc w:val="left"/>
    </w:pPr>
    <w:rPr>
      <w:sz w:val="18"/>
      <w:szCs w:val="18"/>
    </w:rPr>
  </w:style>
  <w:style w:type="paragraph" w:styleId="11">
    <w:name w:val="header"/>
    <w:basedOn w:val="1"/>
    <w:link w:val="63"/>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toc 1"/>
    <w:basedOn w:val="1"/>
    <w:next w:val="1"/>
    <w:autoRedefine/>
    <w:unhideWhenUsed/>
    <w:uiPriority w:val="39"/>
    <w:pPr>
      <w:tabs>
        <w:tab w:val="right" w:leader="dot" w:pos="9345"/>
      </w:tabs>
      <w:adjustRightInd w:val="0"/>
      <w:snapToGrid w:val="0"/>
    </w:pPr>
  </w:style>
  <w:style w:type="paragraph" w:styleId="13">
    <w:name w:val="toc 2"/>
    <w:basedOn w:val="1"/>
    <w:next w:val="1"/>
    <w:autoRedefine/>
    <w:unhideWhenUsed/>
    <w:qFormat/>
    <w:uiPriority w:val="39"/>
    <w:pPr>
      <w:ind w:left="420" w:leftChars="200"/>
    </w:pPr>
  </w:style>
  <w:style w:type="paragraph" w:styleId="14">
    <w:name w:val="HTML Preformatted"/>
    <w:basedOn w:val="1"/>
    <w:link w:val="62"/>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left"/>
    </w:pPr>
    <w:rPr>
      <w:rFonts w:ascii="TimesNewRoman" w:hAnsi="TimesNewRoman" w:eastAsia="宋体" w:cs="TimesNewRoman"/>
      <w:kern w:val="0"/>
      <w:szCs w:val="21"/>
    </w:rPr>
  </w:style>
  <w:style w:type="character" w:styleId="17">
    <w:name w:val="Hyperlink"/>
    <w:basedOn w:val="16"/>
    <w:unhideWhenUsed/>
    <w:uiPriority w:val="99"/>
    <w:rPr>
      <w:color w:val="0563C1" w:themeColor="hyperlink"/>
      <w:u w:val="single"/>
      <w14:textFill>
        <w14:solidFill>
          <w14:schemeClr w14:val="hlink"/>
        </w14:solidFill>
      </w14:textFill>
    </w:rPr>
  </w:style>
  <w:style w:type="character" w:styleId="18">
    <w:name w:val="annotation reference"/>
    <w:semiHidden/>
    <w:qFormat/>
    <w:uiPriority w:val="0"/>
    <w:rPr>
      <w:sz w:val="21"/>
      <w:szCs w:val="21"/>
    </w:rPr>
  </w:style>
  <w:style w:type="character" w:customStyle="1" w:styleId="19">
    <w:name w:val="标题 1 字符"/>
    <w:basedOn w:val="16"/>
    <w:link w:val="2"/>
    <w:qFormat/>
    <w:uiPriority w:val="9"/>
    <w:rPr>
      <w:b/>
      <w:bCs/>
      <w:kern w:val="44"/>
      <w:sz w:val="44"/>
      <w:szCs w:val="44"/>
    </w:rPr>
  </w:style>
  <w:style w:type="character" w:customStyle="1" w:styleId="20">
    <w:name w:val="标题 2 字符"/>
    <w:basedOn w:val="16"/>
    <w:link w:val="3"/>
    <w:qFormat/>
    <w:uiPriority w:val="9"/>
    <w:rPr>
      <w:rFonts w:asciiTheme="majorHAnsi" w:hAnsiTheme="majorHAnsi" w:eastAsiaTheme="majorEastAsia" w:cstheme="majorBidi"/>
      <w:b/>
      <w:bCs/>
      <w:sz w:val="32"/>
      <w:szCs w:val="32"/>
    </w:rPr>
  </w:style>
  <w:style w:type="paragraph" w:styleId="21">
    <w:name w:val="List Paragraph"/>
    <w:basedOn w:val="1"/>
    <w:qFormat/>
    <w:uiPriority w:val="34"/>
    <w:pPr>
      <w:ind w:firstLine="420" w:firstLineChars="200"/>
    </w:pPr>
  </w:style>
  <w:style w:type="paragraph" w:customStyle="1" w:styleId="22">
    <w:name w:val="封面标准号2"/>
    <w:uiPriority w:val="0"/>
    <w:pPr>
      <w:framePr w:w="9140" w:h="1242" w:hRule="exact" w:hSpace="284" w:wrap="around" w:vAnchor="page" w:hAnchor="page" w:x="1645" w:y="2910" w:anchorLock="1"/>
      <w:spacing w:before="357" w:line="280" w:lineRule="exact"/>
      <w:jc w:val="right"/>
    </w:pPr>
    <w:rPr>
      <w:rFonts w:ascii="黑体" w:hAnsi="Times New Roman" w:eastAsia="黑体" w:cs="Times New Roman"/>
      <w:kern w:val="0"/>
      <w:sz w:val="28"/>
      <w:szCs w:val="28"/>
      <w:lang w:val="en-US" w:eastAsia="zh-CN" w:bidi="ar-SA"/>
    </w:rPr>
  </w:style>
  <w:style w:type="paragraph" w:customStyle="1" w:styleId="23">
    <w:name w:val="标准标志"/>
    <w:next w:val="1"/>
    <w:uiPriority w:val="0"/>
    <w:pPr>
      <w:framePr w:w="2546" w:h="1389" w:hRule="exact" w:hSpace="181" w:vSpace="181" w:wrap="around" w:vAnchor="margin" w:hAnchor="margin" w:x="6522" w:y="398" w:anchorLock="1"/>
      <w:shd w:val="solid" w:color="FFFFFF" w:fill="FFFFFF"/>
      <w:spacing w:line="0" w:lineRule="atLeast"/>
      <w:jc w:val="right"/>
    </w:pPr>
    <w:rPr>
      <w:rFonts w:ascii="Times New Roman" w:hAnsi="Times New Roman" w:eastAsia="宋体" w:cs="Times New Roman"/>
      <w:b/>
      <w:w w:val="170"/>
      <w:kern w:val="0"/>
      <w:sz w:val="96"/>
      <w:szCs w:val="96"/>
      <w:lang w:val="en-US" w:eastAsia="zh-CN" w:bidi="ar-SA"/>
    </w:rPr>
  </w:style>
  <w:style w:type="character" w:customStyle="1" w:styleId="24">
    <w:name w:val="发布"/>
    <w:uiPriority w:val="0"/>
    <w:rPr>
      <w:rFonts w:ascii="黑体" w:eastAsia="黑体"/>
      <w:spacing w:val="85"/>
      <w:w w:val="100"/>
      <w:position w:val="3"/>
      <w:sz w:val="28"/>
      <w:szCs w:val="28"/>
    </w:rPr>
  </w:style>
  <w:style w:type="paragraph" w:customStyle="1" w:styleId="25">
    <w:name w:val="封面标准代替信息"/>
    <w:qFormat/>
    <w:uiPriority w:val="0"/>
    <w:pPr>
      <w:framePr w:w="9140" w:h="1242" w:hRule="exact" w:hSpace="284" w:wrap="around" w:vAnchor="page" w:hAnchor="page" w:x="1645" w:y="2910" w:anchorLock="1"/>
      <w:spacing w:before="57" w:line="280" w:lineRule="exact"/>
      <w:jc w:val="right"/>
    </w:pPr>
    <w:rPr>
      <w:rFonts w:ascii="宋体" w:hAnsi="Times New Roman" w:eastAsia="宋体" w:cs="Times New Roman"/>
      <w:kern w:val="0"/>
      <w:sz w:val="21"/>
      <w:szCs w:val="21"/>
      <w:lang w:val="en-US" w:eastAsia="zh-CN" w:bidi="ar-SA"/>
    </w:rPr>
  </w:style>
  <w:style w:type="paragraph" w:customStyle="1" w:styleId="26">
    <w:name w:val="封面标准名称"/>
    <w:qFormat/>
    <w:uiPriority w:val="0"/>
    <w:pPr>
      <w:framePr w:w="9639" w:h="6917" w:hRule="exact" w:wrap="around" w:vAnchor="page" w:hAnchor="page" w:xAlign="center" w:y="6408" w:anchorLock="1"/>
      <w:widowControl w:val="0"/>
      <w:spacing w:line="680" w:lineRule="exact"/>
      <w:jc w:val="center"/>
      <w:textAlignment w:val="center"/>
    </w:pPr>
    <w:rPr>
      <w:rFonts w:ascii="黑体" w:hAnsi="Times New Roman" w:eastAsia="黑体" w:cs="Times New Roman"/>
      <w:kern w:val="0"/>
      <w:sz w:val="52"/>
      <w:szCs w:val="20"/>
      <w:lang w:val="en-US" w:eastAsia="zh-CN" w:bidi="ar-SA"/>
    </w:rPr>
  </w:style>
  <w:style w:type="paragraph" w:customStyle="1" w:styleId="27">
    <w:name w:val="封面标准英文名称"/>
    <w:basedOn w:val="26"/>
    <w:qFormat/>
    <w:uiPriority w:val="0"/>
    <w:pPr>
      <w:framePr w:wrap="around"/>
      <w:spacing w:before="370" w:line="400" w:lineRule="exact"/>
    </w:pPr>
    <w:rPr>
      <w:rFonts w:ascii="Times New Roman"/>
      <w:sz w:val="28"/>
      <w:szCs w:val="28"/>
    </w:rPr>
  </w:style>
  <w:style w:type="paragraph" w:customStyle="1" w:styleId="28">
    <w:name w:val="封面标准文稿类别"/>
    <w:basedOn w:val="1"/>
    <w:qFormat/>
    <w:uiPriority w:val="0"/>
    <w:pPr>
      <w:framePr w:w="9639" w:h="6917" w:hRule="exact" w:wrap="around" w:vAnchor="page" w:hAnchor="page" w:xAlign="center" w:y="6408" w:anchorLock="1"/>
      <w:spacing w:before="440" w:after="160"/>
      <w:jc w:val="center"/>
      <w:textAlignment w:val="center"/>
    </w:pPr>
    <w:rPr>
      <w:rFonts w:ascii="宋体" w:hAnsi="Times New Roman" w:eastAsia="宋体" w:cs="Times New Roman"/>
      <w:kern w:val="0"/>
      <w:sz w:val="24"/>
      <w:szCs w:val="28"/>
    </w:rPr>
  </w:style>
  <w:style w:type="paragraph" w:customStyle="1" w:styleId="29">
    <w:name w:val="封面标准文稿编辑信息"/>
    <w:basedOn w:val="28"/>
    <w:qFormat/>
    <w:uiPriority w:val="0"/>
    <w:pPr>
      <w:framePr w:wrap="around"/>
      <w:spacing w:before="180" w:line="180" w:lineRule="exact"/>
    </w:pPr>
    <w:rPr>
      <w:sz w:val="21"/>
    </w:rPr>
  </w:style>
  <w:style w:type="paragraph" w:customStyle="1" w:styleId="30">
    <w:name w:val="其他标准称谓"/>
    <w:next w:val="1"/>
    <w:qFormat/>
    <w:uiPriority w:val="0"/>
    <w:pPr>
      <w:framePr w:hSpace="181" w:vSpace="181" w:wrap="around" w:vAnchor="page" w:hAnchor="page" w:x="1419" w:y="2286" w:anchorLock="1"/>
      <w:spacing w:line="0" w:lineRule="atLeast"/>
      <w:jc w:val="distribute"/>
    </w:pPr>
    <w:rPr>
      <w:rFonts w:ascii="黑体" w:hAnsi="宋体" w:eastAsia="黑体" w:cs="Times New Roman"/>
      <w:spacing w:val="-40"/>
      <w:kern w:val="0"/>
      <w:sz w:val="48"/>
      <w:szCs w:val="52"/>
      <w:lang w:val="en-US" w:eastAsia="zh-CN" w:bidi="ar-SA"/>
    </w:rPr>
  </w:style>
  <w:style w:type="paragraph" w:customStyle="1" w:styleId="31">
    <w:name w:val="文献分类号"/>
    <w:uiPriority w:val="0"/>
    <w:pPr>
      <w:framePr w:hSpace="180" w:vSpace="180" w:wrap="around" w:vAnchor="margin" w:hAnchor="margin" w:y="1" w:anchorLock="1"/>
      <w:widowControl w:val="0"/>
      <w:textAlignment w:val="center"/>
    </w:pPr>
    <w:rPr>
      <w:rFonts w:ascii="黑体" w:hAnsi="Times New Roman" w:eastAsia="黑体" w:cs="Times New Roman"/>
      <w:kern w:val="0"/>
      <w:sz w:val="21"/>
      <w:szCs w:val="21"/>
      <w:lang w:val="en-US" w:eastAsia="zh-CN" w:bidi="ar-SA"/>
    </w:rPr>
  </w:style>
  <w:style w:type="paragraph" w:customStyle="1" w:styleId="32">
    <w:name w:val="其他发布日期"/>
    <w:basedOn w:val="1"/>
    <w:qFormat/>
    <w:uiPriority w:val="0"/>
    <w:pPr>
      <w:framePr w:w="3997" w:h="471" w:hRule="exact" w:vSpace="181" w:wrap="around" w:vAnchor="page" w:hAnchor="page" w:x="1419" w:y="14097" w:anchorLock="1"/>
      <w:widowControl/>
      <w:jc w:val="left"/>
    </w:pPr>
    <w:rPr>
      <w:rFonts w:ascii="Times New Roman" w:hAnsi="Times New Roman" w:eastAsia="黑体" w:cs="Times New Roman"/>
      <w:kern w:val="0"/>
      <w:sz w:val="28"/>
      <w:szCs w:val="20"/>
    </w:rPr>
  </w:style>
  <w:style w:type="paragraph" w:customStyle="1" w:styleId="33">
    <w:name w:val="其他实施日期"/>
    <w:basedOn w:val="1"/>
    <w:qFormat/>
    <w:uiPriority w:val="0"/>
    <w:pPr>
      <w:framePr w:w="3997" w:h="471" w:hRule="exact" w:vSpace="181" w:wrap="around" w:vAnchor="page" w:hAnchor="page" w:x="7089" w:y="14097" w:anchorLock="1"/>
      <w:widowControl/>
      <w:jc w:val="right"/>
    </w:pPr>
    <w:rPr>
      <w:rFonts w:ascii="Times New Roman" w:hAnsi="Times New Roman" w:eastAsia="黑体" w:cs="Times New Roman"/>
      <w:kern w:val="0"/>
      <w:sz w:val="28"/>
      <w:szCs w:val="20"/>
    </w:rPr>
  </w:style>
  <w:style w:type="character" w:customStyle="1" w:styleId="34">
    <w:name w:val="批注文字 字符"/>
    <w:basedOn w:val="16"/>
    <w:link w:val="5"/>
    <w:semiHidden/>
    <w:qFormat/>
    <w:uiPriority w:val="0"/>
    <w:rPr>
      <w:rFonts w:ascii="Times New Roman" w:hAnsi="Times New Roman" w:eastAsia="宋体" w:cs="Times New Roman"/>
      <w:szCs w:val="24"/>
    </w:rPr>
  </w:style>
  <w:style w:type="character" w:customStyle="1" w:styleId="35">
    <w:name w:val="批注框文本 字符"/>
    <w:basedOn w:val="16"/>
    <w:link w:val="9"/>
    <w:semiHidden/>
    <w:qFormat/>
    <w:uiPriority w:val="99"/>
    <w:rPr>
      <w:sz w:val="18"/>
      <w:szCs w:val="18"/>
    </w:rPr>
  </w:style>
  <w:style w:type="paragraph" w:customStyle="1" w:styleId="36">
    <w:name w:val="标准文件_文件名称"/>
    <w:basedOn w:val="1"/>
    <w:next w:val="1"/>
    <w:qFormat/>
    <w:uiPriority w:val="0"/>
    <w:pPr>
      <w:framePr w:w="9639" w:h="6976" w:hRule="exact" w:wrap="auto" w:vAnchor="page" w:hAnchor="page" w:y="6408"/>
      <w:widowControl/>
      <w:spacing w:line="700" w:lineRule="exact"/>
      <w:jc w:val="center"/>
    </w:pPr>
    <w:rPr>
      <w:rFonts w:ascii="黑体" w:hAnsi="黑体" w:eastAsia="黑体" w:cs="Times New Roman"/>
      <w:bCs/>
      <w:kern w:val="0"/>
      <w:sz w:val="52"/>
      <w:szCs w:val="20"/>
    </w:rPr>
  </w:style>
  <w:style w:type="paragraph" w:customStyle="1" w:styleId="37">
    <w:name w:val="标准文件_段"/>
    <w:link w:val="38"/>
    <w:qFormat/>
    <w:uiPriority w:val="0"/>
    <w:pPr>
      <w:autoSpaceDE w:val="0"/>
      <w:autoSpaceDN w:val="0"/>
      <w:ind w:firstLine="200" w:firstLineChars="200"/>
      <w:jc w:val="both"/>
    </w:pPr>
    <w:rPr>
      <w:rFonts w:ascii="宋体" w:hAnsi="Times New Roman" w:eastAsia="宋体" w:cs="Times New Roman"/>
      <w:kern w:val="0"/>
      <w:sz w:val="21"/>
      <w:szCs w:val="20"/>
      <w:lang w:val="en-US" w:eastAsia="zh-CN" w:bidi="ar-SA"/>
    </w:rPr>
  </w:style>
  <w:style w:type="character" w:customStyle="1" w:styleId="38">
    <w:name w:val="标准文件_段 Char"/>
    <w:link w:val="37"/>
    <w:qFormat/>
    <w:uiPriority w:val="0"/>
    <w:rPr>
      <w:rFonts w:ascii="宋体" w:hAnsi="Times New Roman" w:eastAsia="宋体" w:cs="Times New Roman"/>
      <w:kern w:val="0"/>
      <w:szCs w:val="20"/>
    </w:rPr>
  </w:style>
  <w:style w:type="paragraph" w:customStyle="1" w:styleId="39">
    <w:name w:val="段"/>
    <w:link w:val="40"/>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kern w:val="0"/>
      <w:sz w:val="21"/>
      <w:szCs w:val="20"/>
      <w:lang w:val="en-US" w:eastAsia="zh-CN" w:bidi="ar-SA"/>
    </w:rPr>
  </w:style>
  <w:style w:type="character" w:customStyle="1" w:styleId="40">
    <w:name w:val="段 Char"/>
    <w:link w:val="39"/>
    <w:qFormat/>
    <w:uiPriority w:val="0"/>
    <w:rPr>
      <w:rFonts w:ascii="宋体" w:hAnsi="Times New Roman" w:eastAsia="宋体" w:cs="Times New Roman"/>
      <w:kern w:val="0"/>
      <w:szCs w:val="20"/>
    </w:rPr>
  </w:style>
  <w:style w:type="paragraph" w:customStyle="1" w:styleId="41">
    <w:name w:val="一级条标题"/>
    <w:next w:val="39"/>
    <w:qFormat/>
    <w:uiPriority w:val="0"/>
    <w:pPr>
      <w:spacing w:before="156" w:beforeLines="50" w:after="156" w:afterLines="50"/>
      <w:outlineLvl w:val="2"/>
    </w:pPr>
    <w:rPr>
      <w:rFonts w:ascii="黑体" w:hAnsi="Times New Roman" w:eastAsia="黑体" w:cs="Times New Roman"/>
      <w:kern w:val="0"/>
      <w:sz w:val="21"/>
      <w:szCs w:val="21"/>
      <w:lang w:val="en-US" w:eastAsia="zh-CN" w:bidi="ar-SA"/>
    </w:rPr>
  </w:style>
  <w:style w:type="paragraph" w:customStyle="1" w:styleId="42">
    <w:name w:val="章标题"/>
    <w:next w:val="39"/>
    <w:uiPriority w:val="0"/>
    <w:pPr>
      <w:spacing w:before="312" w:beforeLines="100" w:after="312" w:afterLines="100"/>
      <w:jc w:val="both"/>
      <w:outlineLvl w:val="1"/>
    </w:pPr>
    <w:rPr>
      <w:rFonts w:ascii="黑体" w:hAnsi="Times New Roman" w:eastAsia="黑体" w:cs="Times New Roman"/>
      <w:kern w:val="0"/>
      <w:sz w:val="21"/>
      <w:szCs w:val="20"/>
      <w:lang w:val="en-US" w:eastAsia="zh-CN" w:bidi="ar-SA"/>
    </w:rPr>
  </w:style>
  <w:style w:type="paragraph" w:customStyle="1" w:styleId="43">
    <w:name w:val="二级条标题"/>
    <w:basedOn w:val="41"/>
    <w:next w:val="39"/>
    <w:qFormat/>
    <w:uiPriority w:val="0"/>
    <w:pPr>
      <w:spacing w:before="50" w:after="50"/>
      <w:ind w:left="1418"/>
      <w:outlineLvl w:val="3"/>
    </w:pPr>
  </w:style>
  <w:style w:type="paragraph" w:customStyle="1" w:styleId="44">
    <w:name w:val="三级条标题"/>
    <w:basedOn w:val="43"/>
    <w:next w:val="39"/>
    <w:uiPriority w:val="0"/>
    <w:pPr>
      <w:ind w:left="1418"/>
      <w:outlineLvl w:val="4"/>
    </w:pPr>
  </w:style>
  <w:style w:type="paragraph" w:customStyle="1" w:styleId="45">
    <w:name w:val="四级条标题"/>
    <w:basedOn w:val="44"/>
    <w:next w:val="39"/>
    <w:uiPriority w:val="0"/>
    <w:pPr>
      <w:ind w:left="1418"/>
      <w:outlineLvl w:val="5"/>
    </w:pPr>
  </w:style>
  <w:style w:type="paragraph" w:customStyle="1" w:styleId="46">
    <w:name w:val="五级条标题"/>
    <w:basedOn w:val="45"/>
    <w:next w:val="39"/>
    <w:qFormat/>
    <w:uiPriority w:val="0"/>
    <w:pPr>
      <w:ind w:left="1418"/>
      <w:outlineLvl w:val="6"/>
    </w:pPr>
  </w:style>
  <w:style w:type="paragraph" w:customStyle="1" w:styleId="47">
    <w:name w:val="标准文件_二级条标题"/>
    <w:next w:val="37"/>
    <w:qFormat/>
    <w:uiPriority w:val="0"/>
    <w:pPr>
      <w:widowControl w:val="0"/>
      <w:numPr>
        <w:ilvl w:val="3"/>
        <w:numId w:val="1"/>
      </w:numPr>
      <w:spacing w:before="50" w:beforeLines="50" w:after="50" w:afterLines="50"/>
      <w:ind w:left="0"/>
      <w:jc w:val="both"/>
      <w:outlineLvl w:val="2"/>
    </w:pPr>
    <w:rPr>
      <w:rFonts w:ascii="黑体" w:hAnsi="Times New Roman" w:eastAsia="黑体" w:cs="Times New Roman"/>
      <w:kern w:val="0"/>
      <w:sz w:val="21"/>
      <w:szCs w:val="20"/>
      <w:lang w:val="en-US" w:eastAsia="zh-CN" w:bidi="ar-SA"/>
    </w:rPr>
  </w:style>
  <w:style w:type="paragraph" w:customStyle="1" w:styleId="48">
    <w:name w:val="标准文件_三级条标题"/>
    <w:basedOn w:val="47"/>
    <w:next w:val="37"/>
    <w:qFormat/>
    <w:uiPriority w:val="0"/>
    <w:pPr>
      <w:widowControl/>
      <w:numPr>
        <w:ilvl w:val="4"/>
      </w:numPr>
      <w:outlineLvl w:val="3"/>
    </w:pPr>
  </w:style>
  <w:style w:type="paragraph" w:customStyle="1" w:styleId="49">
    <w:name w:val="标准文件_四级条标题"/>
    <w:next w:val="37"/>
    <w:qFormat/>
    <w:uiPriority w:val="0"/>
    <w:pPr>
      <w:widowControl w:val="0"/>
      <w:numPr>
        <w:ilvl w:val="5"/>
        <w:numId w:val="1"/>
      </w:numPr>
      <w:spacing w:before="50" w:beforeLines="50" w:after="50" w:afterLines="50"/>
      <w:ind w:left="0"/>
      <w:jc w:val="both"/>
      <w:outlineLvl w:val="4"/>
    </w:pPr>
    <w:rPr>
      <w:rFonts w:ascii="黑体" w:hAnsi="Times New Roman" w:eastAsia="黑体" w:cs="Times New Roman"/>
      <w:kern w:val="0"/>
      <w:sz w:val="21"/>
      <w:szCs w:val="20"/>
      <w:lang w:val="en-US" w:eastAsia="zh-CN" w:bidi="ar-SA"/>
    </w:rPr>
  </w:style>
  <w:style w:type="paragraph" w:customStyle="1" w:styleId="50">
    <w:name w:val="标准文件_五级条标题"/>
    <w:next w:val="37"/>
    <w:qFormat/>
    <w:uiPriority w:val="0"/>
    <w:pPr>
      <w:widowControl w:val="0"/>
      <w:numPr>
        <w:ilvl w:val="6"/>
        <w:numId w:val="1"/>
      </w:numPr>
      <w:spacing w:before="50" w:beforeLines="50" w:after="50" w:afterLines="50"/>
      <w:jc w:val="both"/>
      <w:outlineLvl w:val="5"/>
    </w:pPr>
    <w:rPr>
      <w:rFonts w:ascii="黑体" w:hAnsi="Times New Roman" w:eastAsia="黑体" w:cs="Times New Roman"/>
      <w:kern w:val="0"/>
      <w:sz w:val="21"/>
      <w:szCs w:val="20"/>
      <w:lang w:val="en-US" w:eastAsia="zh-CN" w:bidi="ar-SA"/>
    </w:rPr>
  </w:style>
  <w:style w:type="paragraph" w:customStyle="1" w:styleId="51">
    <w:name w:val="标准文件_章标题"/>
    <w:next w:val="37"/>
    <w:qFormat/>
    <w:uiPriority w:val="0"/>
    <w:pPr>
      <w:numPr>
        <w:ilvl w:val="1"/>
        <w:numId w:val="1"/>
      </w:numPr>
      <w:spacing w:before="100" w:beforeLines="100" w:after="100" w:afterLines="100"/>
      <w:jc w:val="both"/>
      <w:outlineLvl w:val="0"/>
    </w:pPr>
    <w:rPr>
      <w:rFonts w:ascii="黑体" w:hAnsi="Times New Roman" w:eastAsia="黑体" w:cs="Times New Roman"/>
      <w:kern w:val="0"/>
      <w:sz w:val="21"/>
      <w:szCs w:val="20"/>
      <w:lang w:val="en-US" w:eastAsia="zh-CN" w:bidi="ar-SA"/>
    </w:rPr>
  </w:style>
  <w:style w:type="paragraph" w:customStyle="1" w:styleId="52">
    <w:name w:val="标准文件_一级条标题"/>
    <w:basedOn w:val="51"/>
    <w:next w:val="37"/>
    <w:qFormat/>
    <w:uiPriority w:val="0"/>
    <w:pPr>
      <w:numPr>
        <w:ilvl w:val="2"/>
      </w:numPr>
      <w:spacing w:before="50" w:beforeLines="50" w:after="50" w:afterLines="50"/>
      <w:ind w:left="0"/>
      <w:outlineLvl w:val="1"/>
    </w:pPr>
  </w:style>
  <w:style w:type="paragraph" w:customStyle="1" w:styleId="53">
    <w:name w:val="前言标题"/>
    <w:next w:val="1"/>
    <w:qFormat/>
    <w:uiPriority w:val="0"/>
    <w:pPr>
      <w:numPr>
        <w:ilvl w:val="0"/>
        <w:numId w:val="1"/>
      </w:numPr>
      <w:shd w:val="clear" w:color="FFFFFF" w:fill="FFFFFF"/>
      <w:spacing w:before="540" w:after="600"/>
      <w:jc w:val="center"/>
      <w:outlineLvl w:val="0"/>
    </w:pPr>
    <w:rPr>
      <w:rFonts w:ascii="黑体" w:hAnsi="Times New Roman" w:eastAsia="黑体" w:cs="Times New Roman"/>
      <w:kern w:val="0"/>
      <w:sz w:val="32"/>
      <w:szCs w:val="20"/>
      <w:lang w:val="en-US" w:eastAsia="zh-CN" w:bidi="ar-SA"/>
    </w:rPr>
  </w:style>
  <w:style w:type="paragraph" w:customStyle="1" w:styleId="54">
    <w:name w:val="标准文件_术语条一"/>
    <w:basedOn w:val="1"/>
    <w:next w:val="37"/>
    <w:qFormat/>
    <w:uiPriority w:val="0"/>
    <w:pPr>
      <w:widowControl/>
    </w:pPr>
    <w:rPr>
      <w:rFonts w:ascii="宋体" w:hAnsi="Times New Roman" w:eastAsia="宋体" w:cs="Times New Roman"/>
      <w:kern w:val="0"/>
      <w:szCs w:val="20"/>
    </w:rPr>
  </w:style>
  <w:style w:type="paragraph" w:customStyle="1" w:styleId="55">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character" w:customStyle="1" w:styleId="56">
    <w:name w:val="标题 3 字符"/>
    <w:basedOn w:val="16"/>
    <w:link w:val="4"/>
    <w:uiPriority w:val="9"/>
    <w:rPr>
      <w:b/>
      <w:bCs/>
      <w:sz w:val="32"/>
      <w:szCs w:val="32"/>
    </w:rPr>
  </w:style>
  <w:style w:type="paragraph" w:customStyle="1" w:styleId="57">
    <w:name w:val="二级无"/>
    <w:basedOn w:val="43"/>
    <w:uiPriority w:val="0"/>
    <w:pPr>
      <w:numPr>
        <w:ilvl w:val="0"/>
        <w:numId w:val="2"/>
      </w:numPr>
      <w:spacing w:before="0" w:beforeLines="0" w:after="0" w:afterLines="0"/>
    </w:pPr>
    <w:rPr>
      <w:rFonts w:ascii="宋体" w:eastAsia="宋体"/>
    </w:rPr>
  </w:style>
  <w:style w:type="paragraph" w:customStyle="1" w:styleId="58">
    <w:name w:val="列项——（一级）"/>
    <w:uiPriority w:val="0"/>
    <w:pPr>
      <w:widowControl w:val="0"/>
      <w:numPr>
        <w:ilvl w:val="0"/>
        <w:numId w:val="3"/>
      </w:numPr>
      <w:jc w:val="both"/>
    </w:pPr>
    <w:rPr>
      <w:rFonts w:ascii="宋体" w:hAnsi="Times New Roman" w:eastAsia="宋体" w:cs="Times New Roman"/>
      <w:kern w:val="0"/>
      <w:sz w:val="21"/>
      <w:szCs w:val="20"/>
      <w:lang w:val="en-US" w:eastAsia="zh-CN" w:bidi="ar-SA"/>
    </w:rPr>
  </w:style>
  <w:style w:type="paragraph" w:customStyle="1" w:styleId="59">
    <w:name w:val="列项●（二级）"/>
    <w:qFormat/>
    <w:uiPriority w:val="0"/>
    <w:pPr>
      <w:numPr>
        <w:ilvl w:val="1"/>
        <w:numId w:val="3"/>
      </w:numPr>
      <w:tabs>
        <w:tab w:val="left" w:pos="840"/>
      </w:tabs>
      <w:jc w:val="both"/>
    </w:pPr>
    <w:rPr>
      <w:rFonts w:ascii="宋体" w:hAnsi="Times New Roman" w:eastAsia="宋体" w:cs="Times New Roman"/>
      <w:kern w:val="0"/>
      <w:sz w:val="21"/>
      <w:szCs w:val="20"/>
      <w:lang w:val="en-US" w:eastAsia="zh-CN" w:bidi="ar-SA"/>
    </w:rPr>
  </w:style>
  <w:style w:type="paragraph" w:customStyle="1" w:styleId="60">
    <w:name w:val="列项◆（三级）"/>
    <w:basedOn w:val="1"/>
    <w:qFormat/>
    <w:uiPriority w:val="0"/>
    <w:pPr>
      <w:numPr>
        <w:ilvl w:val="2"/>
        <w:numId w:val="3"/>
      </w:numPr>
    </w:pPr>
    <w:rPr>
      <w:rFonts w:ascii="宋体" w:hAnsi="Times New Roman" w:eastAsia="宋体" w:cs="Times New Roman"/>
      <w:szCs w:val="21"/>
    </w:rPr>
  </w:style>
  <w:style w:type="paragraph" w:customStyle="1" w:styleId="61">
    <w:name w:val="正文表标题"/>
    <w:next w:val="39"/>
    <w:qFormat/>
    <w:uiPriority w:val="0"/>
    <w:pPr>
      <w:numPr>
        <w:ilvl w:val="0"/>
        <w:numId w:val="4"/>
      </w:numPr>
      <w:spacing w:before="156" w:beforeLines="50" w:after="156" w:afterLines="50"/>
      <w:ind w:left="5954"/>
      <w:jc w:val="center"/>
    </w:pPr>
    <w:rPr>
      <w:rFonts w:ascii="黑体" w:hAnsi="Times New Roman" w:eastAsia="黑体" w:cs="Times New Roman"/>
      <w:kern w:val="0"/>
      <w:sz w:val="21"/>
      <w:szCs w:val="20"/>
      <w:lang w:val="en-US" w:eastAsia="zh-CN" w:bidi="ar-SA"/>
    </w:rPr>
  </w:style>
  <w:style w:type="character" w:customStyle="1" w:styleId="62">
    <w:name w:val="HTML 预设格式 字符"/>
    <w:basedOn w:val="16"/>
    <w:link w:val="14"/>
    <w:qFormat/>
    <w:uiPriority w:val="0"/>
    <w:rPr>
      <w:rFonts w:ascii="TimesNewRoman" w:hAnsi="TimesNewRoman" w:eastAsia="宋体" w:cs="TimesNewRoman"/>
      <w:kern w:val="0"/>
      <w:szCs w:val="21"/>
    </w:rPr>
  </w:style>
  <w:style w:type="character" w:customStyle="1" w:styleId="63">
    <w:name w:val="页眉 字符"/>
    <w:basedOn w:val="16"/>
    <w:link w:val="11"/>
    <w:qFormat/>
    <w:uiPriority w:val="99"/>
    <w:rPr>
      <w:sz w:val="18"/>
      <w:szCs w:val="18"/>
    </w:rPr>
  </w:style>
  <w:style w:type="character" w:customStyle="1" w:styleId="64">
    <w:name w:val="页脚 字符"/>
    <w:basedOn w:val="16"/>
    <w:link w:val="10"/>
    <w:uiPriority w:val="99"/>
    <w:rPr>
      <w:sz w:val="18"/>
      <w:szCs w:val="18"/>
    </w:rPr>
  </w:style>
  <w:style w:type="paragraph" w:customStyle="1" w:styleId="65">
    <w:name w:val="数字编号列项（二级）"/>
    <w:qFormat/>
    <w:uiPriority w:val="0"/>
    <w:pPr>
      <w:numPr>
        <w:ilvl w:val="1"/>
        <w:numId w:val="5"/>
      </w:numPr>
      <w:jc w:val="both"/>
    </w:pPr>
    <w:rPr>
      <w:rFonts w:ascii="宋体" w:hAnsi="Times New Roman" w:eastAsia="宋体" w:cs="Times New Roman"/>
      <w:kern w:val="0"/>
      <w:sz w:val="21"/>
      <w:szCs w:val="20"/>
      <w:lang w:val="en-US" w:eastAsia="zh-CN" w:bidi="ar-SA"/>
    </w:rPr>
  </w:style>
  <w:style w:type="paragraph" w:customStyle="1" w:styleId="66">
    <w:name w:val="字母编号列项（一级）"/>
    <w:qFormat/>
    <w:uiPriority w:val="0"/>
    <w:pPr>
      <w:numPr>
        <w:ilvl w:val="0"/>
        <w:numId w:val="5"/>
      </w:numPr>
      <w:jc w:val="both"/>
    </w:pPr>
    <w:rPr>
      <w:rFonts w:ascii="宋体" w:hAnsi="Times New Roman" w:eastAsia="宋体" w:cs="Times New Roman"/>
      <w:kern w:val="0"/>
      <w:sz w:val="21"/>
      <w:szCs w:val="20"/>
      <w:lang w:val="en-US" w:eastAsia="zh-CN" w:bidi="ar-SA"/>
    </w:rPr>
  </w:style>
  <w:style w:type="paragraph" w:customStyle="1" w:styleId="67">
    <w:name w:val="编号列项（三级）"/>
    <w:uiPriority w:val="0"/>
    <w:pPr>
      <w:numPr>
        <w:ilvl w:val="2"/>
        <w:numId w:val="5"/>
      </w:numPr>
    </w:pPr>
    <w:rPr>
      <w:rFonts w:ascii="宋体" w:hAnsi="Times New Roman" w:eastAsia="宋体" w:cs="Times New Roman"/>
      <w:kern w:val="0"/>
      <w:sz w:val="21"/>
      <w:szCs w:val="20"/>
      <w:lang w:val="en-US" w:eastAsia="zh-CN" w:bidi="ar-SA"/>
    </w:rPr>
  </w:style>
  <w:style w:type="paragraph" w:customStyle="1" w:styleId="68">
    <w:name w:val="附录标识"/>
    <w:basedOn w:val="1"/>
    <w:next w:val="39"/>
    <w:qFormat/>
    <w:uiPriority w:val="0"/>
    <w:pPr>
      <w:keepNext/>
      <w:widowControl/>
      <w:numPr>
        <w:ilvl w:val="0"/>
        <w:numId w:val="6"/>
      </w:numPr>
      <w:shd w:val="clear" w:color="FFFFFF" w:fill="FFFFFF"/>
      <w:tabs>
        <w:tab w:val="left" w:pos="6405"/>
      </w:tabs>
      <w:spacing w:before="640" w:after="280"/>
      <w:jc w:val="center"/>
      <w:outlineLvl w:val="0"/>
    </w:pPr>
    <w:rPr>
      <w:rFonts w:ascii="黑体" w:hAnsi="Times New Roman" w:eastAsia="黑体" w:cs="Times New Roman"/>
      <w:kern w:val="0"/>
      <w:szCs w:val="20"/>
    </w:rPr>
  </w:style>
  <w:style w:type="paragraph" w:customStyle="1" w:styleId="69">
    <w:name w:val="附录表标号"/>
    <w:basedOn w:val="1"/>
    <w:next w:val="39"/>
    <w:qFormat/>
    <w:uiPriority w:val="0"/>
    <w:pPr>
      <w:numPr>
        <w:ilvl w:val="0"/>
        <w:numId w:val="7"/>
      </w:numPr>
      <w:spacing w:line="14" w:lineRule="exact"/>
      <w:jc w:val="center"/>
      <w:outlineLvl w:val="0"/>
    </w:pPr>
    <w:rPr>
      <w:rFonts w:ascii="Times New Roman" w:hAnsi="Times New Roman" w:eastAsia="宋体" w:cs="Times New Roman"/>
      <w:color w:val="FFFFFF"/>
      <w:szCs w:val="24"/>
    </w:rPr>
  </w:style>
  <w:style w:type="paragraph" w:customStyle="1" w:styleId="70">
    <w:name w:val="附录表标题"/>
    <w:basedOn w:val="1"/>
    <w:next w:val="39"/>
    <w:qFormat/>
    <w:uiPriority w:val="0"/>
    <w:pPr>
      <w:numPr>
        <w:ilvl w:val="1"/>
        <w:numId w:val="7"/>
      </w:numPr>
      <w:spacing w:before="50" w:beforeLines="50" w:after="50" w:afterLines="50"/>
      <w:jc w:val="center"/>
    </w:pPr>
    <w:rPr>
      <w:rFonts w:ascii="黑体" w:hAnsi="Times New Roman" w:eastAsia="黑体" w:cs="Times New Roman"/>
      <w:szCs w:val="21"/>
    </w:rPr>
  </w:style>
  <w:style w:type="paragraph" w:customStyle="1" w:styleId="71">
    <w:name w:val="附录二级条标题"/>
    <w:basedOn w:val="1"/>
    <w:next w:val="39"/>
    <w:uiPriority w:val="0"/>
    <w:pPr>
      <w:widowControl/>
      <w:numPr>
        <w:ilvl w:val="3"/>
        <w:numId w:val="6"/>
      </w:numPr>
      <w:wordWrap w:val="0"/>
      <w:overflowPunct w:val="0"/>
      <w:autoSpaceDE w:val="0"/>
      <w:autoSpaceDN w:val="0"/>
      <w:spacing w:before="50" w:beforeLines="50" w:after="50" w:afterLines="50"/>
      <w:textAlignment w:val="baseline"/>
      <w:outlineLvl w:val="3"/>
    </w:pPr>
    <w:rPr>
      <w:rFonts w:ascii="黑体" w:hAnsi="Times New Roman" w:eastAsia="黑体" w:cs="Times New Roman"/>
      <w:kern w:val="21"/>
      <w:szCs w:val="20"/>
    </w:rPr>
  </w:style>
  <w:style w:type="paragraph" w:customStyle="1" w:styleId="72">
    <w:name w:val="附录三级条标题"/>
    <w:basedOn w:val="71"/>
    <w:next w:val="39"/>
    <w:uiPriority w:val="0"/>
    <w:pPr>
      <w:numPr>
        <w:ilvl w:val="4"/>
      </w:numPr>
      <w:outlineLvl w:val="4"/>
    </w:pPr>
  </w:style>
  <w:style w:type="paragraph" w:customStyle="1" w:styleId="73">
    <w:name w:val="附录四级条标题"/>
    <w:basedOn w:val="72"/>
    <w:next w:val="39"/>
    <w:qFormat/>
    <w:uiPriority w:val="0"/>
    <w:pPr>
      <w:numPr>
        <w:ilvl w:val="5"/>
      </w:numPr>
      <w:outlineLvl w:val="5"/>
    </w:pPr>
  </w:style>
  <w:style w:type="paragraph" w:customStyle="1" w:styleId="74">
    <w:name w:val="附录五级条标题"/>
    <w:basedOn w:val="73"/>
    <w:next w:val="39"/>
    <w:qFormat/>
    <w:uiPriority w:val="0"/>
    <w:pPr>
      <w:numPr>
        <w:ilvl w:val="6"/>
      </w:numPr>
      <w:outlineLvl w:val="6"/>
    </w:pPr>
  </w:style>
  <w:style w:type="paragraph" w:customStyle="1" w:styleId="75">
    <w:name w:val="附录章标题"/>
    <w:next w:val="39"/>
    <w:uiPriority w:val="0"/>
    <w:pPr>
      <w:numPr>
        <w:ilvl w:val="1"/>
        <w:numId w:val="6"/>
      </w:numPr>
      <w:wordWrap w:val="0"/>
      <w:overflowPunct w:val="0"/>
      <w:autoSpaceDE w:val="0"/>
      <w:spacing w:before="100" w:beforeLines="100" w:after="100" w:afterLines="100"/>
      <w:jc w:val="both"/>
      <w:textAlignment w:val="baseline"/>
      <w:outlineLvl w:val="1"/>
    </w:pPr>
    <w:rPr>
      <w:rFonts w:ascii="黑体" w:hAnsi="Times New Roman" w:eastAsia="黑体" w:cs="Times New Roman"/>
      <w:kern w:val="21"/>
      <w:sz w:val="21"/>
      <w:szCs w:val="20"/>
      <w:lang w:val="en-US" w:eastAsia="zh-CN" w:bidi="ar-SA"/>
    </w:rPr>
  </w:style>
  <w:style w:type="paragraph" w:customStyle="1" w:styleId="76">
    <w:name w:val="附录一级条标题"/>
    <w:basedOn w:val="75"/>
    <w:next w:val="39"/>
    <w:qFormat/>
    <w:uiPriority w:val="0"/>
    <w:pPr>
      <w:numPr>
        <w:ilvl w:val="0"/>
        <w:numId w:val="0"/>
      </w:numPr>
      <w:autoSpaceDN w:val="0"/>
      <w:spacing w:before="50" w:beforeLines="50" w:after="50" w:afterLines="50"/>
      <w:outlineLvl w:val="2"/>
    </w:pPr>
  </w:style>
  <w:style w:type="character" w:customStyle="1" w:styleId="77">
    <w:name w:val="纯文本 字符"/>
    <w:basedOn w:val="16"/>
    <w:link w:val="7"/>
    <w:uiPriority w:val="0"/>
    <w:rPr>
      <w:rFonts w:ascii="宋体" w:hAnsi="Courier New" w:eastAsia="宋体" w:cs="Times New Roman"/>
      <w:szCs w:val="20"/>
    </w:rPr>
  </w:style>
  <w:style w:type="paragraph" w:customStyle="1" w:styleId="78">
    <w:name w:val="TOC Heading"/>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paragraph" w:customStyle="1" w:styleId="79">
    <w:name w:val="目次、标准名称标题"/>
    <w:basedOn w:val="1"/>
    <w:next w:val="39"/>
    <w:qFormat/>
    <w:uiPriority w:val="0"/>
    <w:pPr>
      <w:keepNext/>
      <w:pageBreakBefore/>
      <w:widowControl/>
      <w:shd w:val="clear" w:color="FFFFFF" w:fill="FFFFFF"/>
      <w:spacing w:before="640" w:after="560" w:line="460" w:lineRule="exact"/>
      <w:jc w:val="center"/>
      <w:outlineLvl w:val="0"/>
    </w:pPr>
    <w:rPr>
      <w:rFonts w:ascii="黑体" w:hAnsi="Times New Roman" w:eastAsia="黑体" w:cs="Times New Roman"/>
      <w:kern w:val="0"/>
      <w:sz w:val="32"/>
      <w:szCs w:val="20"/>
    </w:rPr>
  </w:style>
  <w:style w:type="paragraph" w:customStyle="1" w:styleId="80">
    <w:name w:val="前言、引言标题"/>
    <w:next w:val="39"/>
    <w:uiPriority w:val="0"/>
    <w:pPr>
      <w:keepNext/>
      <w:pageBreakBefore/>
      <w:shd w:val="clear" w:color="FFFFFF" w:fill="FFFFFF"/>
      <w:spacing w:before="640" w:after="560"/>
      <w:jc w:val="center"/>
      <w:outlineLvl w:val="0"/>
    </w:pPr>
    <w:rPr>
      <w:rFonts w:ascii="黑体" w:hAnsi="Times New Roman" w:eastAsia="黑体" w:cs="Times New Roman"/>
      <w:kern w:val="0"/>
      <w:sz w:val="32"/>
      <w:szCs w:val="20"/>
      <w:lang w:val="en-US" w:eastAsia="zh-CN" w:bidi="ar-SA"/>
    </w:rPr>
  </w:style>
  <w:style w:type="character" w:customStyle="1" w:styleId="81">
    <w:name w:val="日期 字符"/>
    <w:basedOn w:val="16"/>
    <w:link w:val="8"/>
    <w:semiHidden/>
    <w:uiPriority w:val="99"/>
  </w:style>
  <w:style w:type="paragraph" w:customStyle="1" w:styleId="82">
    <w:name w:val="正文图标题"/>
    <w:next w:val="39"/>
    <w:uiPriority w:val="0"/>
    <w:pPr>
      <w:tabs>
        <w:tab w:val="left" w:pos="360"/>
      </w:tabs>
      <w:spacing w:before="156" w:beforeLines="50" w:after="156" w:afterLines="50"/>
      <w:jc w:val="center"/>
    </w:pPr>
    <w:rPr>
      <w:rFonts w:ascii="黑体" w:hAnsi="Times New Roman" w:eastAsia="黑体" w:cs="Times New Roman"/>
      <w:kern w:val="0"/>
      <w:sz w:val="21"/>
      <w:szCs w:val="20"/>
      <w:lang w:val="en-US" w:eastAsia="zh-CN" w:bidi="ar-SA"/>
    </w:rPr>
  </w:style>
  <w:style w:type="paragraph" w:customStyle="1" w:styleId="83">
    <w:name w:val="Revision"/>
    <w:hidden/>
    <w:semiHidden/>
    <w:uiPriority w:val="99"/>
    <w:rPr>
      <w:rFonts w:asciiTheme="minorHAnsi" w:hAnsiTheme="minorHAnsi" w:eastAsiaTheme="minorEastAsia" w:cstheme="minorBidi"/>
      <w:kern w:val="2"/>
      <w:sz w:val="21"/>
      <w:szCs w:val="22"/>
      <w:lang w:val="en-US" w:eastAsia="zh-CN" w:bidi="ar-SA"/>
    </w:rPr>
  </w:style>
  <w:style w:type="character" w:customStyle="1" w:styleId="84">
    <w:name w:val="Unresolved Mention"/>
    <w:basedOn w:val="16"/>
    <w:semiHidden/>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1.xml"/><Relationship Id="rId14" Type="http://schemas.openxmlformats.org/officeDocument/2006/relationships/numbering" Target="numbering.xml"/><Relationship Id="rId13" Type="http://schemas.openxmlformats.org/officeDocument/2006/relationships/image" Target="media/image1.png"/><Relationship Id="rId12" Type="http://schemas.openxmlformats.org/officeDocument/2006/relationships/theme" Target="theme/theme1.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171BE8-CFBE-40CA-A677-21C3F12F5C26}">
  <ds:schemaRefs/>
</ds:datastoreItem>
</file>

<file path=docProps/app.xml><?xml version="1.0" encoding="utf-8"?>
<Properties xmlns="http://schemas.openxmlformats.org/officeDocument/2006/extended-properties" xmlns:vt="http://schemas.openxmlformats.org/officeDocument/2006/docPropsVTypes">
  <Template>Normal</Template>
  <Pages>21</Pages>
  <Words>2414</Words>
  <Characters>2876</Characters>
  <Lines>440</Lines>
  <Paragraphs>498</Paragraphs>
  <TotalTime>0</TotalTime>
  <ScaleCrop>false</ScaleCrop>
  <LinksUpToDate>false</LinksUpToDate>
  <CharactersWithSpaces>3101</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2026-03-24T05:28:00Z</dcterms:created>
  <dc:creator>王议</dc:creator>
  <cp:lastModifiedBy>think</cp:lastModifiedBy>
  <cp:lastPrinted>2026-01-08T20:56:00Z</cp:lastPrinted>
  <dcterms:modified xsi:type="dcterms:W3CDTF">2026-03-25T02:19:38Z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E898FC0DAC6946968E746A74776E4FB5_13</vt:lpwstr>
  </property>
</Properties>
</file>